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jc w:val="center"/>
        <w:ind w:right="-593"/>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593"/>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3"/>
        <w:spacing w:after="0"/>
        <w:rPr>
          <w:sz w:val="20"/>
          <w:szCs w:val="20"/>
          <w:color w:val="auto"/>
        </w:rPr>
      </w:pPr>
      <w:r>
        <w:rPr>
          <w:rFonts w:ascii="Arial" w:cs="Arial" w:eastAsia="Arial" w:hAnsi="Arial"/>
          <w:sz w:val="21"/>
          <w:szCs w:val="21"/>
          <w:color w:val="auto"/>
        </w:rPr>
        <w:t>Washington, D.C. 20549</w:t>
      </w:r>
    </w:p>
    <w:p>
      <w:pPr>
        <w:spacing w:after="0" w:line="198" w:lineRule="exact"/>
        <w:rPr>
          <w:sz w:val="24"/>
          <w:szCs w:val="24"/>
          <w:color w:val="auto"/>
        </w:rPr>
      </w:pPr>
    </w:p>
    <w:p>
      <w:pPr>
        <w:ind w:left="4854"/>
        <w:spacing w:after="0"/>
        <w:rPr>
          <w:sz w:val="20"/>
          <w:szCs w:val="20"/>
          <w:color w:val="auto"/>
        </w:rPr>
      </w:pPr>
      <w:r>
        <w:rPr>
          <w:rFonts w:ascii="Arial" w:cs="Arial" w:eastAsia="Arial" w:hAnsi="Arial"/>
          <w:sz w:val="32"/>
          <w:szCs w:val="32"/>
          <w:b w:val="1"/>
          <w:bCs w:val="1"/>
          <w:color w:val="auto"/>
        </w:rPr>
        <w:t>FORM 10-K</w:t>
      </w:r>
    </w:p>
    <w:p>
      <w:pPr>
        <w:spacing w:after="0" w:line="251" w:lineRule="exact"/>
        <w:rPr>
          <w:sz w:val="24"/>
          <w:szCs w:val="24"/>
          <w:color w:val="auto"/>
        </w:rPr>
      </w:pPr>
    </w:p>
    <w:p>
      <w:pPr>
        <w:ind w:left="4194" w:right="1400" w:hanging="4194"/>
        <w:spacing w:after="0" w:line="507" w:lineRule="auto"/>
        <w:tabs>
          <w:tab w:leader="none" w:pos="79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28, 2012</w:t>
      </w:r>
    </w:p>
    <w:p>
      <w:pPr>
        <w:spacing w:after="0" w:line="1" w:lineRule="exact"/>
        <w:rPr>
          <w:sz w:val="24"/>
          <w:szCs w:val="24"/>
          <w:color w:val="auto"/>
        </w:rPr>
      </w:pPr>
    </w:p>
    <w:p>
      <w:pPr>
        <w:ind w:left="5574"/>
        <w:spacing w:after="0"/>
        <w:rPr>
          <w:sz w:val="20"/>
          <w:szCs w:val="20"/>
          <w:color w:val="auto"/>
        </w:rPr>
      </w:pPr>
      <w:r>
        <w:rPr>
          <w:rFonts w:ascii="Arial" w:cs="Arial" w:eastAsia="Arial" w:hAnsi="Arial"/>
          <w:sz w:val="18"/>
          <w:szCs w:val="18"/>
          <w:b w:val="1"/>
          <w:bCs w:val="1"/>
          <w:color w:val="auto"/>
        </w:rPr>
        <w:t>OR</w:t>
      </w:r>
    </w:p>
    <w:p>
      <w:pPr>
        <w:spacing w:after="0" w:line="244" w:lineRule="exact"/>
        <w:rPr>
          <w:sz w:val="24"/>
          <w:szCs w:val="24"/>
          <w:color w:val="auto"/>
        </w:rPr>
      </w:pPr>
    </w:p>
    <w:p>
      <w:pPr>
        <w:ind w:left="4254" w:right="1040" w:hanging="4254"/>
        <w:spacing w:after="0" w:line="522" w:lineRule="auto"/>
        <w:tabs>
          <w:tab w:leader="none" w:pos="7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spacing w:after="0" w:line="1" w:lineRule="exact"/>
        <w:rPr>
          <w:rFonts w:ascii="Arial" w:cs="Arial" w:eastAsia="Arial" w:hAnsi="Arial"/>
          <w:sz w:val="18"/>
          <w:szCs w:val="18"/>
          <w:b w:val="1"/>
          <w:bCs w:val="1"/>
          <w:color w:val="auto"/>
        </w:rPr>
      </w:pPr>
    </w:p>
    <w:p>
      <w:pPr>
        <w:ind w:left="445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3426460</wp:posOffset>
            </wp:positionH>
            <wp:positionV relativeFrom="paragraph">
              <wp:posOffset>166370</wp:posOffset>
            </wp:positionV>
            <wp:extent cx="40386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386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734"/>
        <w:spacing w:after="0"/>
        <w:rPr>
          <w:sz w:val="20"/>
          <w:szCs w:val="20"/>
          <w:color w:val="auto"/>
        </w:rPr>
      </w:pPr>
      <w:r>
        <w:rPr>
          <w:rFonts w:ascii="Arial" w:cs="Arial" w:eastAsia="Arial" w:hAnsi="Arial"/>
          <w:sz w:val="42"/>
          <w:szCs w:val="42"/>
          <w:b w:val="1"/>
          <w:bCs w:val="1"/>
          <w:color w:val="auto"/>
        </w:rPr>
        <w:t>PHOTRONICS, INC.</w:t>
      </w:r>
    </w:p>
    <w:p>
      <w:pPr>
        <w:spacing w:after="0" w:line="51" w:lineRule="exact"/>
        <w:rPr>
          <w:sz w:val="24"/>
          <w:szCs w:val="24"/>
          <w:color w:val="auto"/>
        </w:rPr>
      </w:pPr>
    </w:p>
    <w:p>
      <w:pPr>
        <w:ind w:left="3854"/>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4" w:lineRule="exact"/>
        <w:rPr>
          <w:sz w:val="24"/>
          <w:szCs w:val="24"/>
          <w:color w:val="auto"/>
        </w:rPr>
      </w:pPr>
    </w:p>
    <w:tbl>
      <w:tblPr>
        <w:tblLayout w:type="fixed"/>
        <w:tblInd w:w="714" w:type="dxa"/>
        <w:tblCellMar>
          <w:top w:w="0" w:type="dxa"/>
          <w:left w:w="0" w:type="dxa"/>
          <w:bottom w:w="0" w:type="dxa"/>
          <w:right w:w="0" w:type="dxa"/>
        </w:tblCellMar>
      </w:tblPr>
      <w:tr>
        <w:trPr>
          <w:trHeight w:val="218"/>
        </w:trPr>
        <w:tc>
          <w:tcPr>
            <w:tcW w:w="5480" w:type="dxa"/>
            <w:vAlign w:val="bottom"/>
          </w:tcPr>
          <w:p>
            <w:pPr>
              <w:jc w:val="center"/>
              <w:ind w:right="1112"/>
              <w:spacing w:after="0"/>
              <w:rPr>
                <w:sz w:val="20"/>
                <w:szCs w:val="20"/>
                <w:color w:val="auto"/>
              </w:rPr>
            </w:pPr>
            <w:r>
              <w:rPr>
                <w:rFonts w:ascii="Arial" w:cs="Arial" w:eastAsia="Arial" w:hAnsi="Arial"/>
                <w:sz w:val="18"/>
                <w:szCs w:val="18"/>
                <w:b w:val="1"/>
                <w:bCs w:val="1"/>
                <w:color w:val="auto"/>
                <w:w w:val="88"/>
              </w:rPr>
              <w:t>Connecticut</w:t>
            </w:r>
          </w:p>
        </w:tc>
        <w:tc>
          <w:tcPr>
            <w:tcW w:w="3560" w:type="dxa"/>
            <w:vAlign w:val="bottom"/>
          </w:tcPr>
          <w:p>
            <w:pPr>
              <w:jc w:val="right"/>
              <w:ind w:right="672"/>
              <w:spacing w:after="0"/>
              <w:rPr>
                <w:sz w:val="20"/>
                <w:szCs w:val="20"/>
                <w:color w:val="auto"/>
              </w:rPr>
            </w:pPr>
            <w:r>
              <w:rPr>
                <w:rFonts w:ascii="Arial" w:cs="Arial" w:eastAsia="Arial" w:hAnsi="Arial"/>
                <w:sz w:val="18"/>
                <w:szCs w:val="18"/>
                <w:b w:val="1"/>
                <w:bCs w:val="1"/>
                <w:color w:val="auto"/>
              </w:rPr>
              <w:t>06-0854886</w:t>
            </w:r>
          </w:p>
        </w:tc>
      </w:tr>
      <w:tr>
        <w:trPr>
          <w:trHeight w:val="223"/>
        </w:trPr>
        <w:tc>
          <w:tcPr>
            <w:tcW w:w="5480" w:type="dxa"/>
            <w:vAlign w:val="bottom"/>
          </w:tcPr>
          <w:p>
            <w:pPr>
              <w:jc w:val="center"/>
              <w:ind w:right="1092"/>
              <w:spacing w:after="0"/>
              <w:rPr>
                <w:sz w:val="20"/>
                <w:szCs w:val="20"/>
                <w:color w:val="auto"/>
              </w:rPr>
            </w:pPr>
            <w:r>
              <w:rPr>
                <w:rFonts w:ascii="Arial" w:cs="Arial" w:eastAsia="Arial" w:hAnsi="Arial"/>
                <w:sz w:val="18"/>
                <w:szCs w:val="18"/>
                <w:i w:val="1"/>
                <w:iCs w:val="1"/>
                <w:color w:val="auto"/>
                <w:w w:val="92"/>
              </w:rPr>
              <w:t>(State or other jurisdiction of incorporation or organization)</w:t>
            </w:r>
          </w:p>
        </w:tc>
        <w:tc>
          <w:tcPr>
            <w:tcW w:w="3560" w:type="dxa"/>
            <w:vAlign w:val="bottom"/>
          </w:tcPr>
          <w:p>
            <w:pPr>
              <w:jc w:val="center"/>
              <w:ind w:left="109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39"/>
        </w:trPr>
        <w:tc>
          <w:tcPr>
            <w:tcW w:w="5480" w:type="dxa"/>
            <w:vAlign w:val="bottom"/>
          </w:tcPr>
          <w:p>
            <w:pPr>
              <w:jc w:val="center"/>
              <w:ind w:right="1132"/>
              <w:spacing w:after="0"/>
              <w:rPr>
                <w:sz w:val="20"/>
                <w:szCs w:val="20"/>
                <w:color w:val="auto"/>
              </w:rPr>
            </w:pPr>
            <w:r>
              <w:rPr>
                <w:rFonts w:ascii="Arial" w:cs="Arial" w:eastAsia="Arial" w:hAnsi="Arial"/>
                <w:sz w:val="18"/>
                <w:szCs w:val="18"/>
                <w:b w:val="1"/>
                <w:bCs w:val="1"/>
                <w:color w:val="auto"/>
                <w:w w:val="88"/>
              </w:rPr>
              <w:t>15 Secor Road, Brookfield, Connecticut</w:t>
            </w:r>
          </w:p>
        </w:tc>
        <w:tc>
          <w:tcPr>
            <w:tcW w:w="3560" w:type="dxa"/>
            <w:vAlign w:val="bottom"/>
          </w:tcPr>
          <w:p>
            <w:pPr>
              <w:jc w:val="right"/>
              <w:ind w:right="892"/>
              <w:spacing w:after="0"/>
              <w:rPr>
                <w:sz w:val="20"/>
                <w:szCs w:val="20"/>
                <w:color w:val="auto"/>
              </w:rPr>
            </w:pPr>
            <w:r>
              <w:rPr>
                <w:rFonts w:ascii="Arial" w:cs="Arial" w:eastAsia="Arial" w:hAnsi="Arial"/>
                <w:sz w:val="18"/>
                <w:szCs w:val="18"/>
                <w:b w:val="1"/>
                <w:bCs w:val="1"/>
                <w:color w:val="auto"/>
              </w:rPr>
              <w:t>06804</w:t>
            </w:r>
          </w:p>
        </w:tc>
      </w:tr>
      <w:tr>
        <w:trPr>
          <w:trHeight w:val="223"/>
        </w:trPr>
        <w:tc>
          <w:tcPr>
            <w:tcW w:w="5480" w:type="dxa"/>
            <w:vAlign w:val="bottom"/>
          </w:tcPr>
          <w:p>
            <w:pPr>
              <w:jc w:val="center"/>
              <w:ind w:right="111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560" w:type="dxa"/>
            <w:vAlign w:val="bottom"/>
          </w:tcPr>
          <w:p>
            <w:pPr>
              <w:jc w:val="center"/>
              <w:ind w:left="1092"/>
              <w:spacing w:after="0"/>
              <w:rPr>
                <w:sz w:val="20"/>
                <w:szCs w:val="20"/>
                <w:color w:val="auto"/>
              </w:rPr>
            </w:pPr>
            <w:r>
              <w:rPr>
                <w:rFonts w:ascii="Arial" w:cs="Arial" w:eastAsia="Arial" w:hAnsi="Arial"/>
                <w:sz w:val="18"/>
                <w:szCs w:val="18"/>
                <w:i w:val="1"/>
                <w:iCs w:val="1"/>
                <w:color w:val="auto"/>
                <w:w w:val="91"/>
              </w:rPr>
              <w:t>(Zip Code)</w:t>
            </w:r>
          </w:p>
        </w:tc>
      </w:tr>
      <w:tr>
        <w:trPr>
          <w:trHeight w:val="451"/>
        </w:trPr>
        <w:tc>
          <w:tcPr>
            <w:tcW w:w="5480" w:type="dxa"/>
            <w:vAlign w:val="bottom"/>
          </w:tcPr>
          <w:p>
            <w:pPr>
              <w:jc w:val="center"/>
              <w:ind w:right="1112"/>
              <w:spacing w:after="0"/>
              <w:rPr>
                <w:sz w:val="20"/>
                <w:szCs w:val="20"/>
                <w:color w:val="auto"/>
              </w:rPr>
            </w:pPr>
            <w:r>
              <w:rPr>
                <w:rFonts w:ascii="Arial" w:cs="Arial" w:eastAsia="Arial" w:hAnsi="Arial"/>
                <w:sz w:val="18"/>
                <w:szCs w:val="18"/>
                <w:color w:val="auto"/>
                <w:w w:val="87"/>
              </w:rPr>
              <w:t>Registrant's telephone number, including area code</w:t>
            </w:r>
          </w:p>
        </w:tc>
        <w:tc>
          <w:tcPr>
            <w:tcW w:w="3560" w:type="dxa"/>
            <w:vAlign w:val="bottom"/>
          </w:tcPr>
          <w:p>
            <w:pPr>
              <w:jc w:val="right"/>
              <w:ind w:right="552"/>
              <w:spacing w:after="0"/>
              <w:rPr>
                <w:sz w:val="20"/>
                <w:szCs w:val="20"/>
                <w:color w:val="auto"/>
              </w:rPr>
            </w:pPr>
            <w:r>
              <w:rPr>
                <w:rFonts w:ascii="Arial" w:cs="Arial" w:eastAsia="Arial" w:hAnsi="Arial"/>
                <w:sz w:val="18"/>
                <w:szCs w:val="18"/>
                <w:b w:val="1"/>
                <w:bCs w:val="1"/>
                <w:color w:val="auto"/>
              </w:rPr>
              <w:t>(203) 775-9000</w:t>
            </w:r>
          </w:p>
        </w:tc>
      </w:tr>
    </w:tbl>
    <w:p>
      <w:pPr>
        <w:spacing w:after="0" w:line="227" w:lineRule="exact"/>
        <w:rPr>
          <w:sz w:val="24"/>
          <w:szCs w:val="24"/>
          <w:color w:val="auto"/>
        </w:rPr>
      </w:pPr>
    </w:p>
    <w:p>
      <w:pPr>
        <w:ind w:left="3674"/>
        <w:spacing w:after="0"/>
        <w:rPr>
          <w:sz w:val="20"/>
          <w:szCs w:val="20"/>
          <w:color w:val="auto"/>
        </w:rPr>
      </w:pPr>
      <w:r>
        <w:rPr>
          <w:rFonts w:ascii="Arial" w:cs="Arial" w:eastAsia="Arial" w:hAnsi="Arial"/>
          <w:sz w:val="18"/>
          <w:szCs w:val="18"/>
          <w:i w:val="1"/>
          <w:iCs w:val="1"/>
          <w:color w:val="auto"/>
        </w:rPr>
        <w:t>Securities registered pursuant to Section 12(b) of the Act:</w:t>
      </w:r>
    </w:p>
    <w:p>
      <w:pPr>
        <w:sectPr>
          <w:pgSz w:w="11900" w:h="16928" w:orient="portrait"/>
          <w:cols w:equalWidth="0" w:num="1">
            <w:col w:w="10834"/>
          </w:cols>
          <w:pgMar w:left="246" w:top="302" w:right="819" w:bottom="0" w:gutter="0" w:footer="0" w:header="0"/>
        </w:sectPr>
      </w:pPr>
    </w:p>
    <w:p>
      <w:pPr>
        <w:spacing w:after="0" w:line="238" w:lineRule="exact"/>
        <w:rPr>
          <w:sz w:val="24"/>
          <w:szCs w:val="24"/>
          <w:color w:val="auto"/>
        </w:rPr>
      </w:pPr>
    </w:p>
    <w:p>
      <w:pPr>
        <w:jc w:val="center"/>
        <w:ind w:right="486"/>
        <w:spacing w:after="0"/>
        <w:rPr>
          <w:sz w:val="20"/>
          <w:szCs w:val="20"/>
          <w:color w:val="auto"/>
        </w:rPr>
      </w:pPr>
      <w:r>
        <w:rPr>
          <w:rFonts w:ascii="Arial" w:cs="Arial" w:eastAsia="Arial" w:hAnsi="Arial"/>
          <w:sz w:val="18"/>
          <w:szCs w:val="18"/>
          <w:b w:val="1"/>
          <w:bCs w:val="1"/>
          <w:color w:val="auto"/>
        </w:rPr>
        <w:t>Title of each class</w:t>
      </w:r>
    </w:p>
    <w:p>
      <w:pPr>
        <w:spacing w:after="0" w:line="22" w:lineRule="exact"/>
        <w:rPr>
          <w:sz w:val="24"/>
          <w:szCs w:val="24"/>
          <w:color w:val="auto"/>
        </w:rPr>
      </w:pPr>
    </w:p>
    <w:p>
      <w:pPr>
        <w:jc w:val="center"/>
        <w:ind w:right="486"/>
        <w:spacing w:after="0"/>
        <w:rPr>
          <w:sz w:val="20"/>
          <w:szCs w:val="20"/>
          <w:color w:val="auto"/>
        </w:rPr>
      </w:pPr>
      <w:r>
        <w:rPr>
          <w:rFonts w:ascii="Arial" w:cs="Arial" w:eastAsia="Arial" w:hAnsi="Arial"/>
          <w:sz w:val="15"/>
          <w:szCs w:val="15"/>
          <w:color w:val="auto"/>
        </w:rPr>
        <w:t>Common Stock, $.01 par value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6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NASDAQ Global Select Market</w:t>
      </w:r>
    </w:p>
    <w:p>
      <w:pPr>
        <w:spacing w:after="0" w:line="200" w:lineRule="exact"/>
        <w:rPr>
          <w:sz w:val="24"/>
          <w:szCs w:val="24"/>
          <w:color w:val="auto"/>
        </w:rPr>
      </w:pPr>
    </w:p>
    <w:p>
      <w:pPr>
        <w:sectPr>
          <w:pgSz w:w="11900" w:h="16928" w:orient="portrait"/>
          <w:cols w:equalWidth="0" w:num="2">
            <w:col w:w="6194" w:space="720"/>
            <w:col w:w="3920"/>
          </w:cols>
          <w:pgMar w:left="246" w:top="302" w:right="819" w:bottom="0" w:gutter="0" w:footer="0" w:header="0"/>
          <w:type w:val="continuous"/>
        </w:sectPr>
      </w:pPr>
    </w:p>
    <w:p>
      <w:pPr>
        <w:spacing w:after="0" w:line="32" w:lineRule="exact"/>
        <w:rPr>
          <w:sz w:val="24"/>
          <w:szCs w:val="24"/>
          <w:color w:val="auto"/>
        </w:rPr>
      </w:pPr>
    </w:p>
    <w:p>
      <w:pPr>
        <w:jc w:val="center"/>
        <w:ind w:right="-573"/>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16" w:lineRule="exact"/>
        <w:rPr>
          <w:sz w:val="24"/>
          <w:szCs w:val="24"/>
          <w:color w:val="auto"/>
        </w:rPr>
      </w:pPr>
    </w:p>
    <w:p>
      <w:pPr>
        <w:ind w:left="5514"/>
        <w:spacing w:after="0"/>
        <w:rPr>
          <w:sz w:val="20"/>
          <w:szCs w:val="20"/>
          <w:color w:val="auto"/>
        </w:rPr>
      </w:pPr>
      <w:r>
        <w:rPr>
          <w:rFonts w:ascii="Arial" w:cs="Arial" w:eastAsia="Arial" w:hAnsi="Arial"/>
          <w:sz w:val="18"/>
          <w:szCs w:val="18"/>
          <w:b w:val="1"/>
          <w:bCs w:val="1"/>
          <w:color w:val="auto"/>
        </w:rPr>
        <w:t>None</w:t>
      </w:r>
    </w:p>
    <w:p>
      <w:pPr>
        <w:spacing w:after="0" w:line="232" w:lineRule="exact"/>
        <w:rPr>
          <w:sz w:val="24"/>
          <w:szCs w:val="24"/>
          <w:color w:val="auto"/>
        </w:rPr>
      </w:pPr>
    </w:p>
    <w:p>
      <w:pPr>
        <w:ind w:left="794"/>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 w:lineRule="exact"/>
        <w:rPr>
          <w:sz w:val="24"/>
          <w:szCs w:val="24"/>
          <w:color w:val="auto"/>
        </w:rPr>
      </w:pPr>
    </w:p>
    <w:p>
      <w:pPr>
        <w:ind w:left="794"/>
        <w:spacing w:after="0"/>
        <w:rPr>
          <w:sz w:val="20"/>
          <w:szCs w:val="20"/>
          <w:color w:val="auto"/>
        </w:rPr>
      </w:pPr>
      <w:r>
        <w:rPr>
          <w:rFonts w:ascii="Arial" w:cs="Arial" w:eastAsia="Arial" w:hAnsi="Arial"/>
          <w:sz w:val="18"/>
          <w:szCs w:val="18"/>
          <w:color w:val="auto"/>
        </w:rPr>
        <w:t>Yes o No x</w:t>
      </w:r>
    </w:p>
    <w:p>
      <w:pPr>
        <w:spacing w:after="0" w:line="232" w:lineRule="exact"/>
        <w:rPr>
          <w:sz w:val="24"/>
          <w:szCs w:val="24"/>
          <w:color w:val="auto"/>
        </w:rPr>
      </w:pPr>
    </w:p>
    <w:p>
      <w:pPr>
        <w:ind w:left="794"/>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6" w:lineRule="exact"/>
        <w:rPr>
          <w:sz w:val="24"/>
          <w:szCs w:val="24"/>
          <w:color w:val="auto"/>
        </w:rPr>
      </w:pPr>
    </w:p>
    <w:p>
      <w:pPr>
        <w:ind w:left="794"/>
        <w:spacing w:after="0"/>
        <w:rPr>
          <w:sz w:val="20"/>
          <w:szCs w:val="20"/>
          <w:color w:val="auto"/>
        </w:rPr>
      </w:pPr>
      <w:r>
        <w:rPr>
          <w:rFonts w:ascii="Arial" w:cs="Arial" w:eastAsia="Arial" w:hAnsi="Arial"/>
          <w:sz w:val="18"/>
          <w:szCs w:val="18"/>
          <w:color w:val="auto"/>
        </w:rPr>
        <w:t>Yes o No x</w:t>
      </w:r>
    </w:p>
    <w:p>
      <w:pPr>
        <w:spacing w:after="0" w:line="232" w:lineRule="exact"/>
        <w:rPr>
          <w:sz w:val="24"/>
          <w:szCs w:val="24"/>
          <w:color w:val="auto"/>
        </w:rPr>
      </w:pPr>
    </w:p>
    <w:p>
      <w:pPr>
        <w:ind w:left="794"/>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w:t>
      </w:r>
    </w:p>
    <w:p>
      <w:pPr>
        <w:spacing w:after="0" w:line="51" w:lineRule="exact"/>
        <w:rPr>
          <w:sz w:val="24"/>
          <w:szCs w:val="24"/>
          <w:color w:val="auto"/>
        </w:rPr>
      </w:pPr>
    </w:p>
    <w:p>
      <w:pPr>
        <w:ind w:left="794"/>
        <w:spacing w:after="0"/>
        <w:rPr>
          <w:sz w:val="20"/>
          <w:szCs w:val="20"/>
          <w:color w:val="auto"/>
        </w:rPr>
      </w:pPr>
      <w:r>
        <w:rPr>
          <w:rFonts w:ascii="Arial" w:cs="Arial" w:eastAsia="Arial" w:hAnsi="Arial"/>
          <w:sz w:val="15"/>
          <w:szCs w:val="15"/>
          <w:color w:val="auto"/>
        </w:rPr>
        <w:t>Act of 1934 during the preceding 12 months (or for such shorter period that the registrant was required to file such reports), and (2) has been</w:t>
      </w:r>
    </w:p>
    <w:p>
      <w:pPr>
        <w:spacing w:after="0" w:line="40" w:lineRule="exact"/>
        <w:rPr>
          <w:sz w:val="24"/>
          <w:szCs w:val="24"/>
          <w:color w:val="auto"/>
        </w:rPr>
      </w:pPr>
    </w:p>
    <w:p>
      <w:pPr>
        <w:ind w:left="794"/>
        <w:spacing w:after="0"/>
        <w:rPr>
          <w:sz w:val="20"/>
          <w:szCs w:val="20"/>
          <w:color w:val="auto"/>
        </w:rPr>
      </w:pPr>
      <w:r>
        <w:rPr>
          <w:rFonts w:ascii="Arial" w:cs="Arial" w:eastAsia="Arial" w:hAnsi="Arial"/>
          <w:sz w:val="18"/>
          <w:szCs w:val="18"/>
          <w:color w:val="auto"/>
        </w:rPr>
        <w:t>subject to such filing requirements for the past 90 days.</w:t>
      </w:r>
    </w:p>
    <w:p>
      <w:pPr>
        <w:spacing w:after="0" w:line="5" w:lineRule="exact"/>
        <w:rPr>
          <w:sz w:val="24"/>
          <w:szCs w:val="24"/>
          <w:color w:val="auto"/>
        </w:rPr>
      </w:pPr>
    </w:p>
    <w:p>
      <w:pPr>
        <w:ind w:left="794"/>
        <w:spacing w:after="0"/>
        <w:rPr>
          <w:sz w:val="20"/>
          <w:szCs w:val="20"/>
          <w:color w:val="auto"/>
        </w:rPr>
      </w:pPr>
      <w:r>
        <w:rPr>
          <w:rFonts w:ascii="Arial" w:cs="Arial" w:eastAsia="Arial" w:hAnsi="Arial"/>
          <w:sz w:val="18"/>
          <w:szCs w:val="18"/>
          <w:color w:val="auto"/>
        </w:rPr>
        <w:t>Yes x No o</w:t>
      </w:r>
    </w:p>
    <w:p>
      <w:pPr>
        <w:spacing w:after="0" w:line="232" w:lineRule="exact"/>
        <w:rPr>
          <w:sz w:val="24"/>
          <w:szCs w:val="24"/>
          <w:color w:val="auto"/>
        </w:rPr>
      </w:pPr>
    </w:p>
    <w:p>
      <w:pPr>
        <w:ind w:left="794" w:right="360"/>
        <w:spacing w:after="0" w:line="252"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18" w:lineRule="exact"/>
        <w:rPr>
          <w:sz w:val="24"/>
          <w:szCs w:val="24"/>
          <w:color w:val="auto"/>
        </w:rPr>
      </w:pPr>
    </w:p>
    <w:p>
      <w:pPr>
        <w:ind w:left="794"/>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15" w:lineRule="exact"/>
        <w:rPr>
          <w:sz w:val="24"/>
          <w:szCs w:val="24"/>
          <w:color w:val="auto"/>
        </w:rPr>
      </w:pPr>
    </w:p>
    <w:p>
      <w:pPr>
        <w:ind w:left="794" w:right="44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ind w:left="794"/>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232" w:lineRule="exact"/>
        <w:rPr>
          <w:sz w:val="24"/>
          <w:szCs w:val="24"/>
          <w:color w:val="auto"/>
        </w:rPr>
      </w:pPr>
    </w:p>
    <w:p>
      <w:pPr>
        <w:ind w:left="794"/>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ind w:left="794"/>
        <w:spacing w:after="0"/>
        <w:rPr>
          <w:sz w:val="20"/>
          <w:szCs w:val="20"/>
          <w:color w:val="auto"/>
        </w:rPr>
      </w:pPr>
      <w:r>
        <w:rPr>
          <w:rFonts w:ascii="Arial" w:cs="Arial" w:eastAsia="Arial" w:hAnsi="Arial"/>
          <w:sz w:val="18"/>
          <w:szCs w:val="18"/>
          <w:color w:val="auto"/>
        </w:rPr>
        <w:t>Yes o No x</w:t>
      </w:r>
    </w:p>
    <w:p>
      <w:pPr>
        <w:spacing w:after="0" w:line="232" w:lineRule="exact"/>
        <w:rPr>
          <w:sz w:val="24"/>
          <w:szCs w:val="24"/>
          <w:color w:val="auto"/>
        </w:rPr>
      </w:pPr>
    </w:p>
    <w:p>
      <w:pPr>
        <w:jc w:val="both"/>
        <w:ind w:left="794" w:right="120"/>
        <w:spacing w:after="0" w:line="277" w:lineRule="auto"/>
        <w:rPr>
          <w:sz w:val="20"/>
          <w:szCs w:val="20"/>
          <w:color w:val="auto"/>
        </w:rPr>
      </w:pPr>
      <w:r>
        <w:rPr>
          <w:rFonts w:ascii="Arial" w:cs="Arial" w:eastAsia="Arial" w:hAnsi="Arial"/>
          <w:sz w:val="17"/>
          <w:szCs w:val="17"/>
          <w:color w:val="auto"/>
        </w:rPr>
        <w:t>As of April 29, 2012, which was the last business day of the registrant's most recently completed second fiscal quarter, the aggregate market value of the shares of the registrant's common stock held by non-affiliates was approximately $376,906,797 (based upon the closing price of $6.40 per share as reported by the NASDAQ Global Select Market on that date).</w:t>
      </w:r>
    </w:p>
    <w:p>
      <w:pPr>
        <w:sectPr>
          <w:pgSz w:w="11900" w:h="16928" w:orient="portrait"/>
          <w:cols w:equalWidth="0" w:num="1">
            <w:col w:w="10834"/>
          </w:cols>
          <w:pgMar w:left="246" w:top="302" w:right="819" w:bottom="0" w:gutter="0" w:footer="0" w:header="0"/>
          <w:type w:val="continuous"/>
        </w:sectPr>
      </w:pPr>
    </w:p>
    <w:bookmarkStart w:id="1" w:name="page2"/>
    <w:bookmarkEnd w:id="1"/>
    <w:p>
      <w:pPr>
        <w:ind w:left="800"/>
        <w:spacing w:after="0"/>
        <w:rPr>
          <w:sz w:val="20"/>
          <w:szCs w:val="20"/>
          <w:color w:val="auto"/>
        </w:rPr>
      </w:pPr>
      <w:r>
        <w:rPr>
          <w:rFonts w:ascii="Arial" w:cs="Arial" w:eastAsia="Arial" w:hAnsi="Arial"/>
          <w:sz w:val="18"/>
          <w:szCs w:val="18"/>
          <w:color w:val="auto"/>
        </w:rPr>
        <w:t>As of December 31, 2012, 60,721,580 shares of the registrant's common stock were outstanding.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8420" w:type="dxa"/>
            <w:vAlign w:val="bottom"/>
          </w:tcPr>
          <w:p>
            <w:pPr>
              <w:jc w:val="right"/>
              <w:ind w:right="3592"/>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413"/>
        </w:trPr>
        <w:tc>
          <w:tcPr>
            <w:tcW w:w="3000" w:type="dxa"/>
            <w:vAlign w:val="bottom"/>
          </w:tcPr>
          <w:p>
            <w:pPr>
              <w:spacing w:after="0"/>
              <w:rPr>
                <w:sz w:val="20"/>
                <w:szCs w:val="20"/>
                <w:color w:val="auto"/>
              </w:rPr>
            </w:pPr>
            <w:r>
              <w:rPr>
                <w:rFonts w:ascii="Arial" w:cs="Arial" w:eastAsia="Arial" w:hAnsi="Arial"/>
                <w:sz w:val="18"/>
                <w:szCs w:val="18"/>
                <w:color w:val="auto"/>
              </w:rPr>
              <w:t>Proxy Statement for the 2013</w:t>
            </w:r>
          </w:p>
        </w:tc>
        <w:tc>
          <w:tcPr>
            <w:tcW w:w="8420" w:type="dxa"/>
            <w:vAlign w:val="bottom"/>
          </w:tcPr>
          <w:p>
            <w:pPr>
              <w:spacing w:after="0"/>
              <w:rPr>
                <w:sz w:val="24"/>
                <w:szCs w:val="24"/>
                <w:color w:val="auto"/>
              </w:rPr>
            </w:pP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 be held in April 2013</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117"/>
        </w:trPr>
        <w:tc>
          <w:tcPr>
            <w:tcW w:w="3000" w:type="dxa"/>
            <w:vAlign w:val="bottom"/>
          </w:tcPr>
          <w:p>
            <w:pPr>
              <w:spacing w:after="0"/>
              <w:rPr>
                <w:sz w:val="10"/>
                <w:szCs w:val="10"/>
                <w:color w:val="auto"/>
              </w:rPr>
            </w:pPr>
          </w:p>
        </w:tc>
        <w:tc>
          <w:tcPr>
            <w:tcW w:w="8420" w:type="dxa"/>
            <w:vAlign w:val="bottom"/>
          </w:tcPr>
          <w:p>
            <w:pPr>
              <w:spacing w:after="0"/>
              <w:rPr>
                <w:sz w:val="10"/>
                <w:szCs w:val="10"/>
                <w:color w:val="auto"/>
              </w:rPr>
            </w:pPr>
          </w:p>
        </w:tc>
      </w:tr>
      <w:tr>
        <w:trPr>
          <w:trHeight w:val="70"/>
        </w:trPr>
        <w:tc>
          <w:tcPr>
            <w:tcW w:w="3000" w:type="dxa"/>
            <w:vAlign w:val="bottom"/>
            <w:shd w:val="clear" w:color="auto" w:fill="808080"/>
          </w:tcPr>
          <w:p>
            <w:pPr>
              <w:spacing w:after="0"/>
              <w:rPr>
                <w:sz w:val="6"/>
                <w:szCs w:val="6"/>
                <w:color w:val="auto"/>
              </w:rPr>
            </w:pPr>
          </w:p>
        </w:tc>
        <w:tc>
          <w:tcPr>
            <w:tcW w:w="8420" w:type="dxa"/>
            <w:vAlign w:val="bottom"/>
            <w:shd w:val="clear" w:color="auto" w:fill="808080"/>
          </w:tcPr>
          <w:p>
            <w:pPr>
              <w:spacing w:after="0"/>
              <w:rPr>
                <w:sz w:val="6"/>
                <w:szCs w:val="6"/>
                <w:color w:val="auto"/>
              </w:rPr>
            </w:pPr>
          </w:p>
        </w:tc>
      </w:tr>
      <w:tr>
        <w:trPr>
          <w:trHeight w:val="500"/>
        </w:trPr>
        <w:tc>
          <w:tcPr>
            <w:tcW w:w="300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ind w:firstLine="159"/>
        <w:spacing w:after="0" w:line="298" w:lineRule="auto"/>
        <w:rPr>
          <w:sz w:val="20"/>
          <w:szCs w:val="20"/>
          <w:color w:val="auto"/>
        </w:rPr>
      </w:pPr>
      <w:r>
        <w:rPr>
          <w:rFonts w:ascii="Arial" w:cs="Arial" w:eastAsia="Arial" w:hAnsi="Arial"/>
          <w:sz w:val="15"/>
          <w:szCs w:val="15"/>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annual report on Form 10-K,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expressed or implied by such forward-looking statements.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other cost savings in connection with acquisitions and productivity programs;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Photronics, Inc.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amendments to those reports filed or furnished pursuant to Section 13(a) or 15(d) of the Securities Exchange Act of 1934 as soon as reasonably practicable after such materials are electronically filed or furnished to the Securities and Exchange Commission. The information contained or incorporated in the Company's website is not part of these documents.</w:t>
      </w:r>
    </w:p>
    <w:p>
      <w:pPr>
        <w:spacing w:after="0" w:line="207"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 In the first quarter of fiscal 2012 the Company ceased the manufacturing of photomasks at its Singapore facility.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w:t>
      </w:r>
    </w:p>
    <w:p>
      <w:pPr>
        <w:spacing w:after="0" w:line="250"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Company manufactures photomasks, which are used as masters to transfer circuit patterns onto semiconductor wafers and flat panel substrates. The photomasks are manufactured in accordance with circuit designs provided on a confidential basis by the Company's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182" w:lineRule="exact"/>
        <w:rPr>
          <w:sz w:val="20"/>
          <w:szCs w:val="20"/>
          <w:color w:val="auto"/>
        </w:rPr>
      </w:pPr>
    </w:p>
    <w:p>
      <w:pPr>
        <w:ind w:right="160" w:firstLine="318"/>
        <w:spacing w:after="0" w:line="305" w:lineRule="auto"/>
        <w:rPr>
          <w:sz w:val="20"/>
          <w:szCs w:val="20"/>
          <w:color w:val="auto"/>
        </w:rPr>
      </w:pPr>
      <w:r>
        <w:rPr>
          <w:rFonts w:ascii="Arial" w:cs="Arial" w:eastAsia="Arial" w:hAnsi="Arial"/>
          <w:sz w:val="15"/>
          <w:szCs w:val="15"/>
          <w:color w:val="auto"/>
        </w:rPr>
        <w:t>The Company currently supports customers across the full spectrum of IC production and FPD technologies by manufacturing photomasks using electron beam or optical (laser-based) technologies. Electron beam and laser-based systems are the predominant technologies used for photomask manufacturing. These technologies are capable of producing the finer line resolution, tighter overlay and larger die size for the larger and more complex circuits currently being designed. Electron beam and laser generated photomasks can be used with the most advanced processing techniques to produce the most advanced semiconductors and FPDs for use in an array of products. However, in the case of IC production, electron beam technologies fabricate the large majority of critical layer photomasks. End markets served with IC photomasks include devices used for microprocessors, memory, telecommunications and related applications. The Company currently owns a number of high-end and mature electron beam and laser-based systems. Photomasks produced using laser-based systems are less expensive and less precise than those manufactured on high-end electron beam systems.</w:t>
      </w:r>
    </w:p>
    <w:p>
      <w:pPr>
        <w:spacing w:after="0" w:line="182"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geographic proximity to customers, efficient manufacturing methods, high production yield and high equipment reliability. The Company works to meet these requirements by making significant investments in research and development, manufacturing, and data processing systems, and by utilizing statistical process control methods to optimize the manufacturing process and reduce cycle times.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 w:name="page5"/>
    <w:bookmarkEnd w:id="4"/>
    <w:p>
      <w:pPr>
        <w:ind w:right="60" w:firstLine="318"/>
        <w:spacing w:after="0" w:line="252"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1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majority of IC photomasks produced for the semiconductor industry employ geometries of 65 nanometers or larger.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The Company has access to technology and customer qualified manufacturing capability that allows it to compete in high-end markets, serving both IC and FPD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0"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market for photomasks primarily consists of domestic and international semiconductor and FPD manufacturers and designers, including a limited number of manufacturers who have the capability to internally manufacture photomasks. Photomasks are manufactured by independent merchant manufacturers like Photronics, and by semiconductor and FPD manufacturers that produce photomasks exclusively for their own use (captive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the remaining and largest captive mask facilities have started investing at faster rates than independent manufacturers to capture certain roadmap requirements. Nevertheless, most captives maintain business and technology relationships with independent photomask manufacturers for ongoing support.</w:t>
      </w:r>
    </w:p>
    <w:p>
      <w:pPr>
        <w:spacing w:after="0" w:line="182"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the Company's performance is competitive, the Company will receive a specified percentage of that customer's photomask requirements.</w:t>
      </w:r>
    </w:p>
    <w:p>
      <w:pPr>
        <w:spacing w:after="0" w:line="204"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throughout the United States, Europe and Asia.</w:t>
      </w:r>
    </w:p>
    <w:p>
      <w:pPr>
        <w:spacing w:after="0" w:line="215"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The Company supports international customers through both its domestic and international facilities. The Company considers its presence in international markets to be an important factor in attracting new customers, providing global solutions to its customers, minimizing delivery time, and serving customers that utilize manufacturing foundries outside of the United States, principally in Asia. See Note 17 to the Company's consolidated financial statements for the amount of net sales and long-lived assets attributable to each of the Company's geographic areas of operations.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Customers</w:t>
      </w:r>
    </w:p>
    <w:p>
      <w:pPr>
        <w:spacing w:after="0" w:line="223"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Company primarily sells its products to leading semiconductor and FPD manufacturers. The Company's largest customers (listed alphabetically) during the fiscal year ended October 28, 2012 ("fiscal 2012") included the following:</w:t>
      </w:r>
    </w:p>
    <w:p>
      <w:pPr>
        <w:sectPr>
          <w:pgSz w:w="11900" w:h="16838" w:orient="portrait"/>
          <w:cols w:equalWidth="0" w:num="1">
            <w:col w:w="11420"/>
          </w:cols>
          <w:pgMar w:left="240" w:top="506"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Aptina Imaging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AU Optronics Corp.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Dongbu HiTek Co. Ltd.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Global Foundries,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Himax Display,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IM Flash Technologies, LLC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Inotera Memories,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Jenoptik AG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LG Electronics, Inc.</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Nanya Technology Corporation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Novatek Microelectronics Corp., Ltd.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Samsung Electronics Co., Ltd.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ST Microelectronics,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Systems on Silicon Manufacturing Co. Pte. Ltd.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United Microelectronics Corp.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X-FAB Silicon Foundries</w:t>
      </w:r>
    </w:p>
    <w:p>
      <w:pPr>
        <w:spacing w:after="0" w:line="200" w:lineRule="exact"/>
        <w:rPr>
          <w:sz w:val="20"/>
          <w:szCs w:val="20"/>
          <w:color w:val="auto"/>
        </w:rPr>
      </w:pPr>
    </w:p>
    <w:p>
      <w:pPr>
        <w:sectPr>
          <w:pgSz w:w="11900" w:h="16838" w:orient="portrait"/>
          <w:cols w:equalWidth="0" w:num="2">
            <w:col w:w="4440" w:space="720"/>
            <w:col w:w="6260"/>
          </w:cols>
          <w:pgMar w:left="240" w:top="506" w:right="239" w:bottom="1440" w:gutter="0" w:footer="0" w:header="0"/>
          <w:type w:val="continuous"/>
        </w:sectPr>
      </w:pPr>
    </w:p>
    <w:p>
      <w:pPr>
        <w:spacing w:after="0" w:line="6"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During fiscal 2012, the Company sold its products and services to approximately 600 customers. Samsung Electronics Co., Ltd. accounted for approximately 22%, 20% and 19% of the Company’s net sales in fiscal 2012, 2011 and 2010, respectively. This included sales of both IC and FPD photomasks. The Company's five largest customers, in the aggregate, accounted for approximately 43%, 45% and 39% of net sales in fiscal 2012, 2011 and 2010, respectively. A significant decrease in the amount of sales to any of these customers could have a material adverse effect on the financial performance and business prospects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3"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Company's quarterly revenues can be affected by the seasonal purchasing of its customers. The Company is typically impacted during its first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The Company conducts its primary research and development activities for IC photomasks at its MP Mask Technology Center, LLC ("MP Mask"), a joint venture with Micron Technology, Inc. (“Micron”) and at its U.S. nanoFab, both of which are located in Boise, Idaho, and also at PK, Ltd. (“PKL”), its subsidiary in Korea, and at Photronics Semiconductor Mask Corporation (“PSMC”), one of its subsidiaries in Taiwan, and for FPD photomasks at PKL, and in site-specific research and development programs to support strategic customers. These research and development programs and activities are designed to advance the Company's leadership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for ICs are focused on 20 nanometer node and below, and for FPDs on Generation 8 resolution enhancement masks, substrates larger than Generation 8 and masks for AMOLED type displays. The Company believes these core competencies will continue to be a critical part of semiconductor and FPD manufacturing, as optical lithography continues to scale device capabilities at and below 45 nanometer and at and above Generation 8. The Company has incurred research and development expenses of $ 19.4 million, $15.5 million and $14.9 million in fiscal 2012, 2011 and 2010, respectively. The Company believes that it owns, controls, or licenses valuable proprietary information that is necessary for its business as it is presently conducted. This includes trade secrets as well as patents. The Company believes that its intellectual property and trade secret know-how will continue to be important to its technical leadership in the field of photomasks.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ownership interests in over 50 issued U.S. patents, and over 24 registered patents in other parts of the world. The subject matter of these patents, which are registered in various countries, generally relates to the manufacture of IC photomasks or the use of photomasks to manufacture other products. The expiration dates of these patents range from 2018 to 2030. Additionally, pursuant to a technology license agreement with Micron, the Company has access to certain technology of Micron and MP Mask. The Company also has a number of trademarks and trademark registrations in the United States and in other countries.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type w:val="continuous"/>
        </w:sectPr>
      </w:pPr>
    </w:p>
    <w:bookmarkStart w:id="6" w:name="page7"/>
    <w:bookmarkEnd w:id="6"/>
    <w:p>
      <w:pPr>
        <w:ind w:right="20" w:firstLine="318"/>
        <w:spacing w:after="0" w:line="252" w:lineRule="auto"/>
        <w:rPr>
          <w:sz w:val="20"/>
          <w:szCs w:val="20"/>
          <w:color w:val="auto"/>
        </w:rPr>
      </w:pPr>
      <w:r>
        <w:rPr>
          <w:rFonts w:ascii="Arial" w:cs="Arial" w:eastAsia="Arial" w:hAnsi="Arial"/>
          <w:sz w:val="18"/>
          <w:szCs w:val="18"/>
          <w:color w:val="auto"/>
        </w:rPr>
        <w:t>While the Company believes that its intellectual property is, and will continue to be, important to the Company's technical leadership in the field of photomasks, the Company's operations are not dependent on any one individual patent. The Company protects its intellectual property rights regarding products and manufacturing processes by utilizing patents. The Company also relies on non-disclosure agreements with employees, customers and vendors to protect its intellectual property and proprietary processes.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Raw materials used by the Company generally include high precision quartz plates (including large area plates), which are used as photomask blanks,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The Company believes that its utilization of a select group of strategic suppliers enables it to access the most technologically advanced materials available. On an ongoing basis, the Company continues to consider additional supply sources.</w:t>
      </w:r>
    </w:p>
    <w:p>
      <w:pPr>
        <w:spacing w:after="0" w:line="221"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3"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Sales from the Company’s international operations were approximately 70%, 69% and 71% of the Company's net sales in fiscal 2012, 2011 and 2010, respectively. The Company believes that its ability to serve international markets requires it to have, among other things, a local presence in the markets that it serves. This requires a significant investment in financial, managerial, operational, and other resources.</w:t>
      </w:r>
    </w:p>
    <w:p>
      <w:pPr>
        <w:spacing w:after="0" w:line="215"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and potentially adverse tax consequences. These factors may have a material adverse effect on the Company's ability to generate sales outside of the United States and to deploy resources where they could otherwise be used to their greatest advantage and, consequently, may adversely affect its financial condition and results of operations. Note 17 of the notes to the Company's consolidated financial statements reports net sales and long-lived assets by geographic region.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3"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The photomask industry is highly competitive and most of the Company's customers utilize multiple photomask suppliers. The Company's ability to compete depends primarily upon the consistency of its products’ quality, timeliness of delivery, as well as pricing, technical capability and service, which the Company believes are the principal factors considered by customers in selecting their photomask suppliers. The Company also believes that proximity to customers is an important factor in certain markets where cycle time from order to delivery is critical. A few competitors have greater financial, technical, sales, marketing and other resources than the Company. An inability to meet these requirements could adversely affect the Company's financial condition, results of operations and cash flows. The Company believes that it is able to compete effectively because of its dedication to customer service, investment in state-of-the-art photomask equipment and facilities, and experienced technical employees.</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512" w:right="319" w:bottom="1440" w:gutter="0" w:footer="0" w:header="0"/>
        </w:sectPr>
      </w:pPr>
    </w:p>
    <w:bookmarkStart w:id="7" w:name="page8"/>
    <w:bookmarkEnd w:id="7"/>
    <w:p>
      <w:pPr>
        <w:ind w:firstLine="318"/>
        <w:spacing w:after="0" w:line="267" w:lineRule="auto"/>
        <w:rPr>
          <w:sz w:val="20"/>
          <w:szCs w:val="20"/>
          <w:color w:val="auto"/>
        </w:rPr>
      </w:pPr>
      <w:r>
        <w:rPr>
          <w:rFonts w:ascii="Arial" w:cs="Arial" w:eastAsia="Arial" w:hAnsi="Arial"/>
          <w:sz w:val="17"/>
          <w:szCs w:val="17"/>
          <w:color w:val="auto"/>
        </w:rPr>
        <w:t>The Company estimates that, for the types of photomasks it manufactures (IC and FPD), the size of the total market (captive and merchant) is approximately $3.6 billion. Its competitors include Compugraphics, Inc., Dai Nippon Printing Co., Ltd., Hoya Corporation, SK-Electronics Co. Ltd., Taiwan Mask Corporation and Toppan Printing Co., Ltd.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manufacturers, and expects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0" w:lineRule="exact"/>
        <w:rPr>
          <w:sz w:val="20"/>
          <w:szCs w:val="20"/>
          <w:color w:val="auto"/>
        </w:rPr>
      </w:pPr>
    </w:p>
    <w:p>
      <w:pPr>
        <w:ind w:right="240" w:firstLine="318"/>
        <w:spacing w:after="0" w:line="265" w:lineRule="auto"/>
        <w:rPr>
          <w:sz w:val="20"/>
          <w:szCs w:val="20"/>
          <w:color w:val="auto"/>
        </w:rPr>
      </w:pPr>
      <w:r>
        <w:rPr>
          <w:rFonts w:ascii="Arial" w:cs="Arial" w:eastAsia="Arial" w:hAnsi="Arial"/>
          <w:sz w:val="18"/>
          <w:szCs w:val="18"/>
          <w:color w:val="auto"/>
        </w:rPr>
        <w:t>As of October 28, 2012, the Company had approximately 1,300 employees. The Company believes it offers competitive compensation and other benefits and that its employee relations are good.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Company's dependency on the semiconductor industry, which as a whole is volatile, could have a negative material impact on its business.</w:t>
      </w:r>
    </w:p>
    <w:p>
      <w:pPr>
        <w:spacing w:after="0" w:line="28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or FPD designs could reduce demand for photomasks even if the demand for semiconductors and FPDs increases.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82"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Company's results may suffer if either the IC or FPD photomask market does not grow or if the Company is unable to serve these markets successfully. The Company believes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A slowdown in the development of new technologies for fabricating ICs or FPDs could reduce the demand for related photomasks even if the demand for ICs or FPDs increases.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future net losses.</w:t>
      </w:r>
    </w:p>
    <w:p>
      <w:pPr>
        <w:spacing w:after="0" w:line="250"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Although the Company has been profitable since fiscal 2010, it has, in the past, incurred net losses. The net losses experienced in prior recent years were due, in part, to macroeconomic factors, which resulted in significant charges for restructurings and impairments of long-lived assets. The Company cannot provide assurance that it will not incur net losses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w:t>
      </w:r>
    </w:p>
    <w:p>
      <w:pPr>
        <w:spacing w:after="0" w:line="25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The Company operates in a high fixed cost environment and, should its revenues and asset utilization decrease, its operating margins could be negatively impacted.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8" w:name="page9"/>
    <w:bookmarkEnd w:id="8"/>
    <w:p>
      <w:pPr>
        <w:ind w:right="40" w:firstLine="318"/>
        <w:spacing w:after="0" w:line="307" w:lineRule="auto"/>
        <w:rPr>
          <w:sz w:val="20"/>
          <w:szCs w:val="20"/>
          <w:color w:val="auto"/>
        </w:rPr>
      </w:pPr>
      <w:r>
        <w:rPr>
          <w:rFonts w:ascii="Arial" w:cs="Arial" w:eastAsia="Arial" w:hAnsi="Arial"/>
          <w:sz w:val="15"/>
          <w:szCs w:val="15"/>
          <w:color w:val="auto"/>
        </w:rPr>
        <w:t>The Company's customers generally order photomasks on an as-needed basis, and substantially all of the Company's net sales in any quarter are dependent on orders received during that quarter. Since the Company operates with little backlog and the rate of new orders may vary significantly from quarter-to-quarter, the Company's capital expenditures and, to some extent, expense levels are based primarily on sales forecasts. Consequently, if anticipated sales in any quarter do not occur when expected, capital expenditures and expense levels could be disproportionately high, and the Company's operating results would be adversely affected. Due to the foregoing factors, the Company believes that quarter-to-quarter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could materially adversely affect the market price of the Company's common stock.</w:t>
      </w:r>
    </w:p>
    <w:p>
      <w:pPr>
        <w:spacing w:after="0" w:line="173"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color w:val="auto"/>
        </w:rPr>
        <w:t>The photomask industry is subject to rapid technological change and the Company might fail to remain competitive, which could have a material adverse effect on the Company's business and results of operations.</w:t>
      </w:r>
    </w:p>
    <w:p>
      <w:pPr>
        <w:spacing w:after="0" w:line="173" w:lineRule="exact"/>
        <w:rPr>
          <w:sz w:val="20"/>
          <w:szCs w:val="20"/>
          <w:color w:val="auto"/>
        </w:rPr>
      </w:pPr>
    </w:p>
    <w:p>
      <w:pPr>
        <w:ind w:right="80" w:firstLine="318"/>
        <w:spacing w:after="0" w:line="301" w:lineRule="auto"/>
        <w:rPr>
          <w:sz w:val="20"/>
          <w:szCs w:val="20"/>
          <w:color w:val="auto"/>
        </w:rPr>
      </w:pPr>
      <w:r>
        <w:rPr>
          <w:rFonts w:ascii="Arial" w:cs="Arial" w:eastAsia="Arial" w:hAnsi="Arial"/>
          <w:sz w:val="15"/>
          <w:szCs w:val="15"/>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replace application-specific ICs. Furthermore, increased market acceptance of alternative methods of transferring IC designs onto semiconductor wafers could reduce or eliminate the need for photomasks in the production of semiconductors. As of the end of fiscal 2012,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designs to semiconductor wafers without the use of photomasks achieve market acceptance, and if the Company is unable to anticipate, respond to or utilize these or other technological changes, due to resource, technological or other constraints, its business and results of operations could be materially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50"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The manufacture of photomasks requires substantial investments by the Company in high-end manufacturing capability. The Company expects that it will be required to continue to make substantial capital expenditures to meet the technological demands of its customers and to position itself for future growth. The Company's capital expenditure payments for fiscal 2013 are expected to be in the range of $70 million to $90 million, of which $7 million was in accounts payable and accrued liabilities as of October 28, 2012. The Company cannot provide assurance that it will be able to obtain the additional capital required to fund its operations on reasonable terms, if at all, or that any such inability will not have a material adverse effect on its business and results of operations.</w:t>
      </w:r>
    </w:p>
    <w:p>
      <w:pPr>
        <w:spacing w:after="0" w:line="172" w:lineRule="exact"/>
        <w:rPr>
          <w:sz w:val="20"/>
          <w:szCs w:val="20"/>
          <w:color w:val="auto"/>
        </w:rPr>
      </w:pPr>
    </w:p>
    <w:p>
      <w:pPr>
        <w:spacing w:after="0" w:line="374" w:lineRule="auto"/>
        <w:rPr>
          <w:sz w:val="20"/>
          <w:szCs w:val="20"/>
          <w:color w:val="auto"/>
        </w:rPr>
      </w:pPr>
      <w:r>
        <w:rPr>
          <w:rFonts w:ascii="Arial" w:cs="Arial" w:eastAsia="Arial" w:hAnsi="Arial"/>
          <w:sz w:val="15"/>
          <w:szCs w:val="15"/>
          <w:b w:val="1"/>
          <w:bCs w:val="1"/>
          <w:color w:val="auto"/>
        </w:rPr>
        <w:t>The Company's agreements with Micron have several risks; should either company not comply or execute under these agreements it could significantly disrupt the Company's business and technological activities, which could have a material adverse effect on the Company's operations or cash flows.</w:t>
      </w:r>
    </w:p>
    <w:p>
      <w:pPr>
        <w:spacing w:after="0" w:line="131" w:lineRule="exact"/>
        <w:rPr>
          <w:sz w:val="20"/>
          <w:szCs w:val="20"/>
          <w:color w:val="auto"/>
        </w:rPr>
      </w:pPr>
    </w:p>
    <w:p>
      <w:pPr>
        <w:ind w:right="100" w:firstLine="318"/>
        <w:spacing w:after="0" w:line="269" w:lineRule="auto"/>
        <w:rPr>
          <w:sz w:val="20"/>
          <w:szCs w:val="20"/>
          <w:color w:val="auto"/>
        </w:rPr>
      </w:pPr>
      <w:r>
        <w:rPr>
          <w:rFonts w:ascii="Arial" w:cs="Arial" w:eastAsia="Arial" w:hAnsi="Arial"/>
          <w:sz w:val="17"/>
          <w:szCs w:val="17"/>
          <w:color w:val="auto"/>
        </w:rPr>
        <w:t>In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 million in exchange for a 49.99% interest in MP Mask, a license for photomask technology of Micron and certain supply agreements. Since the formation of the joint venture, the Company has, through October 28, 2012, made contributions to MP Mask of $38 million and received returns of investments of $10 million.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9" w:name="page10"/>
    <w:bookmarkEnd w:id="9"/>
    <w:p>
      <w:pPr>
        <w:ind w:right="120" w:firstLine="318"/>
        <w:spacing w:after="0" w:line="267" w:lineRule="auto"/>
        <w:rPr>
          <w:sz w:val="20"/>
          <w:szCs w:val="20"/>
          <w:color w:val="auto"/>
        </w:rPr>
      </w:pPr>
      <w:r>
        <w:rPr>
          <w:rFonts w:ascii="Arial" w:cs="Arial" w:eastAsia="Arial" w:hAnsi="Arial"/>
          <w:sz w:val="17"/>
          <w:szCs w:val="17"/>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207"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The failure of Photronics or Micron to comply or execute under any of these agreements, capitalize on the use of existing technology or further develop technology could result in a significant disruption to the Company's business and technological activities, and could adversely affect the Company's operations and cash flows.</w:t>
      </w:r>
    </w:p>
    <w:p>
      <w:pPr>
        <w:spacing w:after="0" w:line="20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 significant reduction in orders from these customers could have a material adverse effect on its sales and results of operations.</w:t>
      </w:r>
    </w:p>
    <w:p>
      <w:pPr>
        <w:spacing w:after="0" w:line="200"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Historically, the Company has sold a significant proportion of photomasks to a limited number of IC and FPD manufacturers. During fiscal 2012, one customer, Samsung Electronics Co., Ltd., accounted for approximately 22% of the Company's net sales. The Company's five largest customers, in the aggregate, accounted for approximately 43%, 45% and 39% of net sales in fiscal 2012, 2011, and 2010, respectively. None of the Company's customers has entered into a significant long-term agreement with the Company requiring them to purchase the Company's products. The loss of a significant customer or a significant reduction or delay in orders from any significant customer, (including reductions or delays due to customer departures from recent buying patterns), or an unfavorable change in market, economic, or competitive conditions in the semiconductor or FPD industries, could have a material adverse effect on the Company's financial performance and business prospects. The consolidation of semiconductor manufacturers or an economic downturn in the semiconductor industry may increase the likelihood of losing a significant customer and also have an adverse effect on the Company's financial performance and business prospects.</w:t>
      </w:r>
    </w:p>
    <w:p>
      <w:pPr>
        <w:spacing w:after="0" w:line="217" w:lineRule="exact"/>
        <w:rPr>
          <w:sz w:val="20"/>
          <w:szCs w:val="20"/>
          <w:color w:val="auto"/>
        </w:rPr>
      </w:pPr>
    </w:p>
    <w:p>
      <w:pPr>
        <w:ind w:right="220"/>
        <w:spacing w:after="0" w:line="374" w:lineRule="auto"/>
        <w:rPr>
          <w:sz w:val="20"/>
          <w:szCs w:val="20"/>
          <w:color w:val="auto"/>
        </w:rPr>
      </w:pPr>
      <w:r>
        <w:rPr>
          <w:rFonts w:ascii="Arial" w:cs="Arial" w:eastAsia="Arial" w:hAnsi="Arial"/>
          <w:sz w:val="15"/>
          <w:szCs w:val="15"/>
          <w:b w:val="1"/>
          <w:bCs w:val="1"/>
          <w:color w:val="auto"/>
        </w:rPr>
        <w:t>The Company depends on a small number of suppliers for equipment and raw materials and, if the Company's suppliers do not deliver their products to it, the Company may be unable to deliver its products to its customers, which could adversely affect its business and results of operations.</w:t>
      </w:r>
    </w:p>
    <w:p>
      <w:pPr>
        <w:spacing w:after="0" w:line="131" w:lineRule="exact"/>
        <w:rPr>
          <w:sz w:val="20"/>
          <w:szCs w:val="20"/>
          <w:color w:val="auto"/>
        </w:rPr>
      </w:pPr>
    </w:p>
    <w:p>
      <w:pPr>
        <w:ind w:right="280" w:firstLine="318"/>
        <w:spacing w:after="0" w:line="312" w:lineRule="auto"/>
        <w:rPr>
          <w:sz w:val="20"/>
          <w:szCs w:val="20"/>
          <w:color w:val="auto"/>
        </w:rPr>
      </w:pPr>
      <w:r>
        <w:rPr>
          <w:rFonts w:ascii="Arial" w:cs="Arial" w:eastAsia="Arial" w:hAnsi="Arial"/>
          <w:sz w:val="15"/>
          <w:szCs w:val="15"/>
          <w:color w:val="auto"/>
        </w:rPr>
        <w:t>The Company relies on a limited number of photomask equipment manufacturers to develop and supply the equipment it uses.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Further, the Company relies on equipment manufacturers to develop future generations of manufacturing equipment to meet its requirements. In addition, the manufacturing equipment necessary to produce advanced photomasks could become prohibitively expensive.</w:t>
      </w:r>
    </w:p>
    <w:p>
      <w:pPr>
        <w:spacing w:after="0" w:line="17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uses high precision quartz photomask blanks, pellicles, and electronic grade chemicals in its manufacturing processes. There are a limited number of suppliers of these raw materials. The Company has no long-term contracts for the supply of these raw materials. Any delays or quality problems in connection with significant raw materials, particularly photomask blanks, could cause delays in the shipments of photomasks, which could have a material adverse effect on the Company's business and results of operations. The fluctuation of foreign currency exchange rates, with respect to prices of equipment and raw materials used in manufacturing, could also have a material adverse effect on the Company's business and results of operations.</w:t>
      </w: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85" w:right="13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b w:val="1"/>
          <w:bCs w:val="1"/>
          <w:color w:val="auto"/>
        </w:rPr>
        <w:t>The Company faces risks associated with the use of sophisticated equipment and complex manufacturing processes and technologies. The inability of the Company to effectively utilize such equipment and perform such processes and technologies could have a material adverse effect on its business and results of operations.</w:t>
      </w:r>
    </w:p>
    <w:p>
      <w:pPr>
        <w:spacing w:after="0" w:line="21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debt agreements limit its ability to obtain financing and may obligate the Company to repay debt before its maturity.</w:t>
      </w:r>
    </w:p>
    <w:p>
      <w:pPr>
        <w:spacing w:after="0" w:line="250"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Financial covenants related to the Company’s credit facility include Total Leverage Ratio, a Minimum Fixed Charge Ratio, and Minimum Unrestricted Cash Balances. Existing covenant restrictions limit the Company's ability to obtain additional debt financing and, should Photronics be unable to meet one or more of these covenants, its lenders may require the Company to repay any outstanding balance prior to the expiration date of the agreements. The Company's ability to comply with the financial and other covenants in its debt agreements may be affected by worsening economic or business conditions, or other events. The Company cannot assure that additional sources of financing would be available to pay off any long-term borrowings, so as to avoid default. Should the Company default on certain of its long-term borrowings, a cross default would occur on other long-term borrowings, unless amended or waived.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future acquisitions may entail certain operational and financial risks.</w:t>
      </w:r>
    </w:p>
    <w:p>
      <w:pPr>
        <w:spacing w:after="0" w:line="250" w:lineRule="exact"/>
        <w:rPr>
          <w:sz w:val="20"/>
          <w:szCs w:val="20"/>
          <w:color w:val="auto"/>
        </w:rPr>
      </w:pPr>
    </w:p>
    <w:p>
      <w:pPr>
        <w:ind w:right="40" w:firstLine="318"/>
        <w:spacing w:after="0" w:line="307" w:lineRule="auto"/>
        <w:rPr>
          <w:sz w:val="20"/>
          <w:szCs w:val="20"/>
          <w:color w:val="auto"/>
        </w:rPr>
      </w:pPr>
      <w:r>
        <w:rPr>
          <w:rFonts w:ascii="Arial" w:cs="Arial" w:eastAsia="Arial" w:hAnsi="Arial"/>
          <w:sz w:val="15"/>
          <w:szCs w:val="15"/>
          <w:color w:val="auto"/>
        </w:rPr>
        <w:t>The Company has made significant acquisitions throughout its history. The Company may make additional acquisitions in the future. Acquisitions place significant demands on the Company's administrative, operational and financial personnel and systems. Managing acquired operations entails numerous operational and financial risks, including difficulties in the assimilation of acquired operations, diversion of management's attention from other business concerns, managing assets in multiple geographic regions, determining values of acquired intangible assets and the potential loss of key employees of acquired operations. Sales of acquired operations may decline following an acquisition, particularly if there is an overlap of customers served by the Company and the acquired operation, and these customers transition to another vendor in order to ensure a second source of supply. Furthermore, the Company may be required to utilize its cash reserves and/or issue new securities to fund future acquisitions, which could have a dilutive effect on its earnings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cash flows from operations and current holdings of cash may not be adequate for its current and long-term needs.</w:t>
      </w:r>
    </w:p>
    <w:p>
      <w:pPr>
        <w:spacing w:after="0" w:line="250"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The Company's liquidity is highly dependent on its sales volume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available to it. Therefore, the Company cannot provide assurance that additional sources of financing would be available to it on commercially favorable terms, if at all, should its cash requirements exceed its cash available from operations, existing cash, and cash available under its credit facility.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11" w:name="page12"/>
    <w:bookmarkEnd w:id="11"/>
    <w:p>
      <w:pPr>
        <w:ind w:right="240"/>
        <w:spacing w:after="0" w:line="272" w:lineRule="auto"/>
        <w:rPr>
          <w:sz w:val="20"/>
          <w:szCs w:val="20"/>
          <w:color w:val="auto"/>
        </w:rPr>
      </w:pPr>
      <w:r>
        <w:rPr>
          <w:rFonts w:ascii="Arial" w:cs="Arial" w:eastAsia="Arial" w:hAnsi="Arial"/>
          <w:sz w:val="18"/>
          <w:szCs w:val="18"/>
          <w:b w:val="1"/>
          <w:bCs w:val="1"/>
          <w:color w:val="auto"/>
        </w:rPr>
        <w:t>The Company may fail to realize projected benefits related to its fiscal 2012 restructuring in Singapore or, it may incur unforeseen charges related to any other possible future facility closures or restructurings.</w:t>
      </w:r>
    </w:p>
    <w:p>
      <w:pPr>
        <w:spacing w:after="0" w:line="200"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In order to lower its operating costs and increase its manufacturing efficiencies, in December 2011 the Company ceased the manufacture of photomasks at its facility in Singapore. However, the Company cannot assure that this action will result in its realizing the projected benefits related to this restructuring. The Company also cannot provide assurance that there will not be additional facility closures or other restructurings in the near or long-term, nor can it assure that it will not incur significant charges, should there be any additional future facility closures or restructurings.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The Company operates in a highly competitive environment and, should it be unable to meet its customers’ requirements for product quality, timeliness of delivery or technical capabilities, its sales could be adversely affected.</w:t>
      </w:r>
    </w:p>
    <w:p>
      <w:pPr>
        <w:spacing w:after="0" w:line="20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photomask industry is highly competitive, and most of the Company's customers utilize more than one photomask supplier. The Company's competitors include Compugraphics, Inc., Dai Nippon Printing Co., Ltd., Hoya Corporation, SK-Electronics Co., Ltd., Taiwan Mask Corporation and Toppan Printing Co., Ltd. The Company also competes with semiconductor manufacturers' captive photomask manufacturing operations, some of which market their photomask manufacturing services to outside customers. The Company expects to face continued competition from these and other suppliers in the future. Many of the Company's competitors have substantially greater financial, technical, sales, marketing and other resources than it has.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requirements could have a material adverse effect on its business and results of operations. In the past, competition led to pressure to reduce prices which, the Company believes, contributed to the decrease in the number of independent photomask suppliers. This pressure to reduce prices may continue in the future.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Sales from the Company’s international operations were approximately 70%, 69% and 71% of the Company's net sales in fiscal 2012, 2011 and 2010, respectively. The Company believes that maintaining significant international operations requires it to have, among other things, a local presence in the geographic markets that it supplies. This requires significant investments in financial, managerial, operational, and other resources. Since 1996, the Company has significantly expanded its operations in international markets by acquiring existing businesses in Europe, acquiring majority equity interests in photomask manufacturing operations in Korea and Taiwan and building a new manufacturing facility for FPD photomasks in Taiwan.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225" w:lineRule="exact"/>
        <w:rPr>
          <w:sz w:val="20"/>
          <w:szCs w:val="20"/>
          <w:color w:val="auto"/>
        </w:rPr>
      </w:pPr>
    </w:p>
    <w:p>
      <w:pPr>
        <w:jc w:val="both"/>
        <w:ind w:right="80" w:firstLine="318"/>
        <w:spacing w:after="0" w:line="271"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198"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color w:val="auto"/>
        </w:rPr>
        <w:t>Changes in foreign currency exchange rates could have a material adverse effect on the Company's results of operations, financial condition or cash flows.</w:t>
      </w:r>
    </w:p>
    <w:p>
      <w:pPr>
        <w:spacing w:after="0" w:line="200"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(U.S. GAAP) and are reported in U.S. dollars. The Company's operations have transactions and balances denominated in currencies other than the U.S. dollar, primarily the Korean won, New Taiwan dollar, Japanese yen, Singapore dollar, euro, and the pound sterling. In fiscal 2012, the Company recorded a net gain from changes in foreign currency exchange rates of $0.2 million in its statement of income, while its net assets were increased by $5.8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2" w:name="page13"/>
    <w:bookmarkEnd w:id="12"/>
    <w:p>
      <w:pPr>
        <w:ind w:right="320"/>
        <w:spacing w:after="0" w:line="272"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200" w:lineRule="exact"/>
        <w:rPr>
          <w:sz w:val="20"/>
          <w:szCs w:val="20"/>
          <w:color w:val="auto"/>
        </w:rPr>
      </w:pPr>
    </w:p>
    <w:p>
      <w:pPr>
        <w:jc w:val="both"/>
        <w:ind w:right="220" w:firstLine="318"/>
        <w:spacing w:after="0" w:line="252" w:lineRule="auto"/>
        <w:rPr>
          <w:sz w:val="20"/>
          <w:szCs w:val="20"/>
          <w:color w:val="auto"/>
        </w:rPr>
      </w:pPr>
      <w:r>
        <w:rPr>
          <w:rFonts w:ascii="Arial" w:cs="Arial" w:eastAsia="Arial" w:hAnsi="Arial"/>
          <w:sz w:val="18"/>
          <w:szCs w:val="18"/>
          <w:color w:val="auto"/>
        </w:rPr>
        <w:t>The Company's success depends, in part, upon key managerial, engineering and technical personnel, as well as its ability to continue to attract and retain additional qualified personnel. The loss of certain key personnel could have a material adverse effect upon the Company's business and results of operations. There can be no assurance that the Company can retain its key managerial, and technical employees, or that it can attract similar additional employees in the future.</w:t>
      </w:r>
    </w:p>
    <w:p>
      <w:pPr>
        <w:spacing w:after="0" w:line="212" w:lineRule="exact"/>
        <w:rPr>
          <w:sz w:val="20"/>
          <w:szCs w:val="20"/>
          <w:color w:val="auto"/>
        </w:rPr>
      </w:pPr>
    </w:p>
    <w:p>
      <w:pPr>
        <w:ind w:right="520"/>
        <w:spacing w:after="0" w:line="374" w:lineRule="auto"/>
        <w:rPr>
          <w:sz w:val="20"/>
          <w:szCs w:val="20"/>
          <w:color w:val="auto"/>
        </w:rPr>
      </w:pPr>
      <w:r>
        <w:rPr>
          <w:rFonts w:ascii="Arial" w:cs="Arial" w:eastAsia="Arial" w:hAnsi="Arial"/>
          <w:sz w:val="15"/>
          <w:szCs w:val="15"/>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31"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related to manufacturing processes is not patented and may not be patentable. The Company cannot offer assurance that:</w:t>
      </w:r>
    </w:p>
    <w:p>
      <w:pPr>
        <w:spacing w:after="0" w:line="215"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be able to adequately protect its technology;</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its intellectual property rights.</w:t>
      </w:r>
    </w:p>
    <w:p>
      <w:pPr>
        <w:spacing w:after="0" w:line="24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or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 may be unprepared for changes to environmental laws and regulations and may incur liabilities arising from environmental matters.</w:t>
      </w:r>
    </w:p>
    <w:p>
      <w:pPr>
        <w:spacing w:after="0" w:line="28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21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addition, these laws and regulations may impose clean-up liabilities on current and former owners and operators of real property as well as parties who arrange for the disposal of hazardous substances at off-site locations owned or operated by others, without regard to fault, so that these liabilities may be joint and several with other parties. In the past, the Company has been involved in remediation activities related to its properties. The Company believes, based upon current information, that environmental liabilities relating to these activities or other matters are not material to its financial position or operations. However, there can be no assurances that the Company will not incur any material environmental liabilities in the future.</w:t>
      </w:r>
    </w:p>
    <w:p>
      <w:pPr>
        <w:spacing w:after="0" w:line="172"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200"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A major catastrophe, such as an earthquake or other natural disaster, labor strike, or work stoppage at any manufacturing facility of the Company, its suppliers, or its customers, could result in a prolonged interruption of the Company’s business. A disruption resulting from any one of these events could cause significant delays in shipments of the Company's products and the loss of sales and customers, which could have a material adverse effect on the Company's financial position, results of operations, and cash flows. The Company's facilities in Taiwan are located in a seismically active area.</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506" w:right="339" w:bottom="1440" w:gutter="0" w:footer="0" w:header="0"/>
        </w:sectPr>
      </w:pPr>
    </w:p>
    <w:bookmarkStart w:id="13" w:name="page14"/>
    <w:bookmarkEnd w:id="13"/>
    <w:p>
      <w:pPr>
        <w:ind w:right="40"/>
        <w:spacing w:after="0" w:line="272"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results of operations and cash flows.</w:t>
      </w:r>
    </w:p>
    <w:p>
      <w:pPr>
        <w:spacing w:after="0" w:line="200"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Unfavorable general economic conditions in the U.S. or other countries in which the Company or its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manufacturers, and adversely affect the Company's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0"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0"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The Company's business could be adversely affected by terrorist acts, major natural disasters, widespread outbreaks of infectious diseases, or the outbreak or escalation of wars, especially in the Asian region, where the Company generates a significant portion of its sales, and in Japan where it purchases raw materials and capital equipment. Such events in the geographic regions in which the Company does business, including escalations of political tensions and military operations within the Korean Peninsula, where a major portion of the Company's foreign operations are located, could have material adverse impacts on its sales volume, cost of raw materials, results of operations, cash flows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the Company’s operations.</w:t>
      </w:r>
    </w:p>
    <w:p>
      <w:pPr>
        <w:spacing w:after="0" w:line="223"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Company relies on information technology systems to process, transmit, store, and protect electronic information. For example, a significant portion of the communications between the Company’s personnel, customers, and suppliers depends on information technology. Information technology systems of the Company may be vulnerable to a variety of interruptions due to events beyond its control including, but not limited to, natural disasters, terrorist attacks, telecommunications failures, computer viruses, hackers, and other security issues. The Company has technology and information security processes and disaster recovery plans in place to mitigate its risk to these vulnerabilities. However, these measures may not be adequate to ensure that its operations will not be disrupted, should such an event occur.</w:t>
      </w:r>
    </w:p>
    <w:p>
      <w:pPr>
        <w:spacing w:after="0" w:line="21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Servicing the Company's debt requires a significant amount of cash, and the Company may not have sufficient cash flows from its operations to pay its indebtedness.</w:t>
      </w:r>
    </w:p>
    <w:p>
      <w:pPr>
        <w:spacing w:after="0" w:line="200"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The Company's ability to make scheduled payments of debt principal and interest or to refinance its indebtedness depends on its future performance, which is subject to economic, financial, competitive and other factors beyond the Company's control. The Company's business may not continue to generate sufficient cash flows from operations in the future to both service its debt and make necessary capital expenditures. If the Company is unable to generate such cash flows, it may be required to adopt one or more alternatives, such as selling assets, restructuring debt or obtaining additional equity capital on terms that may be onerous or highly dilutive. The Company's ability to refinance its indebtedness will depend upon the conditions in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4" w:name="page15"/>
    <w:bookmarkEnd w:id="14"/>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Type of</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Allen, Texas</w:t>
            </w: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Boise, Idaho</w:t>
            </w:r>
          </w:p>
        </w:tc>
        <w:tc>
          <w:tcPr>
            <w:tcW w:w="5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Owned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Bridgend, South Wales</w:t>
            </w:r>
          </w:p>
        </w:tc>
        <w:tc>
          <w:tcPr>
            <w:tcW w:w="5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Leased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Cheonan, Korea</w:t>
            </w: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Dresden, Germany</w:t>
            </w:r>
          </w:p>
        </w:tc>
        <w:tc>
          <w:tcPr>
            <w:tcW w:w="5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Leased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Singapore</w:t>
            </w:r>
          </w:p>
        </w:tc>
        <w:tc>
          <w:tcPr>
            <w:tcW w:w="5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Leased</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Taichung, Taiwan</w:t>
            </w: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ceased the manufacturing of photomasks at its Singapore facility in December 2011.</w:t>
      </w:r>
    </w:p>
    <w:p>
      <w:pPr>
        <w:spacing w:after="0" w:line="243" w:lineRule="exact"/>
        <w:rPr>
          <w:rFonts w:ascii="Arial" w:cs="Arial" w:eastAsia="Arial" w:hAnsi="Arial"/>
          <w:sz w:val="18"/>
          <w:szCs w:val="18"/>
          <w:color w:val="auto"/>
        </w:rPr>
      </w:pPr>
    </w:p>
    <w:p>
      <w:pPr>
        <w:ind w:left="400" w:hanging="39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owns its manufacturing facility in Taichung, however, it leases the related land.</w:t>
      </w:r>
    </w:p>
    <w:p>
      <w:pPr>
        <w:spacing w:after="0" w:line="244" w:lineRule="exact"/>
        <w:rPr>
          <w:sz w:val="20"/>
          <w:szCs w:val="20"/>
          <w:color w:val="auto"/>
        </w:rPr>
      </w:pPr>
    </w:p>
    <w:p>
      <w:pPr>
        <w:ind w:right="180" w:firstLine="318"/>
        <w:spacing w:after="0" w:line="265"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3"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the business of the Company.</w:t>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506" w:right="3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ind w:left="800" w:right="560" w:hanging="795"/>
        <w:spacing w:after="0" w:line="272" w:lineRule="auto"/>
        <w:tabs>
          <w:tab w:leader="none" w:pos="7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00" w:lineRule="exact"/>
        <w:rPr>
          <w:sz w:val="20"/>
          <w:szCs w:val="20"/>
          <w:color w:val="auto"/>
        </w:rPr>
      </w:pPr>
    </w:p>
    <w:p>
      <w:pPr>
        <w:ind w:right="200" w:firstLine="318"/>
        <w:spacing w:after="0" w:line="366" w:lineRule="auto"/>
        <w:rPr>
          <w:sz w:val="20"/>
          <w:szCs w:val="20"/>
          <w:color w:val="auto"/>
        </w:rPr>
      </w:pPr>
      <w:r>
        <w:rPr>
          <w:rFonts w:ascii="Arial" w:cs="Arial" w:eastAsia="Arial" w:hAnsi="Arial"/>
          <w:sz w:val="15"/>
          <w:szCs w:val="15"/>
          <w:color w:val="auto"/>
        </w:rPr>
        <w:t>The Common Stock of the Company is traded on the NASDAQ Global Select Market ("NASDAQ") under the symbol PLAB. The table below shows the range of high and low sale prices per share of each quarter for fiscal years 2012 and 2011, as reported by the NASDAQ Global Select Market.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r>
      <w:tr>
        <w:trPr>
          <w:trHeight w:val="211"/>
        </w:trPr>
        <w:tc>
          <w:tcPr>
            <w:tcW w:w="4640" w:type="dxa"/>
            <w:vAlign w:val="bottom"/>
          </w:tcPr>
          <w:p>
            <w:pPr>
              <w:spacing w:after="0"/>
              <w:rPr>
                <w:sz w:val="20"/>
                <w:szCs w:val="20"/>
                <w:color w:val="auto"/>
              </w:rPr>
            </w:pPr>
            <w:r>
              <w:rPr>
                <w:rFonts w:ascii="Arial" w:cs="Arial" w:eastAsia="Arial" w:hAnsi="Arial"/>
                <w:sz w:val="18"/>
                <w:szCs w:val="18"/>
                <w:b w:val="1"/>
                <w:bCs w:val="1"/>
                <w:color w:val="auto"/>
              </w:rPr>
              <w:t>Fiscal Year Ended October 28, 2012:</w:t>
            </w:r>
          </w:p>
        </w:tc>
        <w:tc>
          <w:tcPr>
            <w:tcW w:w="1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January 29, 2012</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12"/>
        </w:trPr>
        <w:tc>
          <w:tcPr>
            <w:tcW w:w="4640" w:type="dxa"/>
            <w:vAlign w:val="bottom"/>
          </w:tcPr>
          <w:p>
            <w:pPr>
              <w:ind w:left="160"/>
              <w:spacing w:after="0"/>
              <w:rPr>
                <w:sz w:val="20"/>
                <w:szCs w:val="20"/>
                <w:color w:val="auto"/>
              </w:rPr>
            </w:pPr>
            <w:r>
              <w:rPr>
                <w:rFonts w:ascii="Arial" w:cs="Arial" w:eastAsia="Arial" w:hAnsi="Arial"/>
                <w:sz w:val="18"/>
                <w:szCs w:val="18"/>
                <w:color w:val="auto"/>
              </w:rPr>
              <w:t>Quarter Ended April 29, 2012</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2"/>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July 29, 2012</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r>
      <w:tr>
        <w:trPr>
          <w:trHeight w:val="223"/>
        </w:trPr>
        <w:tc>
          <w:tcPr>
            <w:tcW w:w="4640" w:type="dxa"/>
            <w:vAlign w:val="bottom"/>
          </w:tcPr>
          <w:p>
            <w:pPr>
              <w:ind w:left="160"/>
              <w:spacing w:after="0"/>
              <w:rPr>
                <w:sz w:val="20"/>
                <w:szCs w:val="20"/>
                <w:color w:val="auto"/>
              </w:rPr>
            </w:pPr>
            <w:r>
              <w:rPr>
                <w:rFonts w:ascii="Arial" w:cs="Arial" w:eastAsia="Arial" w:hAnsi="Arial"/>
                <w:sz w:val="18"/>
                <w:szCs w:val="18"/>
                <w:color w:val="auto"/>
              </w:rPr>
              <w:t>Quarter Ended October 28, 2012</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412"/>
        </w:trPr>
        <w:tc>
          <w:tcPr>
            <w:tcW w:w="4640" w:type="dxa"/>
            <w:vAlign w:val="bottom"/>
          </w:tcPr>
          <w:p>
            <w:pPr>
              <w:spacing w:after="0"/>
              <w:rPr>
                <w:sz w:val="20"/>
                <w:szCs w:val="20"/>
                <w:color w:val="auto"/>
              </w:rPr>
            </w:pPr>
            <w:r>
              <w:rPr>
                <w:rFonts w:ascii="Arial" w:cs="Arial" w:eastAsia="Arial" w:hAnsi="Arial"/>
                <w:sz w:val="18"/>
                <w:szCs w:val="18"/>
                <w:b w:val="1"/>
                <w:bCs w:val="1"/>
                <w:color w:val="auto"/>
              </w:rPr>
              <w:t>Fiscal Year Ended October 30, 2011:</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4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January 30, 2011</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r>
      <w:tr>
        <w:trPr>
          <w:trHeight w:val="212"/>
        </w:trPr>
        <w:tc>
          <w:tcPr>
            <w:tcW w:w="4640" w:type="dxa"/>
            <w:vAlign w:val="bottom"/>
          </w:tcPr>
          <w:p>
            <w:pPr>
              <w:ind w:left="160"/>
              <w:spacing w:after="0"/>
              <w:rPr>
                <w:sz w:val="20"/>
                <w:szCs w:val="20"/>
                <w:color w:val="auto"/>
              </w:rPr>
            </w:pPr>
            <w:r>
              <w:rPr>
                <w:rFonts w:ascii="Arial" w:cs="Arial" w:eastAsia="Arial" w:hAnsi="Arial"/>
                <w:sz w:val="18"/>
                <w:szCs w:val="18"/>
                <w:color w:val="auto"/>
              </w:rPr>
              <w:t>Quarter Ended May 1, 2011</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r>
      <w:tr>
        <w:trPr>
          <w:trHeight w:val="212"/>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July 31, 2011</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23"/>
        </w:trPr>
        <w:tc>
          <w:tcPr>
            <w:tcW w:w="4640" w:type="dxa"/>
            <w:vAlign w:val="bottom"/>
          </w:tcPr>
          <w:p>
            <w:pPr>
              <w:ind w:left="160"/>
              <w:spacing w:after="0"/>
              <w:rPr>
                <w:sz w:val="20"/>
                <w:szCs w:val="20"/>
                <w:color w:val="auto"/>
              </w:rPr>
            </w:pPr>
            <w:r>
              <w:rPr>
                <w:rFonts w:ascii="Arial" w:cs="Arial" w:eastAsia="Arial" w:hAnsi="Arial"/>
                <w:sz w:val="18"/>
                <w:szCs w:val="18"/>
                <w:color w:val="auto"/>
              </w:rPr>
              <w:t>Quarter Ended October 30, 2011</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bl>
    <w:p>
      <w:pPr>
        <w:spacing w:after="0" w:line="215"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On December 31, 2012, the closing sale price of the Common Stock per the NASDAQ Global Select Market was $5.96. Based on information available to the Company, the Company believes it has approximately 11,000 shareholders.</w:t>
      </w:r>
    </w:p>
    <w:p>
      <w:pPr>
        <w:spacing w:after="0" w:line="206"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the Company's credit facility precludes it from paying cash dividends.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2013 definitive Proxy Statement into Item 12 of Part III of this report. The 2013 Proxy Statement will be filed within 120 days after the Company’s fiscal year ended October 28, 2012.</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06" w:right="279" w:bottom="1440" w:gutter="0" w:footer="0" w:header="0"/>
        </w:sectPr>
      </w:pPr>
    </w:p>
    <w:bookmarkStart w:id="16" w:name="page17"/>
    <w:bookmarkEnd w:id="16"/>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2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Form 10-K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4"/>
              </w:rPr>
              <w:t>October 28,</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429"/>
              <w:spacing w:after="0" w:line="194"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560" w:type="dxa"/>
            <w:vAlign w:val="bottom"/>
            <w:gridSpan w:val="3"/>
          </w:tcPr>
          <w:p>
            <w:pPr>
              <w:jc w:val="right"/>
              <w:ind w:right="600"/>
              <w:spacing w:after="0" w:line="194" w:lineRule="exact"/>
              <w:rPr>
                <w:sz w:val="20"/>
                <w:szCs w:val="20"/>
                <w:color w:val="auto"/>
              </w:rPr>
            </w:pPr>
            <w:r>
              <w:rPr>
                <w:rFonts w:ascii="Arial" w:cs="Arial" w:eastAsia="Arial" w:hAnsi="Arial"/>
                <w:sz w:val="18"/>
                <w:szCs w:val="18"/>
                <w:b w:val="1"/>
                <w:bCs w:val="1"/>
                <w:color w:val="auto"/>
                <w:w w:val="94"/>
              </w:rPr>
              <w:t>October 31,</w:t>
            </w:r>
          </w:p>
        </w:tc>
        <w:tc>
          <w:tcPr>
            <w:tcW w:w="1160" w:type="dxa"/>
            <w:vAlign w:val="bottom"/>
            <w:gridSpan w:val="3"/>
          </w:tcPr>
          <w:p>
            <w:pPr>
              <w:jc w:val="right"/>
              <w:ind w:right="140"/>
              <w:spacing w:after="0" w:line="194" w:lineRule="exact"/>
              <w:rPr>
                <w:sz w:val="20"/>
                <w:szCs w:val="20"/>
                <w:color w:val="auto"/>
              </w:rPr>
            </w:pPr>
            <w:r>
              <w:rPr>
                <w:rFonts w:ascii="Arial" w:cs="Arial" w:eastAsia="Arial" w:hAnsi="Arial"/>
                <w:sz w:val="18"/>
                <w:szCs w:val="18"/>
                <w:b w:val="1"/>
                <w:bCs w:val="1"/>
                <w:color w:val="auto"/>
                <w:w w:val="92"/>
              </w:rPr>
              <w:t>November 1,</w:t>
            </w:r>
          </w:p>
        </w:tc>
        <w:tc>
          <w:tcPr>
            <w:tcW w:w="780" w:type="dxa"/>
            <w:vAlign w:val="bottom"/>
          </w:tcPr>
          <w:p>
            <w:pPr>
              <w:spacing w:after="0"/>
              <w:rPr>
                <w:sz w:val="16"/>
                <w:szCs w:val="16"/>
                <w:color w:val="auto"/>
              </w:rPr>
            </w:pPr>
          </w:p>
        </w:tc>
        <w:tc>
          <w:tcPr>
            <w:tcW w:w="1160" w:type="dxa"/>
            <w:vAlign w:val="bottom"/>
            <w:gridSpan w:val="3"/>
          </w:tcPr>
          <w:p>
            <w:pPr>
              <w:jc w:val="right"/>
              <w:ind w:right="140"/>
              <w:spacing w:after="0" w:line="194" w:lineRule="exact"/>
              <w:rPr>
                <w:sz w:val="20"/>
                <w:szCs w:val="20"/>
                <w:color w:val="auto"/>
              </w:rPr>
            </w:pPr>
            <w:r>
              <w:rPr>
                <w:rFonts w:ascii="Arial" w:cs="Arial" w:eastAsia="Arial" w:hAnsi="Arial"/>
                <w:sz w:val="18"/>
                <w:szCs w:val="18"/>
                <w:b w:val="1"/>
                <w:bCs w:val="1"/>
                <w:color w:val="auto"/>
                <w:w w:val="92"/>
              </w:rPr>
              <w:t>November 2,</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450,439</w:t>
            </w:r>
          </w:p>
        </w:tc>
        <w:tc>
          <w:tcPr>
            <w:tcW w:w="58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512,020</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425,554</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361,353</w:t>
            </w: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422,548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32"/>
              <w:spacing w:after="0"/>
              <w:rPr>
                <w:sz w:val="20"/>
                <w:szCs w:val="20"/>
                <w:color w:val="auto"/>
              </w:rPr>
            </w:pPr>
            <w:r>
              <w:rPr>
                <w:rFonts w:ascii="Arial" w:cs="Arial" w:eastAsia="Arial" w:hAnsi="Arial"/>
                <w:sz w:val="18"/>
                <w:szCs w:val="18"/>
                <w:color w:val="auto"/>
              </w:rPr>
              <w:t>(338,519)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9"/>
              <w:spacing w:after="0"/>
              <w:rPr>
                <w:sz w:val="20"/>
                <w:szCs w:val="20"/>
                <w:color w:val="auto"/>
              </w:rPr>
            </w:pPr>
            <w:r>
              <w:rPr>
                <w:rFonts w:ascii="Arial" w:cs="Arial" w:eastAsia="Arial" w:hAnsi="Arial"/>
                <w:sz w:val="18"/>
                <w:szCs w:val="18"/>
                <w:color w:val="auto"/>
              </w:rPr>
              <w:t>(375,806)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(333,739)</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(304,282)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(349,841)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rPr>
              <w:t>Selling, general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administrative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(46,706)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(45,240)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(42,387)</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(41,162)</w:t>
            </w:r>
          </w:p>
        </w:tc>
        <w:tc>
          <w:tcPr>
            <w:tcW w:w="7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(55,167)</w:t>
            </w: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32"/>
              <w:spacing w:after="0"/>
              <w:rPr>
                <w:sz w:val="20"/>
                <w:szCs w:val="20"/>
                <w:color w:val="auto"/>
              </w:rPr>
            </w:pPr>
            <w:r>
              <w:rPr>
                <w:rFonts w:ascii="Arial" w:cs="Arial" w:eastAsia="Arial" w:hAnsi="Arial"/>
                <w:sz w:val="18"/>
                <w:szCs w:val="18"/>
                <w:color w:val="auto"/>
              </w:rPr>
              <w:t>(19,371)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9"/>
              <w:spacing w:after="0"/>
              <w:rPr>
                <w:sz w:val="20"/>
                <w:szCs w:val="20"/>
                <w:color w:val="auto"/>
              </w:rPr>
            </w:pPr>
            <w:r>
              <w:rPr>
                <w:rFonts w:ascii="Arial" w:cs="Arial" w:eastAsia="Arial" w:hAnsi="Arial"/>
                <w:sz w:val="18"/>
                <w:szCs w:val="18"/>
                <w:color w:val="auto"/>
              </w:rPr>
              <w:t>(15,507)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(14,932)</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(15,423)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(17,475)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w w:val="92"/>
              </w:rPr>
              <w:t>Consolidation, restructuring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related (charges) credits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(1,428) (a)</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4,979(e)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(13,557)</w:t>
            </w:r>
          </w:p>
        </w:tc>
        <w:tc>
          <w:tcPr>
            <w:tcW w:w="7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w w:val="93"/>
              </w:rPr>
              <w:t>Impairment of long-lived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(1,458)</w:t>
            </w:r>
          </w:p>
        </w:tc>
        <w:tc>
          <w:tcPr>
            <w:tcW w:w="780" w:type="dxa"/>
            <w:vAlign w:val="bottom"/>
          </w:tcPr>
          <w:p>
            <w:pPr>
              <w:ind w:left="20"/>
              <w:spacing w:after="0"/>
              <w:rPr>
                <w:sz w:val="20"/>
                <w:szCs w:val="20"/>
                <w:color w:val="auto"/>
              </w:rPr>
            </w:pPr>
            <w:r>
              <w:rPr>
                <w:rFonts w:ascii="Arial" w:cs="Arial" w:eastAsia="Arial" w:hAnsi="Arial"/>
                <w:sz w:val="18"/>
                <w:szCs w:val="18"/>
                <w:color w:val="auto"/>
              </w:rPr>
              <w:t>(h)</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(66,874)</w:t>
            </w:r>
          </w:p>
        </w:tc>
        <w:tc>
          <w:tcPr>
            <w:tcW w:w="660" w:type="dxa"/>
            <w:vAlign w:val="bottom"/>
          </w:tcPr>
          <w:p>
            <w:pPr>
              <w:ind w:left="20"/>
              <w:spacing w:after="0"/>
              <w:rPr>
                <w:sz w:val="20"/>
                <w:szCs w:val="20"/>
                <w:color w:val="auto"/>
              </w:rPr>
            </w:pPr>
            <w:r>
              <w:rPr>
                <w:rFonts w:ascii="Arial" w:cs="Arial" w:eastAsia="Arial" w:hAnsi="Arial"/>
                <w:sz w:val="18"/>
                <w:szCs w:val="18"/>
                <w:color w:val="auto"/>
              </w:rPr>
              <w:t>(k)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(138,534)</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Gain on sale of facility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2,034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75,467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39,475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(12,495)</w:t>
            </w: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(205,853)</w:t>
            </w: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32"/>
              <w:spacing w:after="0"/>
              <w:rPr>
                <w:sz w:val="20"/>
                <w:szCs w:val="20"/>
                <w:color w:val="auto"/>
              </w:rPr>
            </w:pPr>
            <w:r>
              <w:rPr>
                <w:rFonts w:ascii="Arial" w:cs="Arial" w:eastAsia="Arial" w:hAnsi="Arial"/>
                <w:sz w:val="18"/>
                <w:szCs w:val="18"/>
                <w:color w:val="auto"/>
              </w:rPr>
              <w:t>(7,488)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9"/>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(9,475)</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(22,401)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(11,878)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(expense),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3,721</w:t>
            </w:r>
          </w:p>
        </w:tc>
        <w:tc>
          <w:tcPr>
            <w:tcW w:w="580" w:type="dxa"/>
            <w:vAlign w:val="bottom"/>
          </w:tcPr>
          <w:p>
            <w:pPr>
              <w:ind w:left="40"/>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2,949 (c)</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2,553(f)</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(2,208)</w:t>
            </w:r>
          </w:p>
        </w:tc>
        <w:tc>
          <w:tcPr>
            <w:tcW w:w="780" w:type="dxa"/>
            <w:vAlign w:val="bottom"/>
          </w:tcPr>
          <w:p>
            <w:pPr>
              <w:ind w:left="20"/>
              <w:spacing w:after="0"/>
              <w:rPr>
                <w:sz w:val="20"/>
                <w:szCs w:val="20"/>
                <w:color w:val="auto"/>
              </w:rPr>
            </w:pPr>
            <w:r>
              <w:rPr>
                <w:rFonts w:ascii="Arial" w:cs="Arial" w:eastAsia="Arial" w:hAnsi="Arial"/>
                <w:sz w:val="18"/>
                <w:szCs w:val="18"/>
                <w:color w:val="auto"/>
              </w:rPr>
              <w:t>(i)</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5,562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Debt extinguishment loss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(35,259) (d)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tcBorders>
              <w:top w:val="single" w:sz="8" w:color="CCEEFF"/>
            </w:tcBorders>
          </w:tcPr>
          <w:p>
            <w:pPr>
              <w:ind w:left="140"/>
              <w:spacing w:after="0" w:line="200" w:lineRule="exact"/>
              <w:rPr>
                <w:sz w:val="20"/>
                <w:szCs w:val="20"/>
                <w:color w:val="auto"/>
              </w:rPr>
            </w:pPr>
            <w:r>
              <w:rPr>
                <w:rFonts w:ascii="Arial" w:cs="Arial" w:eastAsia="Arial" w:hAnsi="Arial"/>
                <w:sz w:val="18"/>
                <w:szCs w:val="18"/>
                <w:color w:val="auto"/>
                <w:w w:val="97"/>
              </w:rPr>
              <w:t>Income (loss) before income tax</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(provision) benefit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40,648</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29"/>
              <w:spacing w:after="0"/>
              <w:rPr>
                <w:sz w:val="20"/>
                <w:szCs w:val="20"/>
                <w:color w:val="auto"/>
              </w:rPr>
            </w:pPr>
            <w:r>
              <w:rPr>
                <w:rFonts w:ascii="Arial" w:cs="Arial" w:eastAsia="Arial" w:hAnsi="Arial"/>
                <w:sz w:val="18"/>
                <w:szCs w:val="18"/>
                <w:color w:val="auto"/>
              </w:rPr>
              <w:t>35,899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32,553</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(37,104)</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(212,169)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(10,793)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(15,691)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(4,323)</w:t>
            </w: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29,855</w:t>
            </w:r>
          </w:p>
        </w:tc>
        <w:tc>
          <w:tcPr>
            <w:tcW w:w="580" w:type="dxa"/>
            <w:vAlign w:val="bottom"/>
          </w:tcPr>
          <w:p>
            <w:pPr>
              <w:ind w:left="40"/>
              <w:spacing w:after="0"/>
              <w:rPr>
                <w:sz w:val="20"/>
                <w:szCs w:val="20"/>
                <w:color w:val="auto"/>
              </w:rPr>
            </w:pPr>
            <w:r>
              <w:rPr>
                <w:rFonts w:ascii="Arial" w:cs="Arial" w:eastAsia="Arial" w:hAnsi="Arial"/>
                <w:sz w:val="18"/>
                <w:szCs w:val="18"/>
                <w:color w:val="auto"/>
              </w:rPr>
              <w:t>(a) (b)</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20,208(c) (d)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25,082(e) (f)</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(41,427)</w:t>
            </w:r>
          </w:p>
        </w:tc>
        <w:tc>
          <w:tcPr>
            <w:tcW w:w="780" w:type="dxa"/>
            <w:vAlign w:val="bottom"/>
          </w:tcPr>
          <w:p>
            <w:pPr>
              <w:ind w:left="20"/>
              <w:spacing w:after="0"/>
              <w:rPr>
                <w:sz w:val="20"/>
                <w:szCs w:val="20"/>
                <w:color w:val="auto"/>
              </w:rPr>
            </w:pPr>
            <w:r>
              <w:rPr>
                <w:rFonts w:ascii="Arial" w:cs="Arial" w:eastAsia="Arial" w:hAnsi="Arial"/>
                <w:sz w:val="18"/>
                <w:szCs w:val="18"/>
                <w:color w:val="auto"/>
              </w:rPr>
              <w:t>(g) (h) (i)</w:t>
            </w: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(209,391) (j) (k) (l)</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Net income attributable to</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7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6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tcBorders>
              <w:top w:val="single" w:sz="8" w:color="CCEEFF"/>
            </w:tcBorders>
          </w:tcPr>
          <w:p>
            <w:pPr>
              <w:ind w:left="140"/>
              <w:spacing w:after="0" w:line="200" w:lineRule="exact"/>
              <w:rPr>
                <w:sz w:val="20"/>
                <w:szCs w:val="20"/>
                <w:color w:val="auto"/>
              </w:rPr>
            </w:pPr>
            <w:r>
              <w:rPr>
                <w:rFonts w:ascii="Arial" w:cs="Arial" w:eastAsia="Arial" w:hAnsi="Arial"/>
                <w:sz w:val="18"/>
                <w:szCs w:val="18"/>
                <w:color w:val="auto"/>
                <w:w w:val="98"/>
              </w:rPr>
              <w:t>Net income (loss) attributable to</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Photronics, Inc. shareholders</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27,868</w:t>
            </w:r>
          </w:p>
        </w:tc>
        <w:tc>
          <w:tcPr>
            <w:tcW w:w="580" w:type="dxa"/>
            <w:vAlign w:val="bottom"/>
          </w:tcPr>
          <w:p>
            <w:pPr>
              <w:ind w:left="40"/>
              <w:spacing w:after="0"/>
              <w:rPr>
                <w:sz w:val="20"/>
                <w:szCs w:val="20"/>
                <w:color w:val="auto"/>
              </w:rPr>
            </w:pPr>
            <w:r>
              <w:rPr>
                <w:rFonts w:ascii="Arial" w:cs="Arial" w:eastAsia="Arial" w:hAnsi="Arial"/>
                <w:sz w:val="18"/>
                <w:szCs w:val="18"/>
                <w:color w:val="auto"/>
              </w:rPr>
              <w:t>(a) (b)</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16,229 (c) (d)</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23,922(e) (f)</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(41,910)</w:t>
            </w:r>
          </w:p>
        </w:tc>
        <w:tc>
          <w:tcPr>
            <w:tcW w:w="780" w:type="dxa"/>
            <w:vAlign w:val="bottom"/>
          </w:tcPr>
          <w:p>
            <w:pPr>
              <w:ind w:left="20"/>
              <w:spacing w:after="0"/>
              <w:rPr>
                <w:sz w:val="20"/>
                <w:szCs w:val="20"/>
                <w:color w:val="auto"/>
              </w:rPr>
            </w:pPr>
            <w:r>
              <w:rPr>
                <w:rFonts w:ascii="Arial" w:cs="Arial" w:eastAsia="Arial" w:hAnsi="Arial"/>
                <w:sz w:val="18"/>
                <w:szCs w:val="18"/>
                <w:color w:val="auto"/>
              </w:rPr>
              <w:t>(g) (h) (i)</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gridSpan w:val="4"/>
          </w:tcPr>
          <w:p>
            <w:pPr>
              <w:jc w:val="right"/>
              <w:ind w:right="20"/>
              <w:spacing w:after="0"/>
              <w:rPr>
                <w:sz w:val="20"/>
                <w:szCs w:val="20"/>
                <w:color w:val="auto"/>
              </w:rPr>
            </w:pPr>
            <w:r>
              <w:rPr>
                <w:rFonts w:ascii="Arial" w:cs="Arial" w:eastAsia="Arial" w:hAnsi="Arial"/>
                <w:sz w:val="18"/>
                <w:szCs w:val="18"/>
                <w:color w:val="auto"/>
              </w:rPr>
              <w:t>(210,765) (j) (k) (l)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Earnings (loss) per share: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0.46</w:t>
            </w:r>
          </w:p>
        </w:tc>
        <w:tc>
          <w:tcPr>
            <w:tcW w:w="580" w:type="dxa"/>
            <w:vAlign w:val="bottom"/>
          </w:tcPr>
          <w:p>
            <w:pPr>
              <w:ind w:left="40"/>
              <w:spacing w:after="0"/>
              <w:rPr>
                <w:sz w:val="20"/>
                <w:szCs w:val="20"/>
                <w:color w:val="auto"/>
              </w:rPr>
            </w:pPr>
            <w:r>
              <w:rPr>
                <w:rFonts w:ascii="Arial" w:cs="Arial" w:eastAsia="Arial" w:hAnsi="Arial"/>
                <w:sz w:val="18"/>
                <w:szCs w:val="18"/>
                <w:color w:val="auto"/>
              </w:rPr>
              <w:t>(a) (b)</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0.28(c) (d)</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0.45(e) (f)</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780" w:type="dxa"/>
            <w:vAlign w:val="bottom"/>
          </w:tcPr>
          <w:p>
            <w:pPr>
              <w:ind w:left="20"/>
              <w:spacing w:after="0"/>
              <w:rPr>
                <w:sz w:val="20"/>
                <w:szCs w:val="20"/>
                <w:color w:val="auto"/>
              </w:rPr>
            </w:pPr>
            <w:r>
              <w:rPr>
                <w:rFonts w:ascii="Arial" w:cs="Arial" w:eastAsia="Arial" w:hAnsi="Arial"/>
                <w:sz w:val="18"/>
                <w:szCs w:val="18"/>
                <w:color w:val="auto"/>
              </w:rPr>
              <w:t>(g) (h) (i)</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660" w:type="dxa"/>
            <w:vAlign w:val="bottom"/>
          </w:tcPr>
          <w:p>
            <w:pPr>
              <w:ind w:left="20"/>
              <w:spacing w:after="0"/>
              <w:rPr>
                <w:sz w:val="20"/>
                <w:szCs w:val="20"/>
                <w:color w:val="auto"/>
              </w:rPr>
            </w:pPr>
            <w:r>
              <w:rPr>
                <w:rFonts w:ascii="Arial" w:cs="Arial" w:eastAsia="Arial" w:hAnsi="Arial"/>
                <w:sz w:val="18"/>
                <w:szCs w:val="18"/>
                <w:color w:val="auto"/>
                <w:w w:val="98"/>
              </w:rPr>
              <w:t>(j) (k) (l)</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66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0.44</w:t>
            </w:r>
          </w:p>
        </w:tc>
        <w:tc>
          <w:tcPr>
            <w:tcW w:w="580" w:type="dxa"/>
            <w:vAlign w:val="bottom"/>
            <w:tcBorders>
              <w:left w:val="single" w:sz="8" w:color="CCEEFF"/>
            </w:tcBorders>
            <w:shd w:val="clear" w:color="auto" w:fill="CCEEFF"/>
          </w:tcPr>
          <w:p>
            <w:pPr>
              <w:ind w:left="40"/>
              <w:spacing w:after="0" w:line="205" w:lineRule="exact"/>
              <w:rPr>
                <w:sz w:val="20"/>
                <w:szCs w:val="20"/>
                <w:color w:val="auto"/>
              </w:rPr>
            </w:pPr>
            <w:r>
              <w:rPr>
                <w:rFonts w:ascii="Arial" w:cs="Arial" w:eastAsia="Arial" w:hAnsi="Arial"/>
                <w:sz w:val="18"/>
                <w:szCs w:val="18"/>
                <w:color w:val="auto"/>
              </w:rPr>
              <w:t>(a) (b)</w:t>
            </w:r>
          </w:p>
        </w:tc>
        <w:tc>
          <w:tcPr>
            <w:tcW w:w="300" w:type="dxa"/>
            <w:vAlign w:val="bottom"/>
            <w:gridSpan w:val="2"/>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0.28(c) (d)</w:t>
            </w:r>
          </w:p>
        </w:tc>
        <w:tc>
          <w:tcPr>
            <w:tcW w:w="300" w:type="dxa"/>
            <w:vAlign w:val="bottom"/>
            <w:gridSpan w:val="2"/>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0.43(e) (f)</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(0.97)</w:t>
            </w:r>
          </w:p>
        </w:tc>
        <w:tc>
          <w:tcPr>
            <w:tcW w:w="780" w:type="dxa"/>
            <w:vAlign w:val="bottom"/>
            <w:tcBorders>
              <w:right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(g) (h) (i)</w:t>
            </w: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(5.06) (j) (k) (l)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tcBorders>
              <w:top w:val="single" w:sz="8" w:color="CCEEFF"/>
            </w:tcBorders>
          </w:tcPr>
          <w:p>
            <w:pPr>
              <w:ind w:left="140"/>
              <w:spacing w:after="0" w:line="193" w:lineRule="exact"/>
              <w:rPr>
                <w:sz w:val="20"/>
                <w:szCs w:val="20"/>
                <w:color w:val="auto"/>
              </w:rPr>
            </w:pPr>
            <w:r>
              <w:rPr>
                <w:rFonts w:ascii="Arial" w:cs="Arial" w:eastAsia="Arial" w:hAnsi="Arial"/>
                <w:sz w:val="18"/>
                <w:szCs w:val="18"/>
                <w:color w:val="auto"/>
              </w:rPr>
              <w:t>Weighted-average number of</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common shares outstanding: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60,055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9"/>
              <w:spacing w:after="0"/>
              <w:rPr>
                <w:sz w:val="20"/>
                <w:szCs w:val="20"/>
                <w:color w:val="auto"/>
              </w:rPr>
            </w:pPr>
            <w:r>
              <w:rPr>
                <w:rFonts w:ascii="Arial" w:cs="Arial" w:eastAsia="Arial" w:hAnsi="Arial"/>
                <w:sz w:val="18"/>
                <w:szCs w:val="18"/>
                <w:color w:val="auto"/>
              </w:rPr>
              <w:t>57,030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53,433</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43,210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41,658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66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76,464</w:t>
            </w:r>
          </w:p>
        </w:tc>
        <w:tc>
          <w:tcPr>
            <w:tcW w:w="58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29"/>
              <w:spacing w:after="0" w:line="205" w:lineRule="exact"/>
              <w:rPr>
                <w:sz w:val="20"/>
                <w:szCs w:val="20"/>
                <w:color w:val="auto"/>
              </w:rPr>
            </w:pPr>
            <w:r>
              <w:rPr>
                <w:rFonts w:ascii="Arial" w:cs="Arial" w:eastAsia="Arial" w:hAnsi="Arial"/>
                <w:sz w:val="18"/>
                <w:szCs w:val="18"/>
                <w:color w:val="auto"/>
              </w:rPr>
              <w:t>58,458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520"/>
              <w:spacing w:after="0" w:line="205" w:lineRule="exact"/>
              <w:rPr>
                <w:sz w:val="20"/>
                <w:szCs w:val="20"/>
                <w:color w:val="auto"/>
              </w:rPr>
            </w:pPr>
            <w:r>
              <w:rPr>
                <w:rFonts w:ascii="Arial" w:cs="Arial" w:eastAsia="Arial" w:hAnsi="Arial"/>
                <w:sz w:val="18"/>
                <w:szCs w:val="18"/>
                <w:color w:val="auto"/>
              </w:rPr>
              <w:t>65,803</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43,210</w:t>
            </w:r>
          </w:p>
        </w:tc>
        <w:tc>
          <w:tcPr>
            <w:tcW w:w="7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41,658</w:t>
            </w:r>
          </w:p>
        </w:tc>
        <w:tc>
          <w:tcPr>
            <w:tcW w:w="6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26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jc w:val="right"/>
              <w:ind w:right="149"/>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2"/>
              <w:spacing w:after="0" w:line="194" w:lineRule="exact"/>
              <w:rPr>
                <w:sz w:val="20"/>
                <w:szCs w:val="20"/>
                <w:color w:val="auto"/>
              </w:rPr>
            </w:pPr>
            <w:r>
              <w:rPr>
                <w:rFonts w:ascii="Arial" w:cs="Arial" w:eastAsia="Arial" w:hAnsi="Arial"/>
                <w:sz w:val="18"/>
                <w:szCs w:val="18"/>
                <w:b w:val="1"/>
                <w:bCs w:val="1"/>
                <w:color w:val="auto"/>
                <w:w w:val="88"/>
              </w:rPr>
              <w:t>October 28,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October 31,</w:t>
            </w:r>
          </w:p>
        </w:tc>
        <w:tc>
          <w:tcPr>
            <w:tcW w:w="1240" w:type="dxa"/>
            <w:vAlign w:val="bottom"/>
            <w:gridSpan w:val="3"/>
          </w:tcPr>
          <w:p>
            <w:pPr>
              <w:ind w:left="100"/>
              <w:spacing w:after="0" w:line="194" w:lineRule="exact"/>
              <w:rPr>
                <w:sz w:val="20"/>
                <w:szCs w:val="20"/>
                <w:color w:val="auto"/>
              </w:rPr>
            </w:pPr>
            <w:r>
              <w:rPr>
                <w:rFonts w:ascii="Arial" w:cs="Arial" w:eastAsia="Arial" w:hAnsi="Arial"/>
                <w:sz w:val="18"/>
                <w:szCs w:val="18"/>
                <w:b w:val="1"/>
                <w:bCs w:val="1"/>
                <w:color w:val="auto"/>
              </w:rPr>
              <w:t>November 1,</w:t>
            </w:r>
          </w:p>
        </w:tc>
        <w:tc>
          <w:tcPr>
            <w:tcW w:w="10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234,281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209,306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89,542</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380,808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368,680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369,814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436,528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817,854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703,879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152,577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78,852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202,979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495,943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432,398</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40" w:right="22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$1.4 million in connection with the discontinuance of manufacturing operations at the Company's Singapore facility.</w:t>
      </w:r>
    </w:p>
    <w:p>
      <w:pPr>
        <w:spacing w:after="0" w:line="205" w:lineRule="exact"/>
        <w:rPr>
          <w:rFonts w:ascii="Arial" w:cs="Arial" w:eastAsia="Arial" w:hAnsi="Arial"/>
          <w:sz w:val="18"/>
          <w:szCs w:val="18"/>
          <w:color w:val="auto"/>
        </w:rPr>
      </w:pPr>
    </w:p>
    <w:p>
      <w:pPr>
        <w:ind w:left="640" w:right="2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gain of $0.1 million in connection with subsequent measurement at fair value of warrants issued to purchase the Company’s common stock.</w:t>
      </w:r>
    </w:p>
    <w:p>
      <w:pPr>
        <w:spacing w:after="0" w:line="205" w:lineRule="exact"/>
        <w:rPr>
          <w:rFonts w:ascii="Arial" w:cs="Arial" w:eastAsia="Arial" w:hAnsi="Arial"/>
          <w:sz w:val="18"/>
          <w:szCs w:val="18"/>
          <w:color w:val="auto"/>
        </w:rPr>
      </w:pPr>
    </w:p>
    <w:p>
      <w:pPr>
        <w:ind w:left="640" w:right="52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$0.4 million in connection with subsequent measurement at fair value of warrants issued to purchase the Company’s common stock.</w:t>
      </w:r>
    </w:p>
    <w:p>
      <w:pPr>
        <w:spacing w:after="0" w:line="205" w:lineRule="exact"/>
        <w:rPr>
          <w:rFonts w:ascii="Arial" w:cs="Arial" w:eastAsia="Arial" w:hAnsi="Arial"/>
          <w:sz w:val="18"/>
          <w:szCs w:val="18"/>
          <w:color w:val="auto"/>
        </w:rPr>
      </w:pPr>
    </w:p>
    <w:p>
      <w:pPr>
        <w:ind w:left="640" w:right="12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losses recorded in connection with the acquisition of $35.4 million face amount of the Company’s 5.5% convertible senior notes, in exchange for 5.2 million shares of its common stock and cash of $22.9 million.</w:t>
      </w:r>
    </w:p>
    <w:p>
      <w:pPr>
        <w:spacing w:after="0" w:line="205" w:lineRule="exact"/>
        <w:rPr>
          <w:rFonts w:ascii="Arial" w:cs="Arial" w:eastAsia="Arial" w:hAnsi="Arial"/>
          <w:sz w:val="18"/>
          <w:szCs w:val="18"/>
          <w:color w:val="auto"/>
        </w:rPr>
      </w:pPr>
    </w:p>
    <w:p>
      <w:pPr>
        <w:ind w:left="640" w:hanging="63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consolidation and restructuring credits of $5.0 million in connection with the closure of the Company's Shanghai, China, facility.</w:t>
      </w:r>
    </w:p>
    <w:p>
      <w:pPr>
        <w:spacing w:after="0" w:line="255" w:lineRule="exact"/>
        <w:rPr>
          <w:rFonts w:ascii="Arial" w:cs="Arial" w:eastAsia="Arial" w:hAnsi="Arial"/>
          <w:sz w:val="17"/>
          <w:szCs w:val="17"/>
          <w:color w:val="auto"/>
        </w:rPr>
      </w:pPr>
    </w:p>
    <w:p>
      <w:pPr>
        <w:ind w:left="640" w:right="54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$0.9 million in connection with subsequent measurement at fair value of warrants issued to purchase the Company's common stock.</w:t>
      </w:r>
    </w:p>
    <w:p>
      <w:pPr>
        <w:spacing w:after="0" w:line="205" w:lineRule="exact"/>
        <w:rPr>
          <w:rFonts w:ascii="Arial" w:cs="Arial" w:eastAsia="Arial" w:hAnsi="Arial"/>
          <w:sz w:val="18"/>
          <w:szCs w:val="18"/>
          <w:color w:val="auto"/>
        </w:rPr>
      </w:pPr>
    </w:p>
    <w:p>
      <w:pPr>
        <w:ind w:left="640" w:right="18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$13.6 million in connection with the closures of the Company's Shanghai, China, and Manchester, U.K., manufacturing facilities.</w:t>
      </w:r>
    </w:p>
    <w:p>
      <w:pPr>
        <w:spacing w:after="0" w:line="205" w:lineRule="exact"/>
        <w:rPr>
          <w:rFonts w:ascii="Arial" w:cs="Arial" w:eastAsia="Arial" w:hAnsi="Arial"/>
          <w:sz w:val="18"/>
          <w:szCs w:val="18"/>
          <w:color w:val="auto"/>
        </w:rPr>
      </w:pPr>
    </w:p>
    <w:p>
      <w:pPr>
        <w:ind w:left="640" w:hanging="63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charge of $1.5 million related to the Company's Manchester, U.K., manufacturing facility.</w:t>
      </w:r>
    </w:p>
    <w:p>
      <w:pPr>
        <w:spacing w:after="0" w:line="243" w:lineRule="exact"/>
        <w:rPr>
          <w:rFonts w:ascii="Arial" w:cs="Arial" w:eastAsia="Arial" w:hAnsi="Arial"/>
          <w:sz w:val="18"/>
          <w:szCs w:val="18"/>
          <w:color w:val="auto"/>
        </w:rPr>
      </w:pPr>
    </w:p>
    <w:p>
      <w:pPr>
        <w:ind w:left="640" w:right="54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$0.3 million in connection with subsequent measurement at fair value of warrants issued to purchase the Company's common stock.</w:t>
      </w:r>
    </w:p>
    <w:p>
      <w:pPr>
        <w:spacing w:after="0" w:line="205" w:lineRule="exact"/>
        <w:rPr>
          <w:rFonts w:ascii="Arial" w:cs="Arial" w:eastAsia="Arial" w:hAnsi="Arial"/>
          <w:sz w:val="18"/>
          <w:szCs w:val="18"/>
          <w:color w:val="auto"/>
        </w:rPr>
      </w:pPr>
    </w:p>
    <w:p>
      <w:pPr>
        <w:ind w:left="640" w:right="380" w:hanging="634"/>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$0.5 million in connection with the closure of the Company's Manchester, U.K., manufacturing facility.</w:t>
      </w:r>
    </w:p>
    <w:p>
      <w:pPr>
        <w:spacing w:after="0" w:line="205" w:lineRule="exact"/>
        <w:rPr>
          <w:rFonts w:ascii="Arial" w:cs="Arial" w:eastAsia="Arial" w:hAnsi="Arial"/>
          <w:sz w:val="18"/>
          <w:szCs w:val="18"/>
          <w:color w:val="auto"/>
        </w:rPr>
      </w:pPr>
    </w:p>
    <w:p>
      <w:pPr>
        <w:ind w:left="640" w:hanging="63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charge of $66.9 million for certain long-lived assets in Asia and Europe.</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of goodwill charge of $138.5 million.</w:t>
      </w:r>
    </w:p>
    <w:p>
      <w:pPr>
        <w:spacing w:after="0" w:line="238" w:lineRule="exact"/>
        <w:rPr>
          <w:sz w:val="20"/>
          <w:szCs w:val="20"/>
          <w:color w:val="auto"/>
        </w:rPr>
      </w:pPr>
    </w:p>
    <w:p>
      <w:pPr>
        <w:ind w:right="1500"/>
        <w:spacing w:after="0" w:line="52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October 28, 2012, October 30, 2011 and October 31, 2010 Overview</w:t>
      </w:r>
    </w:p>
    <w:p>
      <w:pPr>
        <w:ind w:right="20" w:firstLine="318"/>
        <w:spacing w:after="0" w:line="302" w:lineRule="auto"/>
        <w:rPr>
          <w:sz w:val="20"/>
          <w:szCs w:val="20"/>
          <w:color w:val="auto"/>
        </w:rPr>
      </w:pPr>
      <w:r>
        <w:rPr>
          <w:rFonts w:ascii="Arial" w:cs="Arial" w:eastAsia="Arial" w:hAnsi="Arial"/>
          <w:sz w:val="15"/>
          <w:szCs w:val="15"/>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8" w:name="page19"/>
    <w:bookmarkEnd w:id="18"/>
    <w:p>
      <w:pPr>
        <w:ind w:firstLine="318"/>
        <w:spacing w:after="0" w:line="305" w:lineRule="auto"/>
        <w:rPr>
          <w:sz w:val="20"/>
          <w:szCs w:val="20"/>
          <w:color w:val="auto"/>
        </w:rPr>
      </w:pPr>
      <w:r>
        <w:rPr>
          <w:rFonts w:ascii="Arial" w:cs="Arial" w:eastAsia="Arial" w:hAnsi="Arial"/>
          <w:sz w:val="15"/>
          <w:szCs w:val="15"/>
          <w:color w:val="auto"/>
        </w:rPr>
        <w:t>The global semiconductor industry, including mobile display devices,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its achieving its goals of being a service and technology leader and efficient solutions supplier, which it believes should enable it to continually reinvest in its global infrastructure.</w:t>
      </w:r>
    </w:p>
    <w:p>
      <w:pPr>
        <w:spacing w:after="0" w:line="182"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The Company is focused on improving its competitiveness by advancing its technology and reducing costs and, in connection therewith, has invested in manufacturing equipment to serve the high-end market. The Company, in order to lower its operating costs and increase its manufacturing efficiencies, ceased the manufacture of photomasks at its Singapore facility in December 2011.</w:t>
      </w:r>
    </w:p>
    <w:p>
      <w:pPr>
        <w:spacing w:after="0" w:line="215" w:lineRule="exact"/>
        <w:rPr>
          <w:sz w:val="20"/>
          <w:szCs w:val="20"/>
          <w:color w:val="auto"/>
        </w:rPr>
      </w:pPr>
    </w:p>
    <w:p>
      <w:pPr>
        <w:ind w:right="1200" w:firstLine="318"/>
        <w:spacing w:after="0" w:line="265" w:lineRule="auto"/>
        <w:rPr>
          <w:sz w:val="20"/>
          <w:szCs w:val="20"/>
          <w:color w:val="auto"/>
        </w:rPr>
      </w:pPr>
      <w:r>
        <w:rPr>
          <w:rFonts w:ascii="Arial" w:cs="Arial" w:eastAsia="Arial" w:hAnsi="Arial"/>
          <w:sz w:val="18"/>
          <w:szCs w:val="18"/>
          <w:color w:val="auto"/>
        </w:rPr>
        <w:t>As the Company continues to face challenges in the current and near term that require it to continue to make significant improvements in its competitiveness, it continues to evaluate further cost reduction initiatives.</w:t>
      </w:r>
    </w:p>
    <w:p>
      <w:pPr>
        <w:spacing w:after="0" w:line="206"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As of December 2012 state-of-the-art production for semiconductor masks is considered to be 45 nanometer and lower for ICs and Generation 8 and above and AMOLED display based process technologies for FPDs. However, 65 nanometer and above geometries for semiconductors and Generation 7 and below, excluding AMOLED, process technologies for FPDs constitute the majority of designs currently being fabricated in volume. At these geometries, the Company can produce full lines of photomasks and there is no significant technology employed by the Company's competitors that is not available to the Company. The Company expects 45 nanometer designs to continue to move to wafer fabrication throughout fiscal 2013, and believes it is well positioned to service an increasing volume of this business as a result of its investments in manufacturing processes and technology in the global regions where its customers are located.</w:t>
      </w:r>
    </w:p>
    <w:p>
      <w:pPr>
        <w:spacing w:after="0" w:line="179"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Furthermore, increased market acceptance of alternative methods of transferring circuit designs onto semiconductor wafers could reduce or eliminate the need for photomasks in the production of semiconductors. As of the end of fiscal 2012, one alternative method, direct-write lithography, has not been proven to be a commercially viable alternative to photomasks, as it is considered too slow for high volume semiconductor wafer production, and the Company has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the Company does not anticipate, respond to, or utilize these or other changing technologies due to resource, technological or other constraints, its business and results of operations could be materially adversely affected.</w:t>
      </w:r>
    </w:p>
    <w:p>
      <w:pPr>
        <w:spacing w:after="0" w:line="212"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Both revenues and costs have been affected by the increased demand for high-end technology photomasks that require more advanced manufacturing capabilities, but generally command higher average selling prices ("ASPs"). The Company's capital expenditure payments aggregated approximately $250 million for the three fiscal years ended October 28, 2012, resulting in significant increases in operating expenses. The Company intends to continue to make the required investments to support the technological demands of its customers and position itself for future growth, and expects capital expenditure payments to be between $70 million and $90 million in fiscal 2013.</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9" w:name="page20"/>
    <w:bookmarkEnd w:id="19"/>
    <w:p>
      <w:pPr>
        <w:ind w:right="140" w:firstLine="318"/>
        <w:spacing w:after="0" w:line="250"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The Company's integrated global manufacturing network, which consists of eight manufacturing sites, and its employees represent a significant portion of its fixed operating cost base. Should sales volumes decrease as a result of a decrease in design releases from the Company's customers, the Company may have excess or underutilized production capacity that could significantly impact operating margins, or result in write-offs from asset impairments.</w:t>
      </w:r>
    </w:p>
    <w:p>
      <w:pPr>
        <w:spacing w:after="0" w:line="221"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In the second quarter of fiscal 2012 the Company paid $35 million to Micron in connection with its purchase of the U.S. nanoFab facility, which it had been leasing from Micron under an operating lease that was to end in December 2014. The purchase of the facility resulted in the Company’s outstanding operating lease commitments being reduced by a total of $15 million for fiscal years 2013 and 2014.</w:t>
      </w:r>
    </w:p>
    <w:p>
      <w:pPr>
        <w:spacing w:after="0" w:line="215" w:lineRule="exact"/>
        <w:rPr>
          <w:sz w:val="20"/>
          <w:szCs w:val="20"/>
          <w:color w:val="auto"/>
        </w:rPr>
      </w:pPr>
    </w:p>
    <w:p>
      <w:pPr>
        <w:jc w:val="both"/>
        <w:ind w:right="440" w:firstLine="318"/>
        <w:spacing w:after="0" w:line="269" w:lineRule="auto"/>
        <w:rPr>
          <w:sz w:val="20"/>
          <w:szCs w:val="20"/>
          <w:color w:val="auto"/>
        </w:rPr>
      </w:pPr>
      <w:r>
        <w:rPr>
          <w:rFonts w:ascii="Arial" w:cs="Arial" w:eastAsia="Arial" w:hAnsi="Arial"/>
          <w:sz w:val="17"/>
          <w:szCs w:val="17"/>
          <w:color w:val="auto"/>
        </w:rPr>
        <w:t>In the second quarter of fiscal 2012 the Company, in connection with its purchase of the U.S. nanoFab facility, amended its credit facility (“the credit facility”) to include the addition of a $25 million term loan maturing in March 2017 with minimum quarterly principal payments of $0.6 million (quarterly payments commenced in June 2012 and are based on a ten year repayment period). The amendment also included a twenty-five basis point reduction in the interest rate charged on any borrowings under the credit facility. The credit facility bears interest (2.5% at October 28, 2012), based on the Company’s total leverage ratio, at LIBOR plus a spread, as defined in the credit facility.</w:t>
      </w:r>
    </w:p>
    <w:p>
      <w:pPr>
        <w:spacing w:after="0" w:line="204" w:lineRule="exact"/>
        <w:rPr>
          <w:sz w:val="20"/>
          <w:szCs w:val="20"/>
          <w:color w:val="auto"/>
        </w:rPr>
      </w:pPr>
    </w:p>
    <w:p>
      <w:pPr>
        <w:ind w:right="660" w:firstLine="318"/>
        <w:spacing w:after="0" w:line="265"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This action, which was substantially completed in fiscal 2012, resulted in the Company recording restructuring charges of $1.4 million in fiscal 2012.</w:t>
      </w:r>
    </w:p>
    <w:p>
      <w:pPr>
        <w:spacing w:after="0" w:line="206"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In 2012 the board of directors of PSMC authorized PSMC to repurchase additional shares of its outstanding common stock for retirement. These repurchase programs resulted in 35.9 million shares being purchased for $15.6 million in the fiscal year ended October 28, 2012. PSMC’s repurchase of these shares increased the Company’s ownership percentage in PSMC from 62.25% at October 30, 2011 to 72.09% as of October 28, 2012. Subsequent to fiscal year 2012, PSMC completed its most recent share repurchase program in November 2012 with the repurchase of an additional 9.2 million shares for $4.2 million, which increased the Company’s ownership in PSMC to 75.11%.</w:t>
      </w:r>
    </w:p>
    <w:p>
      <w:pPr>
        <w:spacing w:after="0" w:line="221"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In 2011 the board of directors of PSMC authorized PSMC to repurchase shares of its outstanding common stock for retirement. These repurchase programs resulted in 21.6 million shares being purchased for $9.9 million. PSMC’s repurchase of these shares increased the Company’s ownership percentage in PSMC from 57.53% at October 31, 2010 to 62.25% as of October 30, 2011.</w:t>
      </w:r>
    </w:p>
    <w:p>
      <w:pPr>
        <w:spacing w:after="0" w:line="215"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the second quarter of fiscal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repurchase $35.4 million of the Company’s 5.5% convertible senior notes, which were to mature in October 2014, and to pay, in full, its then outstanding obligations under capital leases of $19.8 million.</w:t>
      </w:r>
    </w:p>
    <w:p>
      <w:pPr>
        <w:spacing w:after="0" w:line="182"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In the second and third quarters of fiscal 2011 the Company, in two separate transactions, acquired $35.4 million of its 5.5% convertible senior notes in exchange for 5.2 million shares of its common stock, with a fair value of $45.7 million, and cash of $22.9 million (the note holders received 147.529 shares and cash of $647 for each $1,000 note). The Company, in connection with these transactions, recorded extinguishment losses of $35.1 million, which included the write-off of deferred financing fees of $2.0 million. The losses are included in other income (expense) in the Company’s consolidated statements of income.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9"/>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754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The following table presents selected operating information expressed as a percentage of net sales: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Year Ended</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360" w:type="dxa"/>
            <w:vAlign w:val="bottom"/>
            <w:gridSpan w:val="2"/>
          </w:tcPr>
          <w:p>
            <w:pPr>
              <w:jc w:val="right"/>
              <w:ind w:right="380"/>
              <w:spacing w:after="0" w:line="194" w:lineRule="exact"/>
              <w:rPr>
                <w:sz w:val="20"/>
                <w:szCs w:val="20"/>
                <w:color w:val="auto"/>
              </w:rPr>
            </w:pPr>
            <w:r>
              <w:rPr>
                <w:rFonts w:ascii="Arial" w:cs="Arial" w:eastAsia="Arial" w:hAnsi="Arial"/>
                <w:sz w:val="18"/>
                <w:szCs w:val="18"/>
                <w:b w:val="1"/>
                <w:bCs w:val="1"/>
                <w:color w:val="auto"/>
                <w:w w:val="96"/>
              </w:rPr>
              <w:t>October 28,</w:t>
            </w:r>
          </w:p>
        </w:tc>
        <w:tc>
          <w:tcPr>
            <w:tcW w:w="1400" w:type="dxa"/>
            <w:vAlign w:val="bottom"/>
            <w:gridSpan w:val="2"/>
          </w:tcPr>
          <w:p>
            <w:pPr>
              <w:jc w:val="right"/>
              <w:ind w:right="400"/>
              <w:spacing w:after="0" w:line="194" w:lineRule="exact"/>
              <w:rPr>
                <w:sz w:val="20"/>
                <w:szCs w:val="20"/>
                <w:color w:val="auto"/>
              </w:rPr>
            </w:pPr>
            <w:r>
              <w:rPr>
                <w:rFonts w:ascii="Arial" w:cs="Arial" w:eastAsia="Arial" w:hAnsi="Arial"/>
                <w:sz w:val="18"/>
                <w:szCs w:val="18"/>
                <w:b w:val="1"/>
                <w:bCs w:val="1"/>
                <w:color w:val="auto"/>
                <w:w w:val="98"/>
              </w:rPr>
              <w:t>October 30,</w:t>
            </w:r>
          </w:p>
        </w:tc>
        <w:tc>
          <w:tcPr>
            <w:tcW w:w="1140" w:type="dxa"/>
            <w:vAlign w:val="bottom"/>
          </w:tcPr>
          <w:p>
            <w:pPr>
              <w:jc w:val="right"/>
              <w:ind w:right="52"/>
              <w:spacing w:after="0" w:line="194" w:lineRule="exact"/>
              <w:rPr>
                <w:sz w:val="20"/>
                <w:szCs w:val="20"/>
                <w:color w:val="auto"/>
              </w:rPr>
            </w:pPr>
            <w:r>
              <w:rPr>
                <w:rFonts w:ascii="Arial" w:cs="Arial" w:eastAsia="Arial" w:hAnsi="Arial"/>
                <w:sz w:val="18"/>
                <w:szCs w:val="18"/>
                <w:b w:val="1"/>
                <w:bCs w:val="1"/>
                <w:color w:val="auto"/>
                <w:w w:val="98"/>
              </w:rPr>
              <w:t>October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(75.1)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Consolidation, restructuring and related (charges) credits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Debt extinguishment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October 28, 2012 (2012), October 30, 2011 (2011) and October 31, 2010 (2010), in millions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ind w:left="72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3"/>
              </w:rPr>
              <w:t>2011 to</w:t>
            </w:r>
          </w:p>
        </w:tc>
        <w:tc>
          <w:tcPr>
            <w:tcW w:w="11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6"/>
              </w:rPr>
              <w:t>2010 to</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329.8</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FPD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8"/>
                <w:szCs w:val="18"/>
                <w:color w:val="auto"/>
              </w:rPr>
            </w:pPr>
          </w:p>
        </w:tc>
        <w:tc>
          <w:tcPr>
            <w:tcW w:w="1480" w:type="dxa"/>
            <w:vAlign w:val="bottom"/>
            <w:gridSpan w:val="2"/>
          </w:tcPr>
          <w:p>
            <w:pPr>
              <w:ind w:left="780"/>
              <w:spacing w:after="0"/>
              <w:rPr>
                <w:sz w:val="20"/>
                <w:szCs w:val="20"/>
                <w:color w:val="auto"/>
              </w:rPr>
            </w:pPr>
            <w:r>
              <w:rPr>
                <w:rFonts w:ascii="Arial" w:cs="Arial" w:eastAsia="Arial" w:hAnsi="Arial"/>
                <w:sz w:val="18"/>
                <w:szCs w:val="18"/>
                <w:color w:val="auto"/>
              </w:rPr>
              <w:t>(17.0)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425.6</w:t>
            </w:r>
          </w:p>
        </w:tc>
        <w:tc>
          <w:tcPr>
            <w:tcW w:w="1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(12.0)%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Net sales for 2012 decreased 12.0% to $450.4 million as compared to $512.0 million for 2011, primarily due to reduced photomask demand as a result of a general slowdown in the semiconductor industry, although high-end IC unit demand and revenues increased. Revenues attributable to high-end products increased by $12 million to $173 million, as high-end revenues for IC increased by $15 million to $110 million, which were partially offset by a $3 million reduction in high-end FPD revenues to $63 million. Mainstream IC and FPD revenues decreased in 2012 as compared to 2011 as a result of decreases in both unit demand and average selling prices (ASPs). High-end photomask applications, which typically have higher ASPs, include photomask sets for IC products using 45 nanometer and below technologies, and for FPD products using Generation 8 and above and AMOLED technologies. By geographic area, net sales in 2012 as compared to 2011 decreased by $32.8 million or 10.7% in Asia, decreased by $22.8 million or 14.5% in North America, and decreased by $6.0 million or 12.8% in Europe. As a percent of total sales in 2012, sales were 61% in Asia, 30% in North America and 9% in Europe.</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506" w:right="379" w:bottom="1440" w:gutter="0" w:footer="0" w:header="0"/>
        </w:sectPr>
      </w:pPr>
    </w:p>
    <w:bookmarkStart w:id="21" w:name="page22"/>
    <w:bookmarkEnd w:id="21"/>
    <w:p>
      <w:pPr>
        <w:ind w:right="20" w:firstLine="318"/>
        <w:spacing w:after="0" w:line="267" w:lineRule="auto"/>
        <w:rPr>
          <w:sz w:val="20"/>
          <w:szCs w:val="20"/>
          <w:color w:val="auto"/>
        </w:rPr>
      </w:pPr>
      <w:r>
        <w:rPr>
          <w:rFonts w:ascii="Arial" w:cs="Arial" w:eastAsia="Arial" w:hAnsi="Arial"/>
          <w:sz w:val="17"/>
          <w:szCs w:val="17"/>
          <w:color w:val="auto"/>
        </w:rPr>
        <w:t>Net sales for 2011 increased 20.3% to $512.0 million as compared to $425.6 million for 2010. The increase was primarily related to increased high-end IC and FPD sales, mainly resulting from increased unit demand and ASPs for both high-end ICs and FPDs. FPD sales increased primarily as a result of increased unit demand for high-end products. Sales of high-end IC photomasks increased to $95 million in 2011 as compared to $37 million in 2010, and sales of high-end FPD photomasks increased to $67 million in 2011 as compared to $37 million in 2010. By geographic area, net sales in 2011 as compared to 2010 increased by $47.4 million or 18.3% in Asia, increased by $34.3 million or 27.7% in North America, and increased by $4.8 million or 11.4% in Europe. As a percent of total sales in 2011, sales were 60% in Asia, 31% in North America and 9% in Europe.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600"/>
              <w:spacing w:after="0" w:line="194" w:lineRule="exact"/>
              <w:rPr>
                <w:sz w:val="20"/>
                <w:szCs w:val="20"/>
                <w:color w:val="auto"/>
              </w:rPr>
            </w:pPr>
            <w:r>
              <w:rPr>
                <w:rFonts w:ascii="Arial" w:cs="Arial" w:eastAsia="Arial" w:hAnsi="Arial"/>
                <w:sz w:val="18"/>
                <w:szCs w:val="18"/>
                <w:b w:val="1"/>
                <w:bCs w:val="1"/>
                <w:color w:val="auto"/>
              </w:rPr>
              <w:t>2011 to</w:t>
            </w:r>
          </w:p>
        </w:tc>
        <w:tc>
          <w:tcPr>
            <w:tcW w:w="1140" w:type="dxa"/>
            <w:vAlign w:val="bottom"/>
            <w:tcBorders>
              <w:top w:val="single" w:sz="8" w:color="auto"/>
            </w:tcBorders>
          </w:tcPr>
          <w:p>
            <w:pPr>
              <w:jc w:val="right"/>
              <w:ind w:right="212"/>
              <w:spacing w:after="0" w:line="194" w:lineRule="exact"/>
              <w:rPr>
                <w:sz w:val="20"/>
                <w:szCs w:val="20"/>
                <w:color w:val="auto"/>
              </w:rPr>
            </w:pPr>
            <w:r>
              <w:rPr>
                <w:rFonts w:ascii="Arial" w:cs="Arial" w:eastAsia="Arial" w:hAnsi="Arial"/>
                <w:sz w:val="18"/>
                <w:szCs w:val="18"/>
                <w:b w:val="1"/>
                <w:bCs w:val="1"/>
                <w:color w:val="auto"/>
              </w:rPr>
              <w:t>2010 to</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136.2</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91.8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Gross margin %</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21.6%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Gross margin percentage decreased to 24.9% in 2012 from 26.6% in 2011, primarily due to a decrease in sales in 2012 as compared to 2011. The Company operates in a high fixed cost environment and, to the extent that the Company's revenues and utilization increase or decrease, gross margin will generally be positively or negatively impacted. Gross margin percentage increased to 26.6% in 2011 from 21.6% in 2010. This increase was primarily due to increased sales volume, including high-end photomasks which typically have higher ASPs.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500"/>
              <w:spacing w:after="0" w:line="194" w:lineRule="exact"/>
              <w:rPr>
                <w:sz w:val="20"/>
                <w:szCs w:val="20"/>
                <w:color w:val="auto"/>
              </w:rPr>
            </w:pPr>
            <w:r>
              <w:rPr>
                <w:rFonts w:ascii="Arial" w:cs="Arial" w:eastAsia="Arial" w:hAnsi="Arial"/>
                <w:sz w:val="18"/>
                <w:szCs w:val="18"/>
                <w:b w:val="1"/>
                <w:bCs w:val="1"/>
                <w:color w:val="auto"/>
              </w:rPr>
              <w:t>2011 to</w:t>
            </w:r>
          </w:p>
        </w:tc>
        <w:tc>
          <w:tcPr>
            <w:tcW w:w="1160" w:type="dxa"/>
            <w:vAlign w:val="bottom"/>
            <w:tcBorders>
              <w:top w:val="single" w:sz="8" w:color="auto"/>
            </w:tcBorders>
          </w:tcPr>
          <w:p>
            <w:pPr>
              <w:jc w:val="right"/>
              <w:ind w:right="172"/>
              <w:spacing w:after="0" w:line="194" w:lineRule="exact"/>
              <w:rPr>
                <w:sz w:val="20"/>
                <w:szCs w:val="20"/>
                <w:color w:val="auto"/>
              </w:rPr>
            </w:pPr>
            <w:r>
              <w:rPr>
                <w:rFonts w:ascii="Arial" w:cs="Arial" w:eastAsia="Arial" w:hAnsi="Arial"/>
                <w:sz w:val="18"/>
                <w:szCs w:val="18"/>
                <w:b w:val="1"/>
                <w:bCs w:val="1"/>
                <w:color w:val="auto"/>
              </w:rPr>
              <w:t>2010 to</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46.7</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45.2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42.4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of net sales</w:t>
            </w:r>
          </w:p>
        </w:tc>
        <w:tc>
          <w:tcPr>
            <w:tcW w:w="78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20" w:firstLine="318"/>
        <w:spacing w:after="0" w:line="366" w:lineRule="auto"/>
        <w:rPr>
          <w:sz w:val="20"/>
          <w:szCs w:val="20"/>
          <w:color w:val="auto"/>
        </w:rPr>
      </w:pPr>
      <w:r>
        <w:rPr>
          <w:rFonts w:ascii="Arial" w:cs="Arial" w:eastAsia="Arial" w:hAnsi="Arial"/>
          <w:sz w:val="15"/>
          <w:szCs w:val="15"/>
          <w:color w:val="auto"/>
        </w:rPr>
        <w:t>Selling, general and administrative expenses increased by $1.5 million to $46.7 million in 2012, as compared to 2011, and increased by $2.8 million to $45.2 million in 2011 as compared to 2010. These increases were primarily related to increased employee compensation and selling-related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Research and Development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540"/>
              <w:spacing w:after="0" w:line="194" w:lineRule="exact"/>
              <w:rPr>
                <w:sz w:val="20"/>
                <w:szCs w:val="20"/>
                <w:color w:val="auto"/>
              </w:rPr>
            </w:pPr>
            <w:r>
              <w:rPr>
                <w:rFonts w:ascii="Arial" w:cs="Arial" w:eastAsia="Arial" w:hAnsi="Arial"/>
                <w:sz w:val="18"/>
                <w:szCs w:val="18"/>
                <w:b w:val="1"/>
                <w:bCs w:val="1"/>
                <w:color w:val="auto"/>
              </w:rPr>
              <w:t>2011 to</w:t>
            </w:r>
          </w:p>
        </w:tc>
        <w:tc>
          <w:tcPr>
            <w:tcW w:w="1160" w:type="dxa"/>
            <w:vAlign w:val="bottom"/>
            <w:tcBorders>
              <w:top w:val="single" w:sz="8" w:color="auto"/>
            </w:tcBorders>
          </w:tcPr>
          <w:p>
            <w:pPr>
              <w:jc w:val="right"/>
              <w:ind w:right="212"/>
              <w:spacing w:after="0" w:line="194" w:lineRule="exact"/>
              <w:rPr>
                <w:sz w:val="20"/>
                <w:szCs w:val="20"/>
                <w:color w:val="auto"/>
              </w:rPr>
            </w:pPr>
            <w:r>
              <w:rPr>
                <w:rFonts w:ascii="Arial" w:cs="Arial" w:eastAsia="Arial" w:hAnsi="Arial"/>
                <w:sz w:val="18"/>
                <w:szCs w:val="18"/>
                <w:b w:val="1"/>
                <w:bCs w:val="1"/>
                <w:color w:val="auto"/>
              </w:rPr>
              <w:t>2010 to</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R&amp;D expense</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19.4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of net sales</w:t>
            </w:r>
          </w:p>
        </w:tc>
        <w:tc>
          <w:tcPr>
            <w:tcW w:w="7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$3.9 million to $19.4 million in 2012, as compared to 2011, primarily due to increased activities at advanced nanometer technology nodes for IC and FPD photomasks. Research and development expenses did not change significantly in 2011 as compared to 2010.</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 (Credits)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8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Asset write-downs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gain on sales of assets</w:t>
            </w: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40" w:type="dxa"/>
            <w:vAlign w:val="bottom"/>
          </w:tcPr>
          <w:p>
            <w:pPr>
              <w:spacing w:after="0" w:line="205" w:lineRule="exact"/>
              <w:rPr>
                <w:sz w:val="20"/>
                <w:szCs w:val="20"/>
                <w:color w:val="auto"/>
              </w:rPr>
            </w:pPr>
            <w:r>
              <w:rPr>
                <w:rFonts w:ascii="Arial" w:cs="Arial" w:eastAsia="Arial" w:hAnsi="Arial"/>
                <w:sz w:val="18"/>
                <w:szCs w:val="18"/>
                <w:color w:val="auto"/>
              </w:rPr>
              <w:t>Total consolidation, restructuring and related charges (credits)</w:t>
            </w:r>
          </w:p>
        </w:tc>
        <w:tc>
          <w:tcPr>
            <w:tcW w:w="820" w:type="dxa"/>
            <w:vAlign w:val="bottom"/>
          </w:tcPr>
          <w:p>
            <w:pPr>
              <w:jc w:val="right"/>
              <w:ind w:right="632"/>
              <w:spacing w:after="0" w:line="205"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205"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Singapore Facility</w:t>
      </w:r>
    </w:p>
    <w:p>
      <w:pPr>
        <w:spacing w:after="0" w:line="24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charges of $1.4 million during fiscal 2012. This restructuring, which was comprised primarily of employee termination costs, was substantially completed in fiscal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Net restructuring credits of $5.0 million in 2010 primarily relate to the sale of the Company’s Shanghai, China, manufacturing facility. In 2009 the carrying value of this facility was written down to its estimated fair value at that time, and in 2010 the facility was sold for net proceeds of $12.9 million, which exceeded its carrying value and resulted in a gain of $5.4 million that was recorded as a credit to the restructuring reserve.</w:t>
      </w:r>
    </w:p>
    <w:p>
      <w:pPr>
        <w:spacing w:after="0" w:line="198" w:lineRule="exact"/>
        <w:rPr>
          <w:sz w:val="20"/>
          <w:szCs w:val="20"/>
          <w:color w:val="auto"/>
        </w:rPr>
      </w:pPr>
    </w:p>
    <w:p>
      <w:pPr>
        <w:ind w:right="60" w:firstLine="318"/>
        <w:spacing w:after="0" w:line="366" w:lineRule="auto"/>
        <w:rPr>
          <w:sz w:val="20"/>
          <w:szCs w:val="20"/>
          <w:color w:val="auto"/>
        </w:rPr>
      </w:pPr>
      <w:r>
        <w:rPr>
          <w:rFonts w:ascii="Arial" w:cs="Arial" w:eastAsia="Arial" w:hAnsi="Arial"/>
          <w:sz w:val="15"/>
          <w:szCs w:val="15"/>
          <w:color w:val="auto"/>
        </w:rPr>
        <w:t>The Company continues to assess its global manufacturing strategy. This ongoing assessment could result in future facility closures, asset redeployments, workforce reductions, and the addition of increased manufacturing facilities, all of which would be predicated on market conditions and customer requirements.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loss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800" w:type="dxa"/>
            <w:vAlign w:val="bottom"/>
          </w:tcPr>
          <w:p>
            <w:pPr>
              <w:jc w:val="right"/>
              <w:ind w:right="6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Interest expense increased slightly in 2012, as compared to 2011, primarily as a result of the term loan entered into in the second quarter of 2012. Interest and other income (expense), net increased in 2012 as compared to 2011, primarily as a result of increased interest income on the Company’s higher cash balances in 2012.</w:t>
      </w:r>
    </w:p>
    <w:p>
      <w:pPr>
        <w:spacing w:after="0" w:line="215"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Interest expense decreased in 2011, as compared to 2010, primarily as a result of higher interest rate debt being replaced with the 3.25% convertible senior notes issued by the Company in March 2011. In addition, in 2010, the Company wrote off $1.0 million of deferred financing fees, that was charged to interest expense, in connection with refinancing its credit facility. Interest and other income (expense), net, increased in 2011 as compared to 2010 primarily due to increased investment earnings on the Company’s higher cash balances in 2011, lower non-cash losses related to changes in the fair value of certain of the Company’s common stock warrants and increased earnings on its equity method investment, all of which were largely offset by less favorable foreign currency transaction results.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23" w:name="page24"/>
    <w:bookmarkEnd w:id="23"/>
    <w:p>
      <w:pPr>
        <w:ind w:firstLine="318"/>
        <w:spacing w:after="0" w:line="271" w:lineRule="auto"/>
        <w:rPr>
          <w:sz w:val="20"/>
          <w:szCs w:val="20"/>
          <w:color w:val="auto"/>
        </w:rPr>
      </w:pPr>
      <w:r>
        <w:rPr>
          <w:rFonts w:ascii="Arial" w:cs="Arial" w:eastAsia="Arial" w:hAnsi="Arial"/>
          <w:sz w:val="17"/>
          <w:szCs w:val="17"/>
          <w:color w:val="auto"/>
        </w:rPr>
        <w:t>In the second and third quarters of fiscal 2011, the Company acquired $35.4 million aggregate principal amount of its 5.5% convertible senior notes by delivering $22.9 million in cash and 5.2 million shares of its common stock, with a fair value of $45.7 million. In connection with these 2011 acquisitions the Company recorded total debt extinguishment losses of $35.1 million, which included the write-off of $2.0 million of deferred financing fees. A portion of the net proceeds of the Company’s March 28, 2011, 3.25% convertible senior notes offering was used to repurchase these notes.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26.6%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The effective tax rate differs from the U.S. statutory rate of 35% in fiscal year 2012 primarily due to a higher level of earnings being taxed at lower statutory rates in foreign jurisdictions combined with the benefit of various investment credits in the foreign jurisdictions.</w:t>
      </w:r>
    </w:p>
    <w:p>
      <w:pPr>
        <w:spacing w:after="0" w:line="206" w:lineRule="exact"/>
        <w:rPr>
          <w:sz w:val="20"/>
          <w:szCs w:val="20"/>
          <w:color w:val="auto"/>
        </w:rPr>
      </w:pPr>
    </w:p>
    <w:p>
      <w:pPr>
        <w:jc w:val="both"/>
        <w:ind w:right="140" w:firstLine="318"/>
        <w:spacing w:after="0" w:line="330" w:lineRule="auto"/>
        <w:rPr>
          <w:sz w:val="20"/>
          <w:szCs w:val="20"/>
          <w:color w:val="auto"/>
        </w:rPr>
      </w:pPr>
      <w:r>
        <w:rPr>
          <w:rFonts w:ascii="Arial" w:cs="Arial" w:eastAsia="Arial" w:hAnsi="Arial"/>
          <w:sz w:val="15"/>
          <w:szCs w:val="15"/>
          <w:color w:val="auto"/>
        </w:rPr>
        <w:t>The effective tax rate differs from the U.S. statutory rate of 35% in fiscal year 2011 primarily due to the impact of the non-deductible debt extinguishment losses and the impact of a foreign subsidiary tax settlement offset by a higher level of earnings taxed at lower statutory rates in foreign jurisdictions. Further, in Korea and in Taiwan, various investment tax credits have been earned, which also reduced the Company’s effective income tax rate in 2011.</w:t>
      </w:r>
    </w:p>
    <w:p>
      <w:pPr>
        <w:spacing w:after="0" w:line="164" w:lineRule="exact"/>
        <w:rPr>
          <w:sz w:val="20"/>
          <w:szCs w:val="20"/>
          <w:color w:val="auto"/>
        </w:rPr>
      </w:pPr>
    </w:p>
    <w:p>
      <w:pPr>
        <w:jc w:val="both"/>
        <w:ind w:right="120" w:firstLine="318"/>
        <w:spacing w:after="0" w:line="366" w:lineRule="auto"/>
        <w:rPr>
          <w:sz w:val="20"/>
          <w:szCs w:val="20"/>
          <w:color w:val="auto"/>
        </w:rPr>
      </w:pPr>
      <w:r>
        <w:rPr>
          <w:rFonts w:ascii="Arial" w:cs="Arial" w:eastAsia="Arial" w:hAnsi="Arial"/>
          <w:sz w:val="15"/>
          <w:szCs w:val="15"/>
          <w:color w:val="auto"/>
        </w:rPr>
        <w:t>The effective income tax rate differs from the U.S. statutory rate of 35% in 2010 primarily due to tax rates being lower than the U.S. rate in other countries where the Company’s income is taxed. The Company, in 2010, also benefitted from the utilization of various investment tax credits in Korea and Taiwan.</w:t>
      </w:r>
    </w:p>
    <w:p>
      <w:pPr>
        <w:spacing w:after="0" w:line="13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reduces its deferred tax assets by a valuation allowance. As a result of these evaluations, the valuation allowance was increased (decreased) by $2.5 million, $(8.2) million and $10.9 million in 2012, 2011 and 2010, respectively. The Company also regularly assesses the potential outcomes of ongoing and future examinations and, accordingly, has recorded accruals for such contingencies.</w:t>
      </w:r>
    </w:p>
    <w:p>
      <w:pPr>
        <w:spacing w:after="0" w:line="221"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PKLT, the Company's FPD manufacturing facility in Taiwan, has been accorded a tax holiday which commenced in 2012 and expires in 2017. In addition, the Company was accorded a tax holiday in China which expired in 2011. The availability of these tax holidays did not have a significant impact on the Company's decision to increase its Asian presence, which was in response to fundamental changes that took place in the semiconductor industry that the Company serves. These tax holidays had no dollar or per share effect on the 2012, 2011 or 2010 fiscal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4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Net income attributable to noncontrolling interests decreased to $2.0 million in 2012 as compared to $4.0 million in 2011, primarily as a result of decreased net income at PSMC, the Company's non-wholly owned subsidiary in Taiwan, and to a lesser extent, due to PSMC’s share repurchase program (discussed below). Net income attributable to noncontrolling interests increased to $4.0 million in 2011 as compared to $1.2 million in 2010, primarily as a result of increased net income in 2012 at PSMC.</w:t>
      </w:r>
    </w:p>
    <w:p>
      <w:pPr>
        <w:spacing w:after="0" w:line="218" w:lineRule="exact"/>
        <w:rPr>
          <w:sz w:val="20"/>
          <w:szCs w:val="20"/>
          <w:color w:val="auto"/>
        </w:rPr>
      </w:pPr>
    </w:p>
    <w:p>
      <w:pPr>
        <w:ind w:right="20" w:firstLine="318"/>
        <w:spacing w:after="0" w:line="269" w:lineRule="auto"/>
        <w:rPr>
          <w:sz w:val="20"/>
          <w:szCs w:val="20"/>
          <w:color w:val="auto"/>
        </w:rPr>
      </w:pPr>
      <w:r>
        <w:rPr>
          <w:rFonts w:ascii="Arial" w:cs="Arial" w:eastAsia="Arial" w:hAnsi="Arial"/>
          <w:sz w:val="17"/>
          <w:szCs w:val="17"/>
          <w:color w:val="auto"/>
        </w:rPr>
        <w:t>In 2012 and 2011 the board of directors of PSMC authorized PSMC to repurchase shares of its outstanding common stock for retirement. These repurchase programs resulted in 35.9 million shares being purchased for $15.6 million in 2012, and 21.6 million shares being purchased for $9.9 million in 2011. PSMC’s repurchase of these shares increased the Company’s ownership percentage in PSMC from 57.53% at October 31, 2010, to 62.25% as of October 30, 2011, and to 72.09% at October 28, 2012. See Note 15 of the consolidated financial statements for more information. The Company’s ownership percentage in its subsidiary in Korea was 99.7% throughout fiscal 2010 to fiscal 2012.</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9"/>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October 28,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October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i w:val="1"/>
                <w:iCs w:val="1"/>
                <w:color w:val="auto"/>
                <w:w w:val="94"/>
              </w:rPr>
              <w:t>(in millions)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i w:val="1"/>
                <w:iCs w:val="1"/>
                <w:color w:val="auto"/>
                <w:w w:val="96"/>
              </w:rPr>
              <w:t>(in millions)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i w:val="1"/>
                <w:iCs w:val="1"/>
                <w:color w:val="auto"/>
                <w:w w:val="94"/>
              </w:rPr>
              <w:t>(in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2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As of October 28, 2012, the Company had cash and cash equivalents of $218.0 million compared to $189.9 million as of October 30, 2011. The Company's working capital increased $25.0 million to $234.3 million at October 28, 2012, as compared to $209.3 million at October 30, 2011. The increase in working capital was primarily the result of cash generated from operations. The Company may use its cash available on hand for operations, capital expenditures, debt repayments, strategic opportunities, stock repurchases or other corporate uses, any of which may be material.</w:t>
      </w:r>
    </w:p>
    <w:p>
      <w:pPr>
        <w:spacing w:after="0" w:line="204"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As of October 30, 2011, the Company had cash and cash equivalents of $189.9 million compared to $98.9 million as of October 31, 2010. The Company's working capital increased $122.7 million to $209.3 million at October 30, 2011, as compared to $86.6 million at October 31, 2010. The increase in working capital was primarily the result of cash proceeds from the issuance of $115 million of 3.25% convertible senior notes (of which a portion of the proceeds was used to repay higher interest rate debt) and increased cash generated from operating activities.</w:t>
      </w:r>
    </w:p>
    <w:p>
      <w:pPr>
        <w:spacing w:after="0" w:line="20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Net cash provided by operating activities was $132.5 million in fiscal 2012, as compared to $136.6 million in fiscal 2011. The decrease was the result of less favorable, when adjusted for a significant non-cash debt extinguishment loss charge, year-over-year operating results, which was partially offset by more cash generated through reduced accounts receivable and inventory balances. Net cash provided by operating activities was $136.6 million in fiscal 2011 as compared to $95.9 million in fiscal 2010. The increase was the effect of improved year-over-year operating results (excluding the effect of the non-cash debt portion of the extinguishment loss) as a result of increased sales. Net cash provided by operating activities increased to $95.9 million in fiscal 2010, as compared to $68.1 million in fiscal 2009, due to improved operating results in fiscal 2010 as a result of increased sales.</w:t>
      </w:r>
    </w:p>
    <w:p>
      <w:pPr>
        <w:spacing w:after="0" w:line="20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Net cash used in investing activities increased to $111.9 million in fiscal 2012, as compared to $100.7 million in fiscal 2011, due to increased purchases of property, plant and equipment, which were partially offset by a decrease in the amount of the Company’s year-over-year investment in the MP Mask joint venture. The investments in the joint venture were primarily the result of capital calls made by the joint venture. Net cash used in investing activities in fiscal 2011 increased to $100.7 million, as compared to $58.2 million in 2010, primarily due to increases in the Company’s investment in MP Mask as a result of capital calls, net proceeds from the sale of the Company’s former manufacturing facility in Shanghai, China, which reduced total net proceeds used in investing activities in fiscal 2010, and increased capital expenditures in 2011. Capital expenditures for the 2012, 2011, and 2010 fiscal years were $97.0 million, $82.1 million, and $71.4 million, respectively. The Company expects capital expenditure payments for fiscal 2013 to range between $70 million and $90 million, primarily related to investment in high-end IC manufacturing capability.</w:t>
      </w:r>
    </w:p>
    <w:p>
      <w:pPr>
        <w:spacing w:after="0" w:line="183"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Net cash provided by financing activities was $4.6 million in fiscal 2012, as compared to $54.5 million provided by financing activities in fiscal 2011 and, in 2012, was primarily comprised of the proceeds of a $25 million term loan, that was entered into by the Company in connection with its purchase of the US nanoFab facility, which was partially offset by payments for the repurchase common stock of PSMC from noncontrolling interests and repayments on long-term borrowings. Net cash provided by financing activities was $54.5 million in fiscal 2011 as compared to $32.4 million used in financing activities in fiscal 2010, and was primarily comprised of the net proceeds received from the March 2011 issuance of 3.25% convertible senior notes, partially offset by the repayment of certain other higher interest rate long-term borrowings.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25" w:name="page26"/>
    <w:bookmarkEnd w:id="25"/>
    <w:p>
      <w:pPr>
        <w:ind w:right="100" w:firstLine="318"/>
        <w:spacing w:after="0" w:line="307" w:lineRule="auto"/>
        <w:rPr>
          <w:sz w:val="20"/>
          <w:szCs w:val="20"/>
          <w:color w:val="auto"/>
        </w:rPr>
      </w:pPr>
      <w:r>
        <w:rPr>
          <w:rFonts w:ascii="Arial" w:cs="Arial" w:eastAsia="Arial" w:hAnsi="Arial"/>
          <w:sz w:val="15"/>
          <w:szCs w:val="15"/>
          <w:color w:val="auto"/>
        </w:rPr>
        <w:t>In March 2011 the Company issued $115 million aggregate principal amount of 3.25% convertible senior notes. The Company realized net proceeds of $110.7 million from the issuance of the notes, which mature on April 1, 2016, and commenced paying interest semiannually on October 1, 2011. During the three month period ended May 1, 2011, the Company used $19.7 million of the net proceeds of the 3.25% convertible senior notes and issued common stock to repurchase approximately $30.4 million principal amount of its 5.5% convertible senior notes, and used an additional $19.8 million of the net proceeds to repay its outstanding obligations under capital leases. In June 2011 the Company acquired an additional $5.0 million principal amount of its outstanding 5.5% convertible senior notes for $3.2 million and common stock. The Company may use a portion of the remaining net proceeds of its 3.25% convertible senior notes to repurchase additional amounts of its outstanding 5.5% senior convertible notes and for capital expenditure and working capital purposes.</w:t>
      </w:r>
    </w:p>
    <w:p>
      <w:pPr>
        <w:spacing w:after="0" w:line="17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March 2011 the Company and its lenders amended its revolving credit facility. Under the terms of the amended credit facility, the total amount available to the Company to borrow was reduced from $65 million to $30 million. The credit facility bears interest (2.50% at October 28, 2012), based on the Company’s total leverage ratio, at LIBOR plus a spread, as defined in the agreement. The credit facility is secured by substantially all of the Company’s assets located in the United States, as well as common stock the Company owns in certain of its foreign subsidiaries, and is subject to financial covenants, including the following, as defined in the agreement: minimum fixed charge ratio, total leverage ratio and minimum unrestricted cash balance. In January 2011 a $10 million irrevocable stand-by letter of credit, which expired in July 2011, for the purchase of manufacturing equipment was issued under the credit facility. As of October 28, 2012, the Company was in compliance with the covenants of its credit facility, had no outstanding borrowings under the credit facility and $30 million was available for borrowing.</w:t>
      </w:r>
    </w:p>
    <w:p>
      <w:pPr>
        <w:spacing w:after="0" w:line="209"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In April 2011 the Company entered into a 5 year, $21.2 million capital lease of manufacturing equipment. Payments under the lease, which bears interest at 3.09%, are $0.4 million per month through March 2016. As of October 28, 2012, the total lease amount payable through the end of the lease term was $16.0 million, of which $15.2 million represented principal and $0.8 million represented interest.</w:t>
      </w:r>
    </w:p>
    <w:p>
      <w:pPr>
        <w:spacing w:after="0" w:line="21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February 2012 the Company paid $35 million to Micron in connection with the purchase of the U.S. nanoFab facility. In connection therewith, the Company amended its credit facility to include the addition of a $25 million term loan maturing in March 2017, with minimum quarterly principal payments of $0.6 million and an outstanding balance of $23.8 million at October 28, 2012. The amendment also included a twenty-five basis point reduction in the interest rate charged on any borrowings under the credit facility. As a result of the purchase of the U.S. nanoFab facility, the Company’s lease agreement with Micron for the U.S. nanoFab facility was cancelled, which reduced the Company’s related outstanding operating lease commitments by a combined total of $15 million for fiscal years 2013 and 2014.</w:t>
      </w:r>
    </w:p>
    <w:p>
      <w:pPr>
        <w:spacing w:after="0" w:line="223" w:lineRule="exact"/>
        <w:rPr>
          <w:sz w:val="20"/>
          <w:szCs w:val="20"/>
          <w:color w:val="auto"/>
        </w:rPr>
      </w:pPr>
    </w:p>
    <w:p>
      <w:pPr>
        <w:ind w:right="60" w:firstLine="318"/>
        <w:spacing w:after="0" w:line="366" w:lineRule="auto"/>
        <w:rPr>
          <w:sz w:val="20"/>
          <w:szCs w:val="20"/>
          <w:color w:val="auto"/>
        </w:rPr>
      </w:pPr>
      <w:r>
        <w:rPr>
          <w:rFonts w:ascii="Arial" w:cs="Arial" w:eastAsia="Arial" w:hAnsi="Arial"/>
          <w:sz w:val="15"/>
          <w:szCs w:val="15"/>
          <w:color w:val="auto"/>
        </w:rPr>
        <w:t>In 2012 and 2011 the board of directors of PSMC authorized PSMC to repurchase shares of its outstanding common stock for retirement. These repurchase programs resulted in 35.9 million shares being repurchased for $15.6 million in 2012 and 21.6 million shares being purchased for $9.9 million in 2011.</w:t>
      </w:r>
    </w:p>
    <w:p>
      <w:pPr>
        <w:spacing w:after="0" w:line="137" w:lineRule="exact"/>
        <w:rPr>
          <w:sz w:val="20"/>
          <w:szCs w:val="20"/>
          <w:color w:val="auto"/>
        </w:rPr>
      </w:pPr>
    </w:p>
    <w:p>
      <w:pPr>
        <w:ind w:right="40" w:firstLine="318"/>
        <w:spacing w:after="0" w:line="307" w:lineRule="auto"/>
        <w:rPr>
          <w:sz w:val="20"/>
          <w:szCs w:val="20"/>
          <w:color w:val="auto"/>
        </w:rPr>
      </w:pPr>
      <w:r>
        <w:rPr>
          <w:rFonts w:ascii="Arial" w:cs="Arial" w:eastAsia="Arial" w:hAnsi="Arial"/>
          <w:sz w:val="15"/>
          <w:szCs w:val="15"/>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53"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At October 28, 2012, the Company had outstanding purchase commitments of $100 million, which included $91 million related to capital expenditures, primarily for investment in high-end IC photomask manufacturing capability. The Company intends to finance its capital expenditures with its working capital, cash generated from operations, and, if necessary, with additional borrowings.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Requirements</w:t>
      </w:r>
    </w:p>
    <w:p>
      <w:pPr>
        <w:spacing w:after="0" w:line="25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Company's cash requirements in fiscal 2013 will be primarily to fund its operations, including capital spending, and to service its debt. The Company believes that its cash on hand, cash generated from operations and amounts available under its credit facility will be sufficient to meet its cash requirements for the next twelve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cash requirements exceed its cash available from operations, existing cash, and cash available under its credit facility.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contractual obligations as of October 28,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8"/>
                <w:szCs w:val="18"/>
                <w:b w:val="1"/>
                <w:bCs w:val="1"/>
                <w:color w:val="auto"/>
                <w:w w:val="87"/>
              </w:rPr>
              <w:t>Payment due by period</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20"/>
              <w:spacing w:after="0" w:line="194" w:lineRule="exact"/>
              <w:rPr>
                <w:sz w:val="20"/>
                <w:szCs w:val="20"/>
                <w:color w:val="auto"/>
              </w:rPr>
            </w:pPr>
            <w:r>
              <w:rPr>
                <w:rFonts w:ascii="Arial" w:cs="Arial" w:eastAsia="Arial" w:hAnsi="Arial"/>
                <w:sz w:val="18"/>
                <w:szCs w:val="18"/>
                <w:b w:val="1"/>
                <w:bCs w:val="1"/>
                <w:color w:val="auto"/>
                <w:w w:val="82"/>
              </w:rPr>
              <w:t>Less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2"/>
              <w:spacing w:after="0" w:line="194" w:lineRule="exact"/>
              <w:rPr>
                <w:sz w:val="20"/>
                <w:szCs w:val="20"/>
                <w:color w:val="auto"/>
              </w:rPr>
            </w:pPr>
            <w:r>
              <w:rPr>
                <w:rFonts w:ascii="Arial" w:cs="Arial" w:eastAsia="Arial" w:hAnsi="Arial"/>
                <w:sz w:val="18"/>
                <w:szCs w:val="18"/>
                <w:b w:val="1"/>
                <w:bCs w:val="1"/>
                <w:color w:val="auto"/>
                <w:w w:val="97"/>
              </w:rPr>
              <w:t>More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Than</w:t>
            </w:r>
          </w:p>
        </w:tc>
        <w:tc>
          <w:tcPr>
            <w:tcW w:w="220" w:type="dxa"/>
            <w:vAlign w:val="bottom"/>
          </w:tcPr>
          <w:p>
            <w:pPr>
              <w:spacing w:after="0"/>
              <w:rPr>
                <w:sz w:val="18"/>
                <w:szCs w:val="18"/>
                <w:color w:val="auto"/>
              </w:rPr>
            </w:pPr>
          </w:p>
        </w:tc>
        <w:tc>
          <w:tcPr>
            <w:tcW w:w="92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1 - 3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3 - 5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Than</w:t>
            </w:r>
          </w:p>
        </w:tc>
        <w:tc>
          <w:tcPr>
            <w:tcW w:w="0" w:type="dxa"/>
            <w:vAlign w:val="bottom"/>
          </w:tcPr>
          <w:p>
            <w:pPr>
              <w:spacing w:after="0"/>
              <w:rPr>
                <w:sz w:val="1"/>
                <w:szCs w:val="1"/>
                <w:color w:val="auto"/>
              </w:rPr>
            </w:pPr>
          </w:p>
        </w:tc>
      </w:tr>
      <w:tr>
        <w:trPr>
          <w:trHeight w:val="237"/>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5 Years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27,054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304,972</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101,024</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61,091</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136,083</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As of October 28, 2012, the Company had an outstanding balance of $0.8 million for a loan from a customer which was not included in the above table. The proceeds of the loan were used to purchase manufacturing equipment. This loan is expected to be repaid with product supplied to the customer, typically on a monthly basis, and the Company estimates that the loan will be fully repaid in fiscal 2013.</w:t>
      </w:r>
    </w:p>
    <w:p>
      <w:pPr>
        <w:spacing w:after="0" w:line="215"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As of October 28, 2012, the Company had recorded accruals for uncertain tax positions of $1.9 million which was not included in the above table due to the high degree of uncertainty regarding the timing of future payments related to such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3"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Under the MP Mask joint venture operating agreement, in order to maintain its 49.99% ownership interest, the Company may be required to make additional capital contributions to the joint venture up to the maximum amount defined in the operating agreement. Cumulatively, through October 28, 2012, the Company has contributed $32.5 million to the joint venture, and has received distributions from the joint venture totaling $10.0 million. During fiscal 2012, the Company contributed $13.0 million to MP Mask. The Company received no distributions from MP Mask during fiscal 2012.</w:t>
      </w:r>
    </w:p>
    <w:p>
      <w:pPr>
        <w:spacing w:after="0" w:line="178"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9 to the consolidated financial statements for additional information on these operating leases.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Business Outlook</w:t>
      </w:r>
    </w:p>
    <w:p>
      <w:pPr>
        <w:spacing w:after="0" w:line="250" w:lineRule="exact"/>
        <w:rPr>
          <w:sz w:val="20"/>
          <w:szCs w:val="20"/>
          <w:color w:val="auto"/>
        </w:rPr>
      </w:pPr>
    </w:p>
    <w:p>
      <w:pPr>
        <w:ind w:right="320" w:firstLine="318"/>
        <w:spacing w:after="0" w:line="318" w:lineRule="auto"/>
        <w:rPr>
          <w:sz w:val="20"/>
          <w:szCs w:val="20"/>
          <w:color w:val="auto"/>
        </w:rPr>
      </w:pPr>
      <w:r>
        <w:rPr>
          <w:rFonts w:ascii="Arial" w:cs="Arial" w:eastAsia="Arial" w:hAnsi="Arial"/>
          <w:sz w:val="15"/>
          <w:szCs w:val="15"/>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benefit from advanced technology it may utilize under its technology license with Micron. The Company's Korean and Taiwanese operations are non-wholly owned subsidiaries and, therefore, a portion of earnings generated at each location is allocated to the noncontrolling interests.</w:t>
      </w:r>
    </w:p>
    <w:p>
      <w:pPr>
        <w:spacing w:after="0" w:line="147" w:lineRule="exact"/>
        <w:rPr>
          <w:sz w:val="20"/>
          <w:szCs w:val="20"/>
          <w:color w:val="auto"/>
        </w:rPr>
      </w:pPr>
    </w:p>
    <w:p>
      <w:pPr>
        <w:ind w:right="460" w:firstLine="318"/>
        <w:spacing w:after="0" w:line="330"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4"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0"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4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44"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The fair values of the Company's 3.25% and 5.5% convertible senior notes are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recoverable.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Intangible Assets</w:t>
      </w:r>
    </w:p>
    <w:p>
      <w:pPr>
        <w:spacing w:after="0" w:line="244"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Intangible assets consist primarily of a technology license agreement, a supply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64"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4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44" w:lineRule="exact"/>
        <w:rPr>
          <w:sz w:val="20"/>
          <w:szCs w:val="20"/>
          <w:color w:val="auto"/>
        </w:rPr>
      </w:pPr>
    </w:p>
    <w:p>
      <w:pPr>
        <w:ind w:right="80" w:firstLine="318"/>
        <w:spacing w:after="0" w:line="269" w:lineRule="auto"/>
        <w:rPr>
          <w:sz w:val="20"/>
          <w:szCs w:val="20"/>
          <w:color w:val="auto"/>
        </w:rPr>
      </w:pPr>
      <w:r>
        <w:rPr>
          <w:rFonts w:ascii="Arial" w:cs="Arial" w:eastAsia="Arial" w:hAnsi="Arial"/>
          <w:sz w:val="17"/>
          <w:szCs w:val="17"/>
          <w:color w:val="auto"/>
        </w:rPr>
        <w:t>Investments in joint ventures over which the Company has the ability to exercise significant influence and that, in general, are at least 20 percent owned are accounted for under the equity method. An impairment loss would be recognized whenever a decrease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44"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21"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Company would consolidate the results of any such entity in which it determined that it had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ind w:right="40" w:firstLine="318"/>
        <w:spacing w:after="0" w:line="269"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amounts of earnings in the tax jurisdictions in which it operates.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9" w:name="page30"/>
    <w:bookmarkEnd w:id="29"/>
    <w:p>
      <w:pPr>
        <w:ind w:firstLine="318"/>
        <w:spacing w:after="0" w:line="309" w:lineRule="auto"/>
        <w:rPr>
          <w:sz w:val="20"/>
          <w:szCs w:val="20"/>
          <w:color w:val="auto"/>
        </w:rPr>
      </w:pPr>
      <w:r>
        <w:rPr>
          <w:rFonts w:ascii="Arial" w:cs="Arial" w:eastAsia="Arial" w:hAnsi="Arial"/>
          <w:sz w:val="15"/>
          <w:szCs w:val="15"/>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allowances. Significant management estimates and judgment are required in determining any valuation allowances recorded against net deferred tax assets.</w:t>
      </w:r>
    </w:p>
    <w:p>
      <w:pPr>
        <w:spacing w:after="0" w:line="179" w:lineRule="exact"/>
        <w:rPr>
          <w:sz w:val="20"/>
          <w:szCs w:val="20"/>
          <w:color w:val="auto"/>
        </w:rPr>
      </w:pPr>
    </w:p>
    <w:p>
      <w:pPr>
        <w:jc w:val="center"/>
        <w:ind w:right="20"/>
        <w:spacing w:after="0" w:line="366" w:lineRule="auto"/>
        <w:rPr>
          <w:sz w:val="20"/>
          <w:szCs w:val="20"/>
          <w:color w:val="auto"/>
        </w:rPr>
      </w:pPr>
      <w:r>
        <w:rPr>
          <w:rFonts w:ascii="Arial" w:cs="Arial" w:eastAsia="Arial" w:hAnsi="Arial"/>
          <w:sz w:val="15"/>
          <w:szCs w:val="15"/>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44"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7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4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7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0" w:lineRule="exact"/>
        <w:rPr>
          <w:sz w:val="20"/>
          <w:szCs w:val="20"/>
          <w:color w:val="auto"/>
        </w:rPr>
      </w:pPr>
    </w:p>
    <w:p>
      <w:pPr>
        <w:jc w:val="both"/>
        <w:ind w:right="20" w:firstLine="318"/>
        <w:spacing w:after="0" w:line="269" w:lineRule="auto"/>
        <w:rPr>
          <w:sz w:val="20"/>
          <w:szCs w:val="20"/>
          <w:color w:val="auto"/>
        </w:rPr>
      </w:pPr>
      <w:r>
        <w:rPr>
          <w:rFonts w:ascii="Arial" w:cs="Arial" w:eastAsia="Arial" w:hAnsi="Arial"/>
          <w:sz w:val="17"/>
          <w:szCs w:val="17"/>
          <w:color w:val="auto"/>
        </w:rPr>
        <w:t>In June 2011, the FASB issued ASU No. 2011-05, Presentation of Comprehensive Income (“ASU 2011-05”). ASU 2011-05 requires companies to present the components of net income and other comprehensive income either as one continuous statement or as two consecutive statements. It eliminates the option to present components of other comprehensive income as part of the statement of changes in stockholders’ equity. ASU 2011-05 is effective for interim and annual periods beginning after December 15, 2011 and is applied retrospectively. The Company has adopted this update and presented the Consolidated Statements of Comprehensive Income immediately following the Consolidated Statements of Income.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0"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The types of risks that the Company has historically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0"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The Company conducts business in several major international currencies throughout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New Taiwan dollar and the Singapore dollar. The functional currencies of the Company's European subsidiaries are the British pound and the euro.</w:t>
      </w:r>
    </w:p>
    <w:p>
      <w:pPr>
        <w:spacing w:after="0" w:line="20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currency against the U.S. dollar.</w:t>
      </w:r>
    </w:p>
    <w:p>
      <w:pPr>
        <w:spacing w:after="0" w:line="173"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 Company's primary net foreign currency exposures as of October 28, 2012, included the Korean won, the Japanese yen, the Singapore dollar, the New Taiwan dollar, the British pound, and the euro. As of October 28, 2012, a 10% adverse movement in the value of these currencies against the U.S. dollar would have resulted in a net unrealized pre-tax loss of $1.7 million. The Company does not believe that a 10% change in the exchange rates of other non-U.S. dollar currencies would have a material effect on its consolidated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At October 28, 2012, the Company had $23.8 million in variable rate borrowings. A 10% change in interest rates would not have had a material effect on the Company's consolidated financial position, results of operations, or cash flows in the year ended October 28, 2012.</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9"/>
        </w:trPr>
        <w:tc>
          <w:tcPr>
            <w:tcW w:w="102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18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60" w:type="dxa"/>
            <w:vAlign w:val="bottom"/>
            <w:gridSpan w:val="8"/>
            <w:shd w:val="clear" w:color="auto" w:fill="CCEEFF"/>
          </w:tcPr>
          <w:p>
            <w:pPr>
              <w:spacing w:after="0" w:line="172" w:lineRule="exact"/>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60" w:type="dxa"/>
            <w:vAlign w:val="bottom"/>
            <w:gridSpan w:val="8"/>
            <w:shd w:val="clear" w:color="auto" w:fill="CCEEFF"/>
          </w:tcPr>
          <w:p>
            <w:pPr>
              <w:spacing w:after="0" w:line="172"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Balance Sheets at October 28, 2012 and October 30, 2011</w:t>
              </w:r>
            </w:hyperlink>
          </w:p>
        </w:tc>
        <w:tc>
          <w:tcPr>
            <w:tcW w:w="1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60" w:type="dxa"/>
            <w:vAlign w:val="bottom"/>
            <w:gridSpan w:val="8"/>
            <w:shd w:val="clear" w:color="auto" w:fill="CCEEFF"/>
          </w:tcPr>
          <w:p>
            <w:pPr>
              <w:spacing w:after="0" w:line="172"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Statements of Income for the years ended October 28, 2012, October 30, 2011 and October 31, 2010</w:t>
              </w:r>
            </w:hyperlink>
          </w:p>
        </w:tc>
        <w:tc>
          <w:tcPr>
            <w:tcW w:w="1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60" w:type="dxa"/>
            <w:vAlign w:val="bottom"/>
            <w:gridSpan w:val="8"/>
            <w:shd w:val="clear" w:color="auto" w:fill="CCEEFF"/>
          </w:tcPr>
          <w:p>
            <w:pPr>
              <w:spacing w:after="0" w:line="17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Consolidated Statements of Comprehensive Income for the years ended October 28, 2012, October 30, 2011 and October 31, 2010</w:t>
              </w:r>
            </w:hyperlink>
          </w:p>
        </w:tc>
        <w:tc>
          <w:tcPr>
            <w:tcW w:w="1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60" w:type="dxa"/>
            <w:vAlign w:val="bottom"/>
            <w:gridSpan w:val="8"/>
            <w:shd w:val="clear" w:color="auto" w:fill="CCEEFF"/>
          </w:tcPr>
          <w:p>
            <w:pPr>
              <w:spacing w:after="0" w:line="172"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Equity for the years ended October 28, 2012, October 30, 2011 and October 31, 2010</w:t>
              </w:r>
            </w:hyperlink>
          </w:p>
        </w:tc>
        <w:tc>
          <w:tcPr>
            <w:tcW w:w="1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60" w:type="dxa"/>
            <w:vAlign w:val="bottom"/>
            <w:gridSpan w:val="8"/>
            <w:shd w:val="clear" w:color="auto" w:fill="CCEEFF"/>
          </w:tcPr>
          <w:p>
            <w:pPr>
              <w:spacing w:after="0" w:line="172"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Cash Flows for the years ended October 28, 2012, October 30, 2011 and October 31, 2010</w:t>
              </w:r>
            </w:hyperlink>
          </w:p>
        </w:tc>
        <w:tc>
          <w:tcPr>
            <w:tcW w:w="1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80" w:type="dxa"/>
            <w:vAlign w:val="bottom"/>
            <w:tcBorders>
              <w:bottom w:val="single" w:sz="8" w:color="0000EE"/>
            </w:tcBorders>
            <w:shd w:val="clear" w:color="auto" w:fill="CCEEFF"/>
          </w:tcPr>
          <w:p>
            <w:pPr>
              <w:spacing w:after="0" w:line="172"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Notes to Consolidated Financial Statements</w:t>
              </w:r>
            </w:hyperlink>
          </w:p>
        </w:tc>
        <w:tc>
          <w:tcPr>
            <w:tcW w:w="7180" w:type="dxa"/>
            <w:vAlign w:val="bottom"/>
            <w:tcBorders>
              <w:bottom w:val="single" w:sz="8" w:color="CCEEFF"/>
            </w:tcBorders>
            <w:gridSpan w:val="7"/>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line="172"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6"/>
        </w:trPr>
        <w:tc>
          <w:tcPr>
            <w:tcW w:w="8020" w:type="dxa"/>
            <w:vAlign w:val="bottom"/>
            <w:gridSpan w:val="5"/>
          </w:tcPr>
          <w:p>
            <w:pPr>
              <w:jc w:val="right"/>
              <w:ind w:right="2240"/>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2"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have audited the accompanying consolidated balance sheets of Photronics, Inc. and subsidiaries (the "Company") as of October 28, 2012 and October 30, 2011, and the related consolidated statements of income, comprehensive income, equity and cash flows for each of the three fiscal years ended October 28, 2012, October 30, 2011, and October 31, 2010. We also have audited the Company's internal control over financial reporting as of October 28, 2012, based on criteria established in Internal Control — Integrated Framework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pacing w:after="0" w:line="20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3"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1"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Photronics, Inc. and subsidiaries as of October 28, 2012 and October 30, 2011, and the results of their operations and their cash flows for each of the three fiscal years ended October 28, 2012, October 30, 2011, and October 31, 2010, in conformity with accounting principles generally accepted in the United States of America. Also, in our opinion, the Company maintained, in all material respects, effective internal control over financial reporting as of October 28, 2012, based on the criteria established in Internal Control — Integrated Framework issued by the Committee of Sponsoring Organizations of the Treadway Commission.</w:t>
      </w:r>
    </w:p>
    <w:p>
      <w:pPr>
        <w:spacing w:after="0" w:line="152"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As discussed in Note 22 to the consolidated financial statements, the Company has changed its method of presenting comprehensive income in fiscal year 2012 due to the adoption of Financial Accounting Standards Board Accounting Standards Update No. 2011-05, Presentation of Comprehensive Income. The change in presentation has been applied retrospectively to all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9, 2013</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3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8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PHOTRONICS, INC. AND SUBSIDIARIES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jc w:val="center"/>
              <w:ind w:left="2232"/>
              <w:spacing w:after="0"/>
              <w:rPr>
                <w:sz w:val="20"/>
                <w:szCs w:val="20"/>
                <w:color w:val="auto"/>
              </w:rPr>
            </w:pPr>
            <w:r>
              <w:rPr>
                <w:rFonts w:ascii="Arial" w:cs="Arial" w:eastAsia="Arial" w:hAnsi="Arial"/>
                <w:sz w:val="18"/>
                <w:szCs w:val="18"/>
                <w:b w:val="1"/>
                <w:bCs w:val="1"/>
                <w:color w:val="auto"/>
                <w:w w:val="85"/>
              </w:rPr>
              <w:t>Consolidated Balance Sheets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80" w:type="dxa"/>
            <w:vAlign w:val="bottom"/>
          </w:tcPr>
          <w:p>
            <w:pPr>
              <w:jc w:val="center"/>
              <w:ind w:left="221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8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 of $3,902 in 2012 and $4,055 in 2011</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85,540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319,794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305,207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380,808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368,680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42,462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849,234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817,854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4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7,781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95,901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263,233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258,098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gridSpan w:val="2"/>
          </w:tcPr>
          <w:p>
            <w:pPr>
              <w:ind w:left="140"/>
              <w:spacing w:after="0" w:line="200" w:lineRule="exact"/>
              <w:rPr>
                <w:sz w:val="20"/>
                <w:szCs w:val="20"/>
                <w:color w:val="auto"/>
              </w:rPr>
            </w:pPr>
            <w:r>
              <w:rPr>
                <w:rFonts w:ascii="Arial" w:cs="Arial" w:eastAsia="Arial" w:hAnsi="Arial"/>
                <w:sz w:val="18"/>
                <w:szCs w:val="18"/>
                <w:color w:val="auto"/>
                <w:w w:val="89"/>
              </w:rPr>
              <w:t>Common stock, $0.01 par value, 150,000 shares authorized, 60,213 shares issued and outstanding at October 28, 2012,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and 59,651 shares issued and outstanding at October 30, 2011</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486,674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Total Photronics, Inc. shareholders' equity</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551,386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511,047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586,001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559,756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849,234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3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20" w:type="dxa"/>
            <w:vAlign w:val="bottom"/>
          </w:tcPr>
          <w:p>
            <w:pPr>
              <w:jc w:val="center"/>
              <w:ind w:left="3592"/>
              <w:spacing w:after="0"/>
              <w:rPr>
                <w:sz w:val="20"/>
                <w:szCs w:val="20"/>
                <w:color w:val="auto"/>
              </w:rPr>
            </w:pPr>
            <w:r>
              <w:rPr>
                <w:rFonts w:ascii="Arial" w:cs="Arial" w:eastAsia="Arial" w:hAnsi="Arial"/>
                <w:sz w:val="18"/>
                <w:szCs w:val="18"/>
                <w:b w:val="1"/>
                <w:bCs w:val="1"/>
                <w:color w:val="auto"/>
                <w:w w:val="97"/>
              </w:rPr>
              <w:t>PHOTRONICS, INC. AND SUBSIDIARIES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jc w:val="center"/>
              <w:ind w:left="3572"/>
              <w:spacing w:after="0"/>
              <w:rPr>
                <w:sz w:val="20"/>
                <w:szCs w:val="20"/>
                <w:color w:val="auto"/>
              </w:rPr>
            </w:pPr>
            <w:r>
              <w:rPr>
                <w:rFonts w:ascii="Arial" w:cs="Arial" w:eastAsia="Arial" w:hAnsi="Arial"/>
                <w:sz w:val="18"/>
                <w:szCs w:val="18"/>
                <w:b w:val="1"/>
                <w:bCs w:val="1"/>
                <w:color w:val="auto"/>
                <w:w w:val="86"/>
              </w:rPr>
              <w:t>Consolidated Statements of Income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jc w:val="center"/>
              <w:ind w:left="357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450,439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425,554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(375,806)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(45,240)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Consolidation, restructuring and related (charges) credits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Debt extinguishment loss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Income before income tax provision</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35,899</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(15,691)</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27,868</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16,229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Borders>
              <w:right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0.44</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0.28</w:t>
            </w: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Borders>
              <w:right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20" w:type="dxa"/>
            <w:vAlign w:val="bottom"/>
            <w:tcBorders>
              <w:bottom w:val="single" w:sz="8" w:color="CCEEFF"/>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57,030</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76,464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58,458</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65,803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comprehensive income, net of tax of $0:</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Arial" w:cs="Arial" w:eastAsia="Arial" w:hAnsi="Arial"/>
                <w:sz w:val="18"/>
                <w:szCs w:val="18"/>
                <w:color w:val="auto"/>
              </w:rPr>
              <w:t>Amortization of cash flow hedge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holding gains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Less: reclassification adjustments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other comprehensive income, net of tax</w:t>
            </w: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33,675</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2012, October 30, 2011 and October 31, 2010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(Accumulated</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Income (Loss)</w:t>
            </w: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November 1, 2009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(26,546)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49,941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13,451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and purchase plan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89"/>
              </w:rPr>
              <w:t>Restricted stock awards vestings and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Common stock warrants exercised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issuance costs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at October 31, 2010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53,779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436,825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(2,624)</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16,229</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Common stock issued to extinguish debt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45,585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45,637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and purchase plan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89"/>
              </w:rPr>
              <w:t>Restricted stock awards vestings and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Common stock warrants exercised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4"/>
              </w:rPr>
              <w:t>Repurchase of common stock by subsidiary</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at October 30, 2011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59,651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486,674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13,605</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10,171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48,709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559,756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27,868</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tcPr>
          <w:p>
            <w:pPr>
              <w:spacing w:after="0" w:line="200" w:lineRule="exact"/>
              <w:rPr>
                <w:sz w:val="20"/>
                <w:szCs w:val="20"/>
                <w:color w:val="auto"/>
              </w:rPr>
            </w:pPr>
            <w:r>
              <w:rPr>
                <w:rFonts w:ascii="Arial" w:cs="Arial" w:eastAsia="Arial" w:hAnsi="Arial"/>
                <w:sz w:val="18"/>
                <w:szCs w:val="18"/>
                <w:color w:val="auto"/>
              </w:rPr>
              <w:t>Sale of common stock through employee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stock option and purchase plan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89"/>
              </w:rPr>
              <w:t>Restricted stock awards vestings and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4"/>
              </w:rPr>
              <w:t>Repurchase of common stock by subsidiary</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(17,481)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28, 2012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Year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0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line="194" w:lineRule="exact"/>
              <w:rPr>
                <w:sz w:val="20"/>
                <w:szCs w:val="20"/>
                <w:color w:val="auto"/>
              </w:rPr>
            </w:pPr>
            <w:r>
              <w:rPr>
                <w:rFonts w:ascii="Arial" w:cs="Arial" w:eastAsia="Arial" w:hAnsi="Arial"/>
                <w:sz w:val="18"/>
                <w:szCs w:val="18"/>
                <w:b w:val="1"/>
                <w:bCs w:val="1"/>
                <w:color w:val="auto"/>
                <w:w w:val="86"/>
              </w:rPr>
              <w:t>October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5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property, plant and equipment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 and intangible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Consolidation, restructuring and related charges (credits)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accrued liabilities and other</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132,549</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136,553</w:t>
            </w: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(96,978)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(82,121)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(71,381)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joint venture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sale of facilities</w:t>
            </w: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(111,943)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(100,737)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Proceeds from long-term borrowings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convertible debt offering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Repurchase of common stock by subsidiary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borrowings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Proceeds from share-based arrangements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deferred financing fees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Payments of expenses related to debt offering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Effects of exchange rate changes on cash</w:t>
            </w:r>
          </w:p>
        </w:tc>
        <w:tc>
          <w:tcPr>
            <w:tcW w:w="8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218,043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189,928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Supplemental disclosure of non-cash information: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Accrual for property, plant and equipment purchased during year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39,560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 related to facility purchase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Capital lease obligation for purchases of property, plant and 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21,248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issued to extinguish debt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2012, October 30, 2011 and October 31, 2010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0" w:lineRule="exact"/>
        <w:rPr>
          <w:sz w:val="20"/>
          <w:szCs w:val="20"/>
          <w:color w:val="auto"/>
        </w:rPr>
      </w:pPr>
    </w:p>
    <w:p>
      <w:pPr>
        <w:ind w:right="200" w:firstLine="318"/>
        <w:spacing w:after="0" w:line="267" w:lineRule="auto"/>
        <w:rPr>
          <w:sz w:val="20"/>
          <w:szCs w:val="20"/>
          <w:color w:val="auto"/>
        </w:rPr>
      </w:pPr>
      <w:r>
        <w:rPr>
          <w:rFonts w:ascii="Arial" w:cs="Arial" w:eastAsia="Arial" w:hAnsi="Arial"/>
          <w:sz w:val="17"/>
          <w:szCs w:val="17"/>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 In December 2011 the Company ceased manufacturing photomasks at its facility in Singapore.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accompanying consolidated financial statements include the accounts of Photronics, Inc. and its majority-owned subsidiaries that the Company controls.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0"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amounts reported in them. Actual results may differ from such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0"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0" w:lineRule="exact"/>
        <w:rPr>
          <w:sz w:val="20"/>
          <w:szCs w:val="20"/>
          <w:color w:val="auto"/>
        </w:rPr>
      </w:pPr>
    </w:p>
    <w:p>
      <w:pPr>
        <w:ind w:right="220" w:firstLine="318"/>
        <w:spacing w:after="0" w:line="265"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2012, 2011 and 2010 each included 52 weeks, while fiscal year 2013 will include 53 weeks.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0" w:lineRule="exact"/>
        <w:rPr>
          <w:sz w:val="20"/>
          <w:szCs w:val="20"/>
          <w:color w:val="auto"/>
        </w:rPr>
      </w:pPr>
    </w:p>
    <w:p>
      <w:pPr>
        <w:ind w:right="180" w:firstLine="318"/>
        <w:spacing w:after="0" w:line="265"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Inventories are primarily comprised of raw materials and are stated at the lower of cost, determined under the first-in, first-out ("FIFO") method, or market.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0" w:lineRule="exact"/>
        <w:rPr>
          <w:sz w:val="20"/>
          <w:szCs w:val="20"/>
          <w:color w:val="auto"/>
        </w:rPr>
      </w:pPr>
    </w:p>
    <w:p>
      <w:pPr>
        <w:jc w:val="both"/>
        <w:ind w:right="140" w:firstLine="318"/>
        <w:spacing w:after="0" w:line="277" w:lineRule="auto"/>
        <w:rPr>
          <w:sz w:val="20"/>
          <w:szCs w:val="20"/>
          <w:color w:val="auto"/>
        </w:rPr>
      </w:pPr>
      <w:r>
        <w:rPr>
          <w:rFonts w:ascii="Arial" w:cs="Arial" w:eastAsia="Arial" w:hAnsi="Arial"/>
          <w:sz w:val="17"/>
          <w:szCs w:val="17"/>
          <w:color w:val="auto"/>
        </w:rPr>
        <w:t>Intangible assets consist primarily of a technology license agreement, a supply agreement and acquisition-related intangibles. These assets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98"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Investments in joint ventures over which the Company has the ability to exercise significant influence and that, in general, are at least 20 percent owned are stated at cost plus equity in undistributed net income (loss) of the joint venture. An impairment loss would be recognized whenever a decrease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0"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21"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Company would consolidate the results of any such entity in which it determined that it had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0"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mix of earnings in the tax jurisdictions in which it operates.</w:t>
      </w:r>
    </w:p>
    <w:p>
      <w:pPr>
        <w:spacing w:after="0" w:line="2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 Significant management estimates and judgment are required in determining any valuation allowances recorded against net deferred tax assets.</w:t>
      </w:r>
    </w:p>
    <w:p>
      <w:pPr>
        <w:spacing w:after="0" w:line="179" w:lineRule="exact"/>
        <w:rPr>
          <w:sz w:val="20"/>
          <w:szCs w:val="20"/>
          <w:color w:val="auto"/>
        </w:rPr>
      </w:pPr>
    </w:p>
    <w:p>
      <w:pPr>
        <w:jc w:val="center"/>
        <w:ind w:right="40"/>
        <w:spacing w:after="0" w:line="366" w:lineRule="auto"/>
        <w:rPr>
          <w:sz w:val="20"/>
          <w:szCs w:val="20"/>
          <w:color w:val="auto"/>
        </w:rPr>
      </w:pPr>
      <w:r>
        <w:rPr>
          <w:rFonts w:ascii="Arial" w:cs="Arial" w:eastAsia="Arial" w:hAnsi="Arial"/>
          <w:sz w:val="15"/>
          <w:szCs w:val="15"/>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0"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7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carrying value of a technology license agreement with Micron Technology, Inc. (“Micron”). Under this technology license agreement, the Company has access to certain photomask technology developed by Micron.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and other income (expense), net were a gain of $0.2 million, $0.4 million and $2.0 million in fiscal years 2012, 2011 and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0"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Noncontrolling interests represents the minority shareholders' proportionate share in the equity of the Company's two majority-owned subsidiaries, PK Ltd. ("PKL") in Korea of which noncontrolling shareholders owned approximately 0.3% as of October 28, 2012 and October 30, 2011, and Photronics Semiconductor Mask Corporation ("PSMC") in Taiwan, of which noncontrolling interests owned approximately 28% and 38%, as of October 28, 2012 and October 30, 2011, respectively. The effect on its equity of the change in the Company’s ownership interest in PSMC is presented in Note 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0"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7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xml:space="preserve"> – The Company reports its revenues net of any sales taxes billed to its customers.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gridSpan w:val="2"/>
          </w:tcPr>
          <w:p>
            <w:pPr>
              <w:spacing w:after="0"/>
              <w:rPr>
                <w:rFonts w:ascii="Arial" w:cs="Arial" w:eastAsia="Arial" w:hAnsi="Arial"/>
                <w:sz w:val="14"/>
                <w:szCs w:val="14"/>
                <w:i w:val="1"/>
                <w:iCs w:val="1"/>
                <w:color w:val="0000EE"/>
                <w:w w:val="87"/>
              </w:rPr>
            </w:pPr>
            <w:hyperlink w:anchor="page32">
              <w:r>
                <w:rPr>
                  <w:rFonts w:ascii="Arial" w:cs="Arial" w:eastAsia="Arial" w:hAnsi="Arial"/>
                  <w:sz w:val="14"/>
                  <w:szCs w:val="14"/>
                  <w:i w:val="1"/>
                  <w:iCs w:val="1"/>
                  <w:color w:val="0000EE"/>
                  <w:w w:val="87"/>
                </w:rPr>
                <w:t>Index</w:t>
              </w:r>
            </w:hyperlink>
          </w:p>
        </w:tc>
        <w:tc>
          <w:tcPr>
            <w:tcW w:w="6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NOTE 2 - PROPERTY, PLANT AND EQUIPMENT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1,320,252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972,973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951,572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368,680</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3"/>
              </w:rPr>
              <w:t>Property under capital leases are included in above property, plant and equipment as follows:</w:t>
            </w:r>
          </w:p>
        </w:tc>
        <w:tc>
          <w:tcPr>
            <w:tcW w:w="3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Depreciation expense for property, plant and equipment (excluding property under capital leases) was $73.8 million, $77.0 million and $71.2 million in fiscal years 2012, 2011 and 2010, respectively. Amortization expense for property under capital leases was $4.8 million, $9.7 million and $10.2 million in fiscal years 2012, 2011 and 2010, respectively.</w:t>
      </w: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w:t>
      </w:r>
    </w:p>
    <w:p>
      <w:pPr>
        <w:spacing w:after="0" w:line="250"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Intangible assets include assets related to the purchase of additional shares of PKL and the investment to form the MP Mask joint venture. Amortization expense of intangible assets was $5.0 million, $5.3 million and $6.0 million in fiscal years 2012, 2011 and 2010, respectively. Intangible asset amortization is forecasted to range from $4.0 million to $5.0 million per year for the next 5 years.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Intangible assets consist of:</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Net</w:t>
            </w:r>
          </w:p>
        </w:tc>
      </w:tr>
      <w:tr>
        <w:trPr>
          <w:trHeight w:val="237"/>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As of October 28, 2012</w:t>
            </w: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59,616</w:t>
            </w:r>
          </w:p>
        </w:tc>
        <w:tc>
          <w:tcPr>
            <w:tcW w:w="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34,113</w:t>
            </w: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Customer lists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Software and other</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42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77,276</w:t>
            </w:r>
          </w:p>
        </w:tc>
        <w:tc>
          <w:tcPr>
            <w:tcW w:w="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37,384</w:t>
            </w:r>
          </w:p>
        </w:tc>
      </w:tr>
      <w:tr>
        <w:trPr>
          <w:trHeight w:val="205"/>
        </w:trPr>
        <w:tc>
          <w:tcPr>
            <w:tcW w:w="20" w:type="dxa"/>
            <w:vAlign w:val="bottom"/>
          </w:tcPr>
          <w:p>
            <w:pPr>
              <w:spacing w:after="0"/>
              <w:rPr>
                <w:sz w:val="17"/>
                <w:szCs w:val="17"/>
                <w:color w:val="auto"/>
              </w:rPr>
            </w:pPr>
          </w:p>
        </w:tc>
        <w:tc>
          <w:tcPr>
            <w:tcW w:w="4280" w:type="dxa"/>
            <w:vAlign w:val="bottom"/>
            <w:tcBorders>
              <w:top w:val="single" w:sz="8" w:color="CCEEFF"/>
            </w:tcBorders>
          </w:tcPr>
          <w:p>
            <w:pPr>
              <w:spacing w:after="0" w:line="205" w:lineRule="exact"/>
              <w:rPr>
                <w:sz w:val="20"/>
                <w:szCs w:val="20"/>
                <w:color w:val="auto"/>
              </w:rPr>
            </w:pPr>
            <w:r>
              <w:rPr>
                <w:rFonts w:ascii="Arial" w:cs="Arial" w:eastAsia="Arial" w:hAnsi="Arial"/>
                <w:sz w:val="18"/>
                <w:szCs w:val="18"/>
                <w:b w:val="1"/>
                <w:bCs w:val="1"/>
                <w:color w:val="auto"/>
              </w:rPr>
              <w:t>As of October 30, 2011</w:t>
            </w:r>
          </w:p>
        </w:tc>
        <w:tc>
          <w:tcPr>
            <w:tcW w:w="20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59,616</w:t>
            </w:r>
          </w:p>
        </w:tc>
        <w:tc>
          <w:tcPr>
            <w:tcW w:w="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38,088</w:t>
            </w: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Customer lists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Software and other</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77,342</w:t>
            </w:r>
          </w:p>
        </w:tc>
        <w:tc>
          <w:tcPr>
            <w:tcW w:w="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42,462</w:t>
            </w: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0"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May 2006 Photronics and Micron entered into the MP Mask joint venture (“MP Mask”), which develops and produces photomasks for leading-edge and advanced next generation semiconductors. As part of the formation of the joint venture, Micron contributed its existing photomask technology center located in Boise, Idaho, (headquarters of MP Mask) and Photronics invested $135 million in exchange for a 49.99% interest in MP Mask (to which $64.2 million of the original investment was allocated), a license for photomask technology of Micron, and certain supply agreements.</w:t>
      </w:r>
    </w:p>
    <w:p>
      <w:pPr>
        <w:spacing w:after="0" w:line="20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reassessments in fiscal year 2012,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09"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and charges separately for any research and development activities it engages in at the requests of its owners.</w:t>
      </w: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9"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During fiscal 2012 and fiscal 2011 the Company made additional capital contributions of $13.4 million and $18.3 million, respectively, to the MP Mask joint venture, which were primarily related to capital calls made by the joint venture. The Company did not receive any distributions from MP Mask during fiscal 2012 or fiscal 2011.</w:t>
      </w:r>
    </w:p>
    <w:p>
      <w:pPr>
        <w:spacing w:after="0" w:line="182"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The Company's investment in the VIE, which represents its maximum exposure to loss, was $93.3 million and $80.0 million at October 28, 2012 and October 30, 2011, respectively. These amounts are reported in the Company's consolidated balance sheets as Investment in joint venture. The Company recorded a loss from its investment in MP Mask of $0.1 million and income of $0.6 million and $0.2 million in fiscal years 2012, 2011 and 2010, respectively. Income (loss) from MP Mask is included in Interest and other income, net, in the consolidated statements of income.</w:t>
      </w:r>
    </w:p>
    <w:p>
      <w:pPr>
        <w:spacing w:after="0" w:line="20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As of October 28, 2012, the Company owed MP Mask $6.4 million and had a receivable from Micron of $9.0 million, both primarily related to the aforementioned supply agreements. The Company, in 2012, recorded $1.6 million of commission revenue earned under the supply agreements it has with Micron and MP Mask. Amortization of $0.4 million of the supply agreement intangible asset resulted in net revenue related to the supply agreements of $1.2 million in 2012. The recorded commission revenue of $1.6 million represents the excess of $41.5 million in orders received from Micron over the Company's cost of $39.9 million to fulfill the orders through MP Mask. The Company, for certain sales made during 2012, also recorded cost of sales in the amount of $7.6 million for photomasks produced by MP Mask for the Company's customers, and incurred expenses of $2.0 million for research and development activities and other goods and services purchased from MP Mask by the Company. In 2012, the Company purchased equipment from MP Mask for $1.9 million, of which $1.5 million was recorded as the cost of the equipment and $0.4 million was recorded as an investment in joint venture.</w:t>
      </w:r>
    </w:p>
    <w:p>
      <w:pPr>
        <w:spacing w:after="0" w:line="182"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As of October 30, 2011, the Company owed MP Mask $6.3 million and had a receivable from Micron of $3.4 million, both primarily related to the aforementioned supply agreements. The Company, in 2011, recorded $1.7 million of commission revenue earned under the supply agreements it has with Micron and MP Mask. Amortization of $0.5 millionof the supply agreement intangible asset resulted in net revenue related to the supply agreements of $1.2 million in 2011. The recorded commission revenue of $1.7 million represents the excess of $35.0 million in orders received from Micron over the Company's cost of $33.3 million to fulfill the orders through MP Mask. The Company, for certain sales made during 2011, also recorded cost of sales in the amount of $18.5 million for photomasks produced by MP Mask for the Company's customers, and incurred expenses of $3.1 million for research and development activities and other goods and services purchased from MP Mask by the Company. In 2011, the Company purchased equipment from MP Mask for $4.6 million, of which $2.3 million was recorded as the cost of the equipment and $2.3 million was recorded as an investment in joint venture.</w:t>
      </w:r>
    </w:p>
    <w:p>
      <w:pPr>
        <w:spacing w:after="0" w:line="182"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 in 2010, recorded $1.7 million of commission revenue earned under the supply agreements it has with Micron and MP Mask. Amortization of $0.5 million of the supply agreement intangible asset resulted in net revenue related to the supply agreements of $1.2 million in 2010. The recorded commission revenue of $1.7 million represents the excess of $35.3 million in orders received from Micron over the Company's cost of $33.6 million to fulfill the orders through MP Mask. The Company, for certain sales made during 2010, also recorded cost of sales in the amount of $5.9 million for photomasks produced by MP Mask for the Company's customers, and incurred expenses of $1.9 million for research and development activities and other goods and services purchased from MP Mask by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9" w:lineRule="exact"/>
        <w:rPr>
          <w:sz w:val="20"/>
          <w:szCs w:val="20"/>
          <w:color w:val="auto"/>
        </w:rPr>
      </w:pPr>
    </w:p>
    <w:p>
      <w:pPr>
        <w:ind w:firstLine="318"/>
        <w:spacing w:after="0" w:line="307" w:lineRule="auto"/>
        <w:rPr>
          <w:sz w:val="20"/>
          <w:szCs w:val="20"/>
          <w:color w:val="auto"/>
        </w:rPr>
      </w:pPr>
      <w:r>
        <w:rPr>
          <w:rFonts w:ascii="Arial" w:cs="Arial" w:eastAsia="Arial" w:hAnsi="Arial"/>
          <w:sz w:val="15"/>
          <w:szCs w:val="15"/>
          <w:color w:val="auto"/>
        </w:rPr>
        <w:t>In the first quarter of 2008 a capital lease agreement with Micron commenced for the U.S. nanoFab facility in Boise, Idaho.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would not transfer to the Company at the end of the lease term. The interest rate of the new lease agreement remained at 8%. As a result of the new lease agreement, the Company reduced its lease obligation and the carrying value of its assets under capital leases by approximately $28 million. The Company paid the capital lease obligation in full in April 2011 with a portion of the net proceeds of the March 2011 issuance of its 3.25% convertible senior notes.</w:t>
      </w:r>
    </w:p>
    <w:p>
      <w:pPr>
        <w:spacing w:after="0" w:line="179"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the second quarter of fiscal 2012 the Company paid $35 million to Micron in connection with the purchase of the U.S. nanoFab facility and the remaining term of the operating lease agreement through 2014 was cancelled. Also in connection with this purchase, the Company entered into a $25 million term loan agreement in the second quarter of fiscal 2012 (see Notes 7 and 9 for further discussion).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w w:val="98"/>
              </w:rPr>
              <w:t>Summarized financial information of MP Mask is presented below.</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7"/>
          </w:tcPr>
          <w:p>
            <w:pPr>
              <w:ind w:left="480"/>
              <w:spacing w:after="0"/>
              <w:rPr>
                <w:sz w:val="20"/>
                <w:szCs w:val="20"/>
                <w:color w:val="auto"/>
              </w:rPr>
            </w:pPr>
            <w:r>
              <w:rPr>
                <w:rFonts w:ascii="Arial" w:cs="Arial" w:eastAsia="Arial" w:hAnsi="Arial"/>
                <w:sz w:val="18"/>
                <w:szCs w:val="18"/>
                <w:b w:val="1"/>
                <w:bCs w:val="1"/>
                <w:color w:val="auto"/>
              </w:rPr>
              <w:t>As of October</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Noncurrent assets</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170,226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October</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NOTE 5 - ACCRUED LIABILITIES</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Accrued liabilities consist of the following:</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October 28,</w:t>
            </w: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related benefits</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VAT and other taxes</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24,701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80" w:type="dxa"/>
            <w:vAlign w:val="bottom"/>
            <w:vMerge w:val="restart"/>
          </w:tcPr>
          <w:p>
            <w:pPr>
              <w:jc w:val="right"/>
              <w:ind w:right="418"/>
              <w:spacing w:after="0"/>
              <w:rPr>
                <w:sz w:val="20"/>
                <w:szCs w:val="20"/>
                <w:color w:val="auto"/>
              </w:rPr>
            </w:pPr>
            <w:r>
              <w:rPr>
                <w:rFonts w:ascii="Arial" w:cs="Arial" w:eastAsia="Arial" w:hAnsi="Arial"/>
                <w:sz w:val="14"/>
                <w:szCs w:val="14"/>
                <w:color w:val="auto"/>
              </w:rPr>
              <w:t>45</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INSTRUMENTS AND HEDGING ACTIVITIES</w:t>
      </w:r>
    </w:p>
    <w:p>
      <w:pPr>
        <w:spacing w:after="0" w:line="250"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179"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15" w:lineRule="exact"/>
        <w:rPr>
          <w:sz w:val="20"/>
          <w:szCs w:val="20"/>
          <w:color w:val="auto"/>
        </w:rPr>
      </w:pPr>
    </w:p>
    <w:p>
      <w:pPr>
        <w:ind w:right="140" w:firstLine="318"/>
        <w:spacing w:after="0" w:line="304" w:lineRule="auto"/>
        <w:rPr>
          <w:sz w:val="20"/>
          <w:szCs w:val="20"/>
          <w:color w:val="auto"/>
        </w:rPr>
      </w:pPr>
      <w:r>
        <w:rPr>
          <w:rFonts w:ascii="Arial" w:cs="Arial" w:eastAsia="Arial" w:hAnsi="Arial"/>
          <w:sz w:val="15"/>
          <w:szCs w:val="15"/>
          <w:color w:val="auto"/>
        </w:rPr>
        <w:t>In May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remained outstanding, the Company had adjusted the liability based upon the current fair value of the warrants, with any changes in their fair value being recognized in earnings. Due to the warrants' exercise price of $0.01 per share, their fair value approximated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 All of the 0.2 million of these warrants that remained outstanding were exercised in fiscal 2012. See Note 8 for disclosures related to other common stock warrants.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portion of an existing loss on a cash flow hedge, in the amount of $0.1 million, is expected to be reclassified into earnings over the next twelve months.</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presents the effect of derivative instruments on the Company's consolidated balance sheets at October 28, 2012 and October 30, 2011.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8"/>
              </w:rPr>
              <w:t>Derivatives Not Designated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ind w:left="580"/>
              <w:spacing w:after="0"/>
              <w:rPr>
                <w:sz w:val="20"/>
                <w:szCs w:val="20"/>
                <w:color w:val="auto"/>
              </w:rPr>
            </w:pPr>
            <w:r>
              <w:rPr>
                <w:rFonts w:ascii="Arial" w:cs="Arial" w:eastAsia="Arial" w:hAnsi="Arial"/>
                <w:sz w:val="18"/>
                <w:szCs w:val="18"/>
                <w:b w:val="1"/>
                <w:bCs w:val="1"/>
                <w:color w:val="auto"/>
              </w:rPr>
              <w:t>Fair Value at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7"/>
              </w:rPr>
              <w:t>as Hedging Instruments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92"/>
              </w:rPr>
              <w:t>October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October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0"/>
              </w:rPr>
              <w:t>Under ASC 815</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4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 Sheet Location</w:t>
            </w: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1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Warrants on common stock</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320" w:firstLine="318"/>
        <w:spacing w:after="0" w:line="265" w:lineRule="auto"/>
        <w:rPr>
          <w:sz w:val="20"/>
          <w:szCs w:val="20"/>
          <w:color w:val="auto"/>
        </w:rPr>
      </w:pPr>
      <w:r>
        <w:rPr>
          <w:rFonts w:ascii="Arial" w:cs="Arial" w:eastAsia="Arial" w:hAnsi="Arial"/>
          <w:sz w:val="18"/>
          <w:szCs w:val="18"/>
          <w:color w:val="auto"/>
        </w:rPr>
        <w:t>The table below presents the effect of derivative instruments on the Company's consolidated statements of income for the years ended October 28, 2012, October 30, 2011 and October 31,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left="812"/>
              <w:spacing w:after="0"/>
              <w:rPr>
                <w:sz w:val="20"/>
                <w:szCs w:val="20"/>
                <w:color w:val="auto"/>
              </w:rPr>
            </w:pPr>
            <w:r>
              <w:rPr>
                <w:rFonts w:ascii="Arial" w:cs="Arial" w:eastAsia="Arial" w:hAnsi="Arial"/>
                <w:sz w:val="18"/>
                <w:szCs w:val="18"/>
                <w:b w:val="1"/>
                <w:bCs w:val="1"/>
                <w:color w:val="auto"/>
                <w:w w:val="88"/>
              </w:rPr>
              <w:t>Amount of Gain (Loss)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left="812"/>
              <w:spacing w:after="0"/>
              <w:rPr>
                <w:sz w:val="20"/>
                <w:szCs w:val="20"/>
                <w:color w:val="auto"/>
              </w:rPr>
            </w:pPr>
            <w:r>
              <w:rPr>
                <w:rFonts w:ascii="Arial" w:cs="Arial" w:eastAsia="Arial" w:hAnsi="Arial"/>
                <w:sz w:val="18"/>
                <w:szCs w:val="18"/>
                <w:b w:val="1"/>
                <w:bCs w:val="1"/>
                <w:color w:val="auto"/>
                <w:w w:val="87"/>
              </w:rPr>
              <w:t>Recognized Related 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812"/>
              <w:spacing w:after="0"/>
              <w:rPr>
                <w:sz w:val="20"/>
                <w:szCs w:val="20"/>
                <w:color w:val="auto"/>
              </w:rPr>
            </w:pPr>
            <w:r>
              <w:rPr>
                <w:rFonts w:ascii="Arial" w:cs="Arial" w:eastAsia="Arial" w:hAnsi="Arial"/>
                <w:sz w:val="18"/>
                <w:szCs w:val="18"/>
                <w:b w:val="1"/>
                <w:bCs w:val="1"/>
                <w:color w:val="auto"/>
                <w:w w:val="90"/>
              </w:rPr>
              <w:t>Derivative Instruments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7"/>
              </w:rPr>
              <w:t>Derivatives Not Designated as</w:t>
            </w:r>
          </w:p>
        </w:tc>
        <w:tc>
          <w:tcPr>
            <w:tcW w:w="120" w:type="dxa"/>
            <w:vAlign w:val="bottom"/>
          </w:tcPr>
          <w:p>
            <w:pPr>
              <w:spacing w:after="0"/>
              <w:rPr>
                <w:sz w:val="16"/>
                <w:szCs w:val="16"/>
                <w:color w:val="auto"/>
              </w:rPr>
            </w:pPr>
          </w:p>
        </w:tc>
        <w:tc>
          <w:tcPr>
            <w:tcW w:w="35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Location of Gain (Loss)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Hedging Instruments Under</w:t>
            </w:r>
          </w:p>
        </w:tc>
        <w:tc>
          <w:tcPr>
            <w:tcW w:w="1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Recognized Related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October 28,</w:t>
            </w:r>
          </w:p>
        </w:tc>
        <w:tc>
          <w:tcPr>
            <w:tcW w:w="220" w:type="dxa"/>
            <w:vAlign w:val="bottom"/>
          </w:tcPr>
          <w:p>
            <w:pPr>
              <w:spacing w:after="0"/>
              <w:rPr>
                <w:sz w:val="18"/>
                <w:szCs w:val="18"/>
                <w:color w:val="auto"/>
              </w:rPr>
            </w:pPr>
          </w:p>
        </w:tc>
        <w:tc>
          <w:tcPr>
            <w:tcW w:w="118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October 30,</w:t>
            </w: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12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Derivative Instruments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Warrants on common stock</w:t>
            </w:r>
          </w:p>
        </w:tc>
        <w:tc>
          <w:tcPr>
            <w:tcW w:w="36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w w:val="90"/>
              </w:rPr>
              <w:t>Interest and other income (expense), net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60" w:type="dxa"/>
            <w:vAlign w:val="bottom"/>
            <w:gridSpan w:val="2"/>
          </w:tcPr>
          <w:p>
            <w:pPr>
              <w:jc w:val="right"/>
              <w:ind w:right="1452"/>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gridSpan w:val="2"/>
          </w:tcPr>
          <w:p>
            <w:pPr>
              <w:spacing w:after="0"/>
              <w:rPr>
                <w:rFonts w:ascii="Arial" w:cs="Arial" w:eastAsia="Arial" w:hAnsi="Arial"/>
                <w:sz w:val="14"/>
                <w:szCs w:val="14"/>
                <w:i w:val="1"/>
                <w:iCs w:val="1"/>
                <w:color w:val="0000EE"/>
                <w:w w:val="87"/>
              </w:rPr>
            </w:pPr>
            <w:hyperlink w:anchor="page32">
              <w:r>
                <w:rPr>
                  <w:rFonts w:ascii="Arial" w:cs="Arial" w:eastAsia="Arial" w:hAnsi="Arial"/>
                  <w:sz w:val="14"/>
                  <w:szCs w:val="14"/>
                  <w:i w:val="1"/>
                  <w:iCs w:val="1"/>
                  <w:color w:val="0000EE"/>
                  <w:w w:val="87"/>
                </w:rPr>
                <w:t>Index</w:t>
              </w:r>
            </w:hyperlink>
          </w:p>
        </w:tc>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NOTE 7 - LONG-TERM BORROWINGS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Long-term borrowings consist of the following: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on April 1, 2016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4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0"/>
              </w:rPr>
              <w:t>Term loan, which bears interest at a variable rate, as defined (2.5% at October 28, 2012), and matures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1, 2017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 convertible senior notes due on October 1, 2014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4.75% financing loan with customer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As of October 28, 2012, long-term borrowings, excluding capital lease obligations, mature as follows: $3,258, $24,554, $2,500, $117,500 and $13,750 in fiscal years 2013, 2014, 2015, 2016 and 2017 respectively. The maturity date for the 4.75% financing loan with a customer is dependent upon the timing of photomasks shipped to that customer. The Company currently estimates that the loan will be fully repaid in fiscal 2013, and has reflected that estimate in the yearly maturity amounts presented above.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28, 2012, minimum lease payments under the Company's capital lease obligation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minimum lease payments under capital leases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Less current portion of net minimum lease payments</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minimum lease payments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March 2012 the Company, in connection with its purchase of the U.S. nanoFab facility (see Note 4 for further discussion), amended its credit facility (“the credit facility”) to include the addition of a $25 million term loan maturing in March 2017 with minimum quarterly principal payments of $0.6 million (quarterly payments commenced in June 2012 and are based on a ten year repayment period). The amendment also included a twenty-five basis point reduction in the interest rate charged on any borrowings under the credit facility.</w:t>
      </w:r>
    </w:p>
    <w:p>
      <w:pPr>
        <w:spacing w:after="0" w:line="21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March 2011 the Company amended its credit facility which, as amended, included, among other things: i) a reduction of the aggregate commitments of the lenders from $65 million to $30 million; ii) a reduction of the applicable interest rates and modifications of the leverage ratios related thereto; iii) an extension of the maturity date to April 30, 2015; iv) an increase in the permitted amount of certain financed capital assets up to $75 million outstanding at any one time; v) an allowance to issue the 3.25% convertible senior notes (discussed below); vi) an increase in the investments “basket” from $15 million to $25 million per year; vii) an allowance to repurchase the 5.5% convertible senior notes and other indebtedness; and viii) removal of the limitation on maximum last twelve months capital expenditures.</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11" w:right="37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credit facility bears interest (2.50% at October 28, 2012),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October 28, 2012, the Company was in compliance with the covenants of its credit facility, had no outstanding borrowings under the credit facility and $30 million was available for borrowing.</w:t>
      </w:r>
    </w:p>
    <w:p>
      <w:pPr>
        <w:spacing w:after="0" w:line="22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209" w:lineRule="exact"/>
        <w:rPr>
          <w:sz w:val="20"/>
          <w:szCs w:val="20"/>
          <w:color w:val="auto"/>
        </w:rPr>
      </w:pPr>
    </w:p>
    <w:p>
      <w:pPr>
        <w:ind w:right="240" w:firstLine="318"/>
        <w:spacing w:after="0" w:line="265" w:lineRule="auto"/>
        <w:rPr>
          <w:sz w:val="20"/>
          <w:szCs w:val="20"/>
          <w:color w:val="auto"/>
        </w:rPr>
      </w:pPr>
      <w:r>
        <w:rPr>
          <w:rFonts w:ascii="Arial" w:cs="Arial" w:eastAsia="Arial" w:hAnsi="Arial"/>
          <w:sz w:val="17"/>
          <w:szCs w:val="17"/>
          <w:color w:val="auto"/>
        </w:rPr>
        <w:t>In June 2011 the Company acquired $5.0 million of its 5.5% convertible senior notes in exchange for 0.7 million shares of its common stock with a fair value of $6.5 million and cash of $3.2 million (the note holders received 147.529 shares and cash of $647 for each $1,000 note). The Company, in connection with this repurchase, recorded an extinguishment loss of $5.0 million, which included the write off of deferred financing fees of $0.3 million. The loss is included in other income (expense) in the Company's consolidated statements of income. In March 2011 the Company acquired $30.4 million of its 5.5% convertible senior notes in exchange for 4.5 million shares of its common stock with a fair value of $39.2 million and cash of $19.7 million (the note holders received 147.529 shares and cash of $647 for each $1,000 note). The Company, in connection with this repurchase, recorded an extinguishment loss of $30.1 million, which included the write off of deferred financing fees of $1.7 million. The loss is included in other income (expense) in the Company's consolidated statements of income.</w:t>
      </w:r>
    </w:p>
    <w:p>
      <w:pPr>
        <w:spacing w:after="0" w:line="209"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As discussed above, $35.4 million aggregate principal amount of these notes were acquired by the Company during fiscal 2011.</w:t>
      </w:r>
    </w:p>
    <w:p>
      <w:pPr>
        <w:spacing w:after="0" w:line="17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October 28, 2012, the total amount payable through the end of the lease term was $16.0 million, of which $15.2 million represented principal and $0.8 million represented interest.</w:t>
      </w:r>
    </w:p>
    <w:p>
      <w:pPr>
        <w:spacing w:after="0" w:line="221" w:lineRule="exact"/>
        <w:rPr>
          <w:sz w:val="20"/>
          <w:szCs w:val="20"/>
          <w:color w:val="auto"/>
        </w:rPr>
      </w:pPr>
    </w:p>
    <w:p>
      <w:pPr>
        <w:ind w:right="200" w:firstLine="318"/>
        <w:spacing w:after="0" w:line="277" w:lineRule="auto"/>
        <w:rPr>
          <w:sz w:val="20"/>
          <w:szCs w:val="20"/>
          <w:color w:val="auto"/>
        </w:rPr>
      </w:pPr>
      <w:r>
        <w:rPr>
          <w:rFonts w:ascii="Arial" w:cs="Arial" w:eastAsia="Arial" w:hAnsi="Arial"/>
          <w:sz w:val="17"/>
          <w:szCs w:val="17"/>
          <w:color w:val="auto"/>
        </w:rPr>
        <w:t>In January 2010 the Company borrowed $3.7 million from a customer to purchase manufacturing equipment. This loan bears interest at 4.75% and is primarily being repaid with product supplied to the customer. Product valued at $1.0 million and $1.1 million was shipped to the customer and applied against the loan during fiscal 2012 and 2011, respectively. The Company estimates that the loan will be fully repaid in fiscal 2013.</w:t>
      </w:r>
    </w:p>
    <w:p>
      <w:pPr>
        <w:spacing w:after="0" w:line="198"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Interest payments were $6.3 million, $9.7 million and $7.8 million in fiscal 2012, 2011 and 2010, respectively, including deferred financing cost payments of $0.2 million, $4.3 million and $1.3 million in fiscal 2012, 2011 and 2010, respectively.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COMMON STOCK WARRANTS</w:t>
      </w:r>
    </w:p>
    <w:p>
      <w:pPr>
        <w:spacing w:after="0" w:line="25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In September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As of October 28, 2012, none of the warrants issued to Intel Capital Corporation had been exercised.</w:t>
      </w:r>
    </w:p>
    <w:p>
      <w:pPr>
        <w:spacing w:after="0" w:line="209"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In conjunction with a May 2009 amendment to its credit facility, the Company also entered into a warrant agreement with its lenders. See Note 6 for further discussion of these warrants.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5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Company leases various real estate and equipment under non-cancelable operating leases, for which rental expense was $2.7 million in fiscal year 2012, and $2.9 million in fiscal years 2011 and 2010. As discussed in Note 4, in fiscal 2009 the Company entered into a new lease agreement for the U.S. nanoFab, under which the lease was being accounted for as a capital lease through December 31, 2012 (the end date of its original lease term), and, thereafter, was to be accounted for as an operating lease through its expiration on December 31, 2014. In fiscal 2011 the Company paid this capital lease obligation in full with a portion of the net proceeds of the March 2011 issuance of its 3.25% convertible senior notes, and in fiscal 2012 the Company paid the lessor $35 million in connection with its purchase of the U.S. nanoFab, which reduced the Company’s outstanding operating lease commitments by a total of $15 million for fiscal years 2013 and 2014.</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October 28, 2012, future minimum lease payments under non-cancelable operating leases with initial terms in excess of one year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r>
      <w:tr>
        <w:trPr>
          <w:trHeight w:val="27"/>
        </w:trPr>
        <w:tc>
          <w:tcPr>
            <w:tcW w:w="7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78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r>
      <w:tr>
        <w:trPr>
          <w:trHeight w:val="20"/>
        </w:trPr>
        <w:tc>
          <w:tcPr>
            <w:tcW w:w="7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 7 for disclosures related to the Company's capital lease obligations.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3"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 of $3.2 million, $2.5 million and $1.9 million in fiscal years 2012, 2011 and 2010, respectively. No share-based compensation cost was capitalized as part of an asset and no related income tax benefits were recorded during the fiscal years presented.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0" w:lineRule="exact"/>
        <w:rPr>
          <w:sz w:val="20"/>
          <w:szCs w:val="20"/>
          <w:color w:val="auto"/>
        </w:rPr>
      </w:pPr>
    </w:p>
    <w:p>
      <w:pPr>
        <w:ind w:right="20" w:firstLine="318"/>
        <w:spacing w:after="0" w:line="307" w:lineRule="auto"/>
        <w:rPr>
          <w:sz w:val="20"/>
          <w:szCs w:val="20"/>
          <w:color w:val="auto"/>
        </w:rPr>
      </w:pPr>
      <w:r>
        <w:rPr>
          <w:rFonts w:ascii="Arial" w:cs="Arial" w:eastAsia="Arial" w:hAnsi="Arial"/>
          <w:sz w:val="15"/>
          <w:szCs w:val="15"/>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values of options are based on the closing prices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 The weighted-average inputs and risk-free rate of return ranges used to calculate the grant date fair values of options issued during fiscal years 2012, 2011 and 2010 are presented in the following table: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Year Ended</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360" w:type="dxa"/>
            <w:vAlign w:val="bottom"/>
            <w:gridSpan w:val="2"/>
          </w:tcPr>
          <w:p>
            <w:pPr>
              <w:jc w:val="right"/>
              <w:ind w:right="380"/>
              <w:spacing w:after="0" w:line="194" w:lineRule="exact"/>
              <w:rPr>
                <w:sz w:val="20"/>
                <w:szCs w:val="20"/>
                <w:color w:val="auto"/>
              </w:rPr>
            </w:pPr>
            <w:r>
              <w:rPr>
                <w:rFonts w:ascii="Arial" w:cs="Arial" w:eastAsia="Arial" w:hAnsi="Arial"/>
                <w:sz w:val="18"/>
                <w:szCs w:val="18"/>
                <w:b w:val="1"/>
                <w:bCs w:val="1"/>
                <w:color w:val="auto"/>
                <w:w w:val="96"/>
              </w:rPr>
              <w:t>October 28,</w:t>
            </w:r>
          </w:p>
        </w:tc>
        <w:tc>
          <w:tcPr>
            <w:tcW w:w="1400" w:type="dxa"/>
            <w:vAlign w:val="bottom"/>
            <w:gridSpan w:val="2"/>
          </w:tcPr>
          <w:p>
            <w:pPr>
              <w:jc w:val="right"/>
              <w:ind w:right="400"/>
              <w:spacing w:after="0" w:line="194" w:lineRule="exact"/>
              <w:rPr>
                <w:sz w:val="20"/>
                <w:szCs w:val="20"/>
                <w:color w:val="auto"/>
              </w:rPr>
            </w:pPr>
            <w:r>
              <w:rPr>
                <w:rFonts w:ascii="Arial" w:cs="Arial" w:eastAsia="Arial" w:hAnsi="Arial"/>
                <w:sz w:val="18"/>
                <w:szCs w:val="18"/>
                <w:b w:val="1"/>
                <w:bCs w:val="1"/>
                <w:color w:val="auto"/>
                <w:w w:val="98"/>
              </w:rPr>
              <w:t>October 30,</w:t>
            </w:r>
          </w:p>
        </w:tc>
        <w:tc>
          <w:tcPr>
            <w:tcW w:w="1140" w:type="dxa"/>
            <w:vAlign w:val="bottom"/>
            <w:gridSpan w:val="2"/>
          </w:tcPr>
          <w:p>
            <w:pPr>
              <w:jc w:val="right"/>
              <w:ind w:right="52"/>
              <w:spacing w:after="0" w:line="194" w:lineRule="exact"/>
              <w:rPr>
                <w:sz w:val="20"/>
                <w:szCs w:val="20"/>
                <w:color w:val="auto"/>
              </w:rPr>
            </w:pPr>
            <w:r>
              <w:rPr>
                <w:rFonts w:ascii="Arial" w:cs="Arial" w:eastAsia="Arial" w:hAnsi="Arial"/>
                <w:sz w:val="18"/>
                <w:szCs w:val="18"/>
                <w:b w:val="1"/>
                <w:bCs w:val="1"/>
                <w:color w:val="auto"/>
                <w:w w:val="98"/>
              </w:rPr>
              <w:t>October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89.9%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 – 0.9%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 – 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 years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 years</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 years</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option activity under the Plan as of October 28, 2012, and changes during the year then ended is presented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Weighted-Average</w:t>
            </w:r>
          </w:p>
        </w:tc>
        <w:tc>
          <w:tcPr>
            <w:tcW w:w="1480" w:type="dxa"/>
            <w:vAlign w:val="bottom"/>
          </w:tcPr>
          <w:p>
            <w:pPr>
              <w:jc w:val="right"/>
              <w:ind w:right="292"/>
              <w:spacing w:after="0"/>
              <w:rPr>
                <w:sz w:val="20"/>
                <w:szCs w:val="20"/>
                <w:color w:val="auto"/>
              </w:rPr>
            </w:pPr>
            <w:r>
              <w:rPr>
                <w:rFonts w:ascii="Arial" w:cs="Arial" w:eastAsia="Arial" w:hAnsi="Arial"/>
                <w:sz w:val="18"/>
                <w:szCs w:val="18"/>
                <w:b w:val="1"/>
                <w:bCs w:val="1"/>
                <w:color w:val="auto"/>
              </w:rPr>
              <w:t>Remaining</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ind w:left="25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Contractual Life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30, 2011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4,033,916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556,500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(365,528)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19.90</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28, 2012</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3,999,302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14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 years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40" w:type="dxa"/>
            <w:vAlign w:val="bottom"/>
          </w:tcPr>
          <w:p>
            <w:pPr>
              <w:spacing w:after="0" w:line="205" w:lineRule="exact"/>
              <w:rPr>
                <w:sz w:val="20"/>
                <w:szCs w:val="20"/>
                <w:color w:val="auto"/>
              </w:rPr>
            </w:pPr>
            <w:r>
              <w:rPr>
                <w:rFonts w:ascii="Arial" w:cs="Arial" w:eastAsia="Arial" w:hAnsi="Arial"/>
                <w:sz w:val="18"/>
                <w:szCs w:val="18"/>
                <w:color w:val="auto"/>
              </w:rPr>
              <w:t>Exercisable at October 28, 2012</w:t>
            </w:r>
          </w:p>
        </w:tc>
        <w:tc>
          <w:tcPr>
            <w:tcW w:w="10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Arial" w:cs="Arial" w:eastAsia="Arial" w:hAnsi="Arial"/>
                <w:sz w:val="18"/>
                <w:szCs w:val="18"/>
                <w:color w:val="auto"/>
              </w:rPr>
              <w:t>2,280,946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line="205"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10.93</w:t>
            </w:r>
          </w:p>
        </w:tc>
        <w:tc>
          <w:tcPr>
            <w:tcW w:w="1480" w:type="dxa"/>
            <w:vAlign w:val="bottom"/>
          </w:tcPr>
          <w:p>
            <w:pPr>
              <w:jc w:val="right"/>
              <w:ind w:right="12"/>
              <w:spacing w:after="0" w:line="205" w:lineRule="exact"/>
              <w:rPr>
                <w:sz w:val="20"/>
                <w:szCs w:val="20"/>
                <w:color w:val="auto"/>
              </w:rPr>
            </w:pPr>
            <w:r>
              <w:rPr>
                <w:rFonts w:ascii="Arial" w:cs="Arial" w:eastAsia="Arial" w:hAnsi="Arial"/>
                <w:sz w:val="18"/>
                <w:szCs w:val="18"/>
                <w:color w:val="auto"/>
              </w:rPr>
              <w:t>4.6 years</w:t>
            </w:r>
          </w:p>
        </w:tc>
        <w:tc>
          <w:tcPr>
            <w:tcW w:w="1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7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Expected to vest as of October 28, 2012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1,535,411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4.83</w:t>
            </w:r>
          </w:p>
        </w:tc>
        <w:tc>
          <w:tcPr>
            <w:tcW w:w="1480" w:type="dxa"/>
            <w:vAlign w:val="bottom"/>
            <w:tcBorders>
              <w:right w:val="single" w:sz="8" w:color="CCEEFF"/>
            </w:tcBorders>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7.8 years</w:t>
            </w:r>
          </w:p>
        </w:tc>
        <w:tc>
          <w:tcPr>
            <w:tcW w:w="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40" w:firstLine="318"/>
        <w:spacing w:after="0" w:line="366" w:lineRule="auto"/>
        <w:rPr>
          <w:sz w:val="20"/>
          <w:szCs w:val="20"/>
          <w:color w:val="auto"/>
        </w:rPr>
      </w:pPr>
      <w:r>
        <w:rPr>
          <w:rFonts w:ascii="Arial" w:cs="Arial" w:eastAsia="Arial" w:hAnsi="Arial"/>
          <w:sz w:val="15"/>
          <w:szCs w:val="15"/>
          <w:color w:val="auto"/>
        </w:rPr>
        <w:t>The weighted-average grant date fair value of options granted during fiscal years 2012, 2011 and 2010 were $4.47, $4.75 and $2.98, respectively. The total intrinsic value of options exercised during fiscal years 2012, 2011 and 2010 was $1.3 million, $2.1 million and $0.4 million, respectively.</w:t>
      </w:r>
    </w:p>
    <w:p>
      <w:pPr>
        <w:spacing w:after="0" w:line="137"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Company received cash from option exercises of $0.3 million, $0.4 million and $0.1 million in fiscal years 2012, 2011 and 2010, respectively. As of October 28, 2012, the total unrecognized compensation cost of unvested option awards was approximately $3.9 million. That cost is expected to be recognized over a weighted-average amortization period of 2.4 years.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0" w:lineRule="exact"/>
        <w:rPr>
          <w:sz w:val="20"/>
          <w:szCs w:val="20"/>
          <w:color w:val="auto"/>
        </w:rPr>
      </w:pPr>
    </w:p>
    <w:p>
      <w:pPr>
        <w:jc w:val="both"/>
        <w:ind w:right="20" w:firstLine="318"/>
        <w:spacing w:after="0" w:line="309" w:lineRule="auto"/>
        <w:rPr>
          <w:sz w:val="20"/>
          <w:szCs w:val="20"/>
          <w:color w:val="auto"/>
        </w:rPr>
      </w:pPr>
      <w:r>
        <w:rPr>
          <w:rFonts w:ascii="Arial" w:cs="Arial" w:eastAsia="Arial" w:hAnsi="Arial"/>
          <w:sz w:val="15"/>
          <w:szCs w:val="15"/>
          <w:color w:val="auto"/>
        </w:rPr>
        <w:t>The Company periodically grants restricted stock awards. The restrictions on these awards lapse over a service period that has ranged from less-than-one to eight years. The weighted-average grant date fair values of restricted stock awards issued during fiscal years 2012 and 2011 were $6.28 and $6.71, respectively. No restricted stock awards were granted during fiscal 2010. The total fair value of awards for which restrictions lapsed was $0.5 million, $0.5 million and $0.4 million during fiscal years 2012, 2011 and 2010 respectively. As of October 28, 2012, the total compensation cost for restricted stock awards not yet recognized was approximately $1.4 million. That cost is expected to be recognized over a weighted-average amortization period of 2.3 years. A summary of the status of the Company's outstanding restricted stock awards as of October 28, 2012,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at Grant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ind w:left="298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30, 2011</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191,827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168,750</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(108,263)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Outstanding at October 28, 2012</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252,314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7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Expected to vest as of October 28, 2012</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226,477</w:t>
            </w:r>
          </w:p>
        </w:tc>
        <w:tc>
          <w:tcPr>
            <w:tcW w:w="1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Company's Employee Stock Purchase Plan ("ESPP") permits employees to purchase shares at 85% of the lower of the fair market value at the commencement of the offering or the last day of the payroll payment period. The maximum number of shares of common stock approved by the Company's shareholders to be purchased under the ESPP was increased from 0.9 million shares to 1.2 million shares during fiscal 2010. The vesting period for shares purchased under the ESPP is approximately one year. Under the ESPP, approximately 1.1 million shares had been issued through October 28, 2012, and approximately 78,000 shares are subject to outstanding subscriptions. As of October 28, 2012, the total compensation cost related to the ESPP not yet recognized was $0.1 million, which is expected to be recognized in fiscal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5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Company maintains a 401(k) Savings and Profit Sharing Plan ("401(k) Plan") which covers all full-time domestic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Employer contributions amounted to $0.4 million in fiscal years 2012, 2011 and 2010.</w:t>
      </w:r>
    </w:p>
    <w:p>
      <w:pPr>
        <w:spacing w:after="0" w:line="173"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The Company's international subsidiaries maintain retirement plans for their employees, which vary by country. The obligations and cost of these plans are not significant to the Company's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CONSOLIDATION, RESTRUCTURING AND RELATED CHARGES (CREDITS)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Singapore facility</w:t>
      </w:r>
    </w:p>
    <w:p>
      <w:pPr>
        <w:spacing w:after="0" w:line="24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charges of $1.4 million during fiscal 2012. This restructuring, which was comprised primarily of employee termination costs, was substantially completed in fiscal 2012. The following table sets forth the Company's restructuring reserve primarily related to its Singapore facility as of October 28, 2012, and reflects the activity affecting the reserve for the year then ended.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89"/>
              </w:rPr>
              <w:t>Year Ended October 28, 2012</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Charges</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Utilized</w:t>
            </w:r>
          </w:p>
        </w:tc>
        <w:tc>
          <w:tcPr>
            <w:tcW w:w="12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4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In the third quarter of fiscal 2009, the Company ceased the manufacture of photomasks at its Shanghai, China, facility. Net restructuring credits of $5.0 million in 2010 primarily relate to the sale of the Company’s Shanghai, China, manufacturing facility. In 2009 the carrying value of this facility was written down to its estimated fair value at that time, and in 2010 the facility was sold for net proceeds of $12.9 million, which exceeded its carrying value and resulted in a gain of $5.4 million that was recorded as a credit to the restructuring reserve.</w:t>
      </w:r>
    </w:p>
    <w:p>
      <w:pPr>
        <w:spacing w:after="0" w:line="218" w:lineRule="exact"/>
        <w:rPr>
          <w:sz w:val="20"/>
          <w:szCs w:val="20"/>
          <w:color w:val="auto"/>
        </w:rPr>
      </w:pPr>
    </w:p>
    <w:p>
      <w:pPr>
        <w:ind w:right="300" w:firstLine="318"/>
        <w:spacing w:after="0" w:line="265" w:lineRule="auto"/>
        <w:rPr>
          <w:sz w:val="20"/>
          <w:szCs w:val="20"/>
          <w:color w:val="auto"/>
        </w:rPr>
      </w:pPr>
      <w:r>
        <w:rPr>
          <w:rFonts w:ascii="Arial" w:cs="Arial" w:eastAsia="Arial" w:hAnsi="Arial"/>
          <w:sz w:val="18"/>
          <w:szCs w:val="18"/>
          <w:color w:val="auto"/>
        </w:rPr>
        <w:t>The following table sets forth the Company's restructuring reserve as of October 31, 2010 related to its Shanghai, China, facility, and reflects the activity affecting the reserve for the year then ended.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89"/>
              </w:rPr>
              <w:t>Year Ended October 31, 2010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November 2,</w:t>
            </w:r>
          </w:p>
        </w:tc>
        <w:tc>
          <w:tcPr>
            <w:tcW w:w="100" w:type="dxa"/>
            <w:vAlign w:val="bottom"/>
          </w:tcPr>
          <w:p>
            <w:pPr>
              <w:spacing w:after="0"/>
              <w:rPr>
                <w:sz w:val="16"/>
                <w:szCs w:val="16"/>
                <w:color w:val="auto"/>
              </w:rPr>
            </w:pPr>
          </w:p>
        </w:tc>
        <w:tc>
          <w:tcPr>
            <w:tcW w:w="1280" w:type="dxa"/>
            <w:vAlign w:val="bottom"/>
            <w:gridSpan w:val="2"/>
          </w:tcPr>
          <w:p>
            <w:pPr>
              <w:jc w:val="right"/>
              <w:ind w:right="500"/>
              <w:spacing w:after="0" w:line="194" w:lineRule="exact"/>
              <w:rPr>
                <w:sz w:val="20"/>
                <w:szCs w:val="20"/>
                <w:color w:val="auto"/>
              </w:rPr>
            </w:pPr>
            <w:r>
              <w:rPr>
                <w:rFonts w:ascii="Arial" w:cs="Arial" w:eastAsia="Arial" w:hAnsi="Arial"/>
                <w:sz w:val="18"/>
                <w:szCs w:val="18"/>
                <w:b w:val="1"/>
                <w:bCs w:val="1"/>
                <w:color w:val="auto"/>
              </w:rPr>
              <w:t>Charges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(Credits)</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Utilized</w:t>
            </w:r>
          </w:p>
        </w:tc>
        <w:tc>
          <w:tcPr>
            <w:tcW w:w="12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gain on sales of assets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(4,979)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60" w:type="dxa"/>
            <w:vAlign w:val="bottom"/>
            <w:vMerge w:val="restart"/>
          </w:tcPr>
          <w:p>
            <w:pPr>
              <w:jc w:val="right"/>
              <w:ind w:right="200"/>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gridSpan w:val="2"/>
          </w:tcPr>
          <w:p>
            <w:pPr>
              <w:spacing w:after="0"/>
              <w:rPr>
                <w:rFonts w:ascii="Arial" w:cs="Arial" w:eastAsia="Arial" w:hAnsi="Arial"/>
                <w:sz w:val="14"/>
                <w:szCs w:val="14"/>
                <w:i w:val="1"/>
                <w:iCs w:val="1"/>
                <w:color w:val="0000EE"/>
                <w:w w:val="87"/>
              </w:rPr>
            </w:pPr>
            <w:hyperlink w:anchor="page32">
              <w:r>
                <w:rPr>
                  <w:rFonts w:ascii="Arial" w:cs="Arial" w:eastAsia="Arial" w:hAnsi="Arial"/>
                  <w:sz w:val="14"/>
                  <w:szCs w:val="14"/>
                  <w:i w:val="1"/>
                  <w:iCs w:val="1"/>
                  <w:color w:val="0000EE"/>
                  <w:w w:val="87"/>
                </w:rPr>
                <w:t>Index</w:t>
              </w:r>
            </w:hyperlink>
          </w:p>
        </w:tc>
        <w:tc>
          <w:tcPr>
            <w:tcW w:w="5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NOTE 13 - INCOME TAXES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income before income tax provision consists of the following: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32,553</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income tax provision consists of the following:</w:t>
            </w:r>
          </w:p>
        </w:tc>
        <w:tc>
          <w:tcPr>
            <w:tcW w:w="6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68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80" w:firstLine="318"/>
        <w:spacing w:after="0" w:line="265" w:lineRule="auto"/>
        <w:rPr>
          <w:sz w:val="20"/>
          <w:szCs w:val="20"/>
          <w:color w:val="auto"/>
        </w:rPr>
      </w:pPr>
      <w:r>
        <w:rPr>
          <w:rFonts w:ascii="Arial" w:cs="Arial" w:eastAsia="Arial" w:hAnsi="Arial"/>
          <w:sz w:val="18"/>
          <w:szCs w:val="18"/>
          <w:color w:val="auto"/>
        </w:rPr>
        <w:t>The income tax provision differs from the amount computed by applying the statutory U.S. federal income tax rate to the income before income taxes as a result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11,393</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9,693</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(6,381)</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credits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(2,954)</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9"/>
              </w:rPr>
              <w:t>Uncertain tax positions, including reserves, settlements and resolutions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Debt extinguishment losses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Shanghai, China operations closure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(6,127)</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7,471</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effective tax rate differs from the U.S. statutory rate of 35% in fiscal year 2012 primarily due to a higher level of earnings being taxed at lower statutory rates in foreign jurisdictions combined with the benefit of various investment credits in certain foreign jurisdictions. The effective tax rate differs from the U.S. statutory rate of 35% in fiscal year 2011 primarily due to the impact of the non-deductible debt extinguishment losses related to the Company’s acquisition of a portion of its 5.5% convertible senior notes and the impact of a foreign subsidiary tax settlement offset by a higher level of earnings taxed at lower statutory rates in foreign jurisdictions.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Company's operations in Shanghai, China, were closed in the fiscal year ended October 31, 2010. The Company recognized a $10.5 million U.S. tax benefit as a result of the investment writedown. In China, additional income was recognized as a result of asset sales and intercompany loan settlements and the related China income tax liability was offset by accumulated net operating losses. As a result of the closure, the Company wrote off its Shanghai, China, subsidiary’s deferred tax asset of $4.4 million, which arose as a result of unused operating losses. The deferred tax asset written off had been offset in its entirety by a valuation allowance.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40" w:type="dxa"/>
            <w:vAlign w:val="bottom"/>
          </w:tcPr>
          <w:p>
            <w:pPr>
              <w:ind w:left="300"/>
              <w:spacing w:after="0"/>
              <w:rPr>
                <w:sz w:val="20"/>
                <w:szCs w:val="20"/>
                <w:color w:val="auto"/>
              </w:rPr>
            </w:pPr>
            <w:r>
              <w:rPr>
                <w:rFonts w:ascii="Arial" w:cs="Arial" w:eastAsia="Arial" w:hAnsi="Arial"/>
                <w:sz w:val="18"/>
                <w:szCs w:val="18"/>
                <w:color w:val="auto"/>
              </w:rPr>
              <w:t>The net deferred income tax assets consist of the following:</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October 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 not currently deductible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51,991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 credits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Future lease obligation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Valuation allowances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Undistributed earnings of foreign subsidiaries</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b w:val="1"/>
                <w:bCs w:val="1"/>
                <w:color w:val="auto"/>
              </w:rPr>
              <w:t>Reported as: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Arial" w:cs="Arial" w:eastAsia="Arial" w:hAnsi="Arial"/>
                <w:sz w:val="18"/>
                <w:szCs w:val="18"/>
                <w:color w:val="auto"/>
              </w:rPr>
              <w:t>Current deferred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deferred tax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deferred tax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Unrecognized tax benefits associated with uncertain tax positions were $3.9 million at October 28, 2012, of which $1.9 million is recorded in other liabilities in the consolidated balance sheet, and $2.0 million is recorded as a reduction to deferred tax assets and the related valuation allowance, and were $1.9 million at October 30, 2011, of which $0.5 million was recorded in income taxes payable and $1.4 million in other liabilities in the consolidated balance sheet. If recognized, $1.9 million of the benefits would favorably affect the Company's effective tax rate in future periods. Included in these amounts for both fiscal years 2012 and 2011 was $0.1 million for interest and penalties. The Company includes any applicable interest and penalties related to uncertain tax positions in its income tax provision. As of October 28, 2012, the Company believes it is not reasonably possible that the total amounts of unrecognized tax benefits will significantly increase or decrease in the next twelve months. Currently, the statutes of limitations remain open in various jurisdictions subsequent to, and including, 2007.</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80"/>
              <w:spacing w:after="0" w:line="194" w:lineRule="exact"/>
              <w:rPr>
                <w:sz w:val="20"/>
                <w:szCs w:val="20"/>
                <w:color w:val="auto"/>
              </w:rPr>
            </w:pPr>
            <w:r>
              <w:rPr>
                <w:rFonts w:ascii="Arial" w:cs="Arial" w:eastAsia="Arial" w:hAnsi="Arial"/>
                <w:sz w:val="18"/>
                <w:szCs w:val="18"/>
                <w:b w:val="1"/>
                <w:bCs w:val="1"/>
                <w:color w:val="auto"/>
                <w:w w:val="86"/>
              </w:rPr>
              <w:t>October 28,</w:t>
            </w:r>
          </w:p>
        </w:tc>
        <w:tc>
          <w:tcPr>
            <w:tcW w:w="100" w:type="dxa"/>
            <w:vAlign w:val="bottom"/>
          </w:tcPr>
          <w:p>
            <w:pPr>
              <w:spacing w:after="0"/>
              <w:rPr>
                <w:sz w:val="16"/>
                <w:szCs w:val="16"/>
                <w:color w:val="auto"/>
              </w:rPr>
            </w:pPr>
          </w:p>
        </w:tc>
        <w:tc>
          <w:tcPr>
            <w:tcW w:w="118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As of October 28, 2012, the Company had available U.S. Federal tax operating loss carryforwards of approximately $120.3 million which expire between 2020 and 2032, and research and development tax credit carryforwards of approximately $3.1 million which expire between 2018 and 2029. As of October 28, 2012, the Company also has U.S. state tax operating loss carryforwards of approximately $190.4 million and foreign tax operating loss carryforwards of approximately $40.2 million which expire between 2013 and 2032 with the exception of $0.4 million that have an indefinite life.</w:t>
      </w:r>
    </w:p>
    <w:p>
      <w:pPr>
        <w:spacing w:after="0" w:line="204"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may expire prior to utilization. The valuation allowance increased (decreased) by $2.5 million, $(8.2) million and $10.9 million in fiscal years 2012, 2011 and 2010, respectively.</w:t>
      </w:r>
    </w:p>
    <w:p>
      <w:pPr>
        <w:spacing w:after="0" w:line="215"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As of October 28, 2012, the Company had $3.1 million of alternative minimum tax credit carryforwards that are available to offset future federal income taxes payable. The Company also has state tax credits available of $2.6 million which, if they are not utilized, will begin to expire in 2013.</w:t>
      </w:r>
    </w:p>
    <w:p>
      <w:pPr>
        <w:spacing w:after="0" w:line="18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As of October 28, 2012, the undistributed earnings of foreign subsidiaries included in consolidated retained earnings amounted to $104.8 million, of which $13.2 million of earnings is considered not to be permanently reinvested. The amount of undistributed earnings is calculated taking into account the net amount of earnings of the Company’s foreign subsidiaries, considering its multi-tier subsidiary structure, and translating those earnings into U.S. dollars using exchange rates in effect as of the balance sheet date. During fiscal year 2008 a decision was made to not indefinitely reinvest earnings in certain foreign jurisdictions. No provision has been made for taxes due on the remaining undistributed earnings of $91.6 million considered to be indefinitely invested. Should the Company elect in the future to repatriate the foreign earnings so invested, it may incur additional income tax expense on those foreign earnings, the amount of which is not practicable to compute.</w:t>
      </w:r>
    </w:p>
    <w:p>
      <w:pPr>
        <w:spacing w:after="0" w:line="22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PKLT, the Company's FPD manufacturing facility in Taiwan, has been accorded a tax holiday, which started in 2012 and expires in 2017. In addition, the Company had been accorded a tax holiday in China which expired in 2011. These tax holidays had no dollar or per share effect in the fiscal years ended October 28, 2012, October 30, 2011 and October 31, 2010. In Korea and at Photronics Semiconductor Mask Corporation (PSMC) in Taiwan, various investment tax credits have been earned to reduce the Company's effective income tax rate.</w:t>
      </w:r>
    </w:p>
    <w:p>
      <w:pPr>
        <w:spacing w:after="0" w:line="218"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Income tax payments were $ 14.3 million, $10.4 million and $8.9 million in fiscal 2012, 2011 and 2010, respectively. Cash received for refunds of income taxes paid in prior years amounted to $0.1 million, $0.2 million and $0.1 million in fiscal years 2012, 2011 and 2010, respectively.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gridSpan w:val="2"/>
          </w:tcPr>
          <w:p>
            <w:pPr>
              <w:spacing w:after="0"/>
              <w:rPr>
                <w:rFonts w:ascii="Arial" w:cs="Arial" w:eastAsia="Arial" w:hAnsi="Arial"/>
                <w:sz w:val="14"/>
                <w:szCs w:val="14"/>
                <w:i w:val="1"/>
                <w:iCs w:val="1"/>
                <w:color w:val="0000EE"/>
                <w:w w:val="87"/>
              </w:rPr>
            </w:pPr>
            <w:hyperlink w:anchor="page32">
              <w:r>
                <w:rPr>
                  <w:rFonts w:ascii="Arial" w:cs="Arial" w:eastAsia="Arial" w:hAnsi="Arial"/>
                  <w:sz w:val="14"/>
                  <w:szCs w:val="14"/>
                  <w:i w:val="1"/>
                  <w:iCs w:val="1"/>
                  <w:color w:val="0000EE"/>
                  <w:w w:val="87"/>
                </w:rPr>
                <w:t>Index</w:t>
              </w:r>
            </w:hyperlink>
          </w:p>
        </w:tc>
        <w:tc>
          <w:tcPr>
            <w:tcW w:w="6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NOTE 14 - EARNINGS PER SHARE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The calculation of basic and diluted earnings per share is presented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October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 on convertible notes,  net of related tax effects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Gain related to common stock warrants fair value adjustment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for diluted earnings per share</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33,942</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3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53,433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Share-based payment awards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warrants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Convertible notes</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Dilutive potential common shares</w:t>
            </w: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 table below shows the outstanding weighted-average share-based payment awards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3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October 28,</w:t>
            </w:r>
          </w:p>
        </w:tc>
        <w:tc>
          <w:tcPr>
            <w:tcW w:w="13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Convertible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13,994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8"/>
                <w:szCs w:val="18"/>
                <w:color w:val="auto"/>
              </w:rPr>
              <w:t>2,587</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16,614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the first quarter of fiscal year 2013, the Company awarded approximately 0.5 million shared-based payment awards to its employees and directors.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SUBSIDIARY SHARE REPURCHASE</w:t>
      </w:r>
    </w:p>
    <w:p>
      <w:pPr>
        <w:spacing w:after="0" w:line="250"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Since the second quarter of fiscal 2011, the board of directors of PSMC, a subsidiary of the Company based in Taiwan, authorized several share repurchase programs for PSMC to purchase for retirement shares of its outstanding common stock. During fiscal 2012 and 2011, PSMC purchased 35.9 million and 21.6 million shares, respectively, at a cost of $15.6 million and $9.9 million, respectively. These repurchase programs increased the Company’s ownership in PSMC from 57.53% at October 31, 2010, to 62.25% at October 30, 2011, and to 72.09% at October 28, 2012.</w:t>
      </w:r>
    </w:p>
    <w:p>
      <w:pPr>
        <w:spacing w:after="0" w:line="17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table below presents the effect of the change in the Company’s ownership interest in PSMC on the Company's equity for fiscal years 2012 (35.9 million shares of common stock of PSMC repurchased), 2011 (21.6 million shares of PSMC stock repurchased) and 2010 (no shares of PSMC common stock repurchased).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6"/>
              </w:rPr>
              <w:t>Year Ended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additional paid-in capital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Decrease in Photronics, Inc.’s 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w w:val="99"/>
              </w:rPr>
              <w:t>Change from net income attributable to Photronics, Inc. shareholders and transfers to or from</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29,775</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16,028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420" w:firstLine="318"/>
        <w:spacing w:after="0" w:line="265" w:lineRule="auto"/>
        <w:rPr>
          <w:sz w:val="20"/>
          <w:szCs w:val="20"/>
          <w:color w:val="auto"/>
        </w:rPr>
      </w:pPr>
      <w:r>
        <w:rPr>
          <w:rFonts w:ascii="Arial" w:cs="Arial" w:eastAsia="Arial" w:hAnsi="Arial"/>
          <w:sz w:val="18"/>
          <w:szCs w:val="18"/>
          <w:color w:val="auto"/>
        </w:rPr>
        <w:t>Subsequent to fiscal year 2012, PSMC completed its most recent share repurchase program in November 2012 with the repurchase of an additional 9.2 million shares for $4.2 million, which increased the Company’s ownership in PSMC to 75.11%.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50"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At October 28, 2012, the Company had outstanding purchase commitments of $100 million, which included $91 million related to capital expenditures, and had recorded liabilities for the purchase of equipment of $7 million. See Note 9 for operating lease commitments.</w:t>
      </w:r>
    </w:p>
    <w:p>
      <w:pPr>
        <w:spacing w:after="0" w:line="206" w:lineRule="exact"/>
        <w:rPr>
          <w:sz w:val="20"/>
          <w:szCs w:val="20"/>
          <w:color w:val="auto"/>
        </w:rPr>
      </w:pPr>
    </w:p>
    <w:p>
      <w:pPr>
        <w:ind w:right="80" w:firstLine="318"/>
        <w:spacing w:after="0" w:line="265"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GEOGRAPHIC AND SIGNIFICANT CUSTOMER INFORMATION</w:t>
      </w:r>
    </w:p>
    <w:p>
      <w:pPr>
        <w:spacing w:after="0" w:line="25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2012, 2011 and 2010 net sales by geographic area and for ICs and FPDs, and total long-lived assets by geographic area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October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r>
      <w:tr>
        <w:trPr>
          <w:trHeight w:val="237"/>
        </w:trPr>
        <w:tc>
          <w:tcPr>
            <w:tcW w:w="6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143,371</w:t>
            </w:r>
          </w:p>
        </w:tc>
      </w:tr>
      <w:tr>
        <w:trPr>
          <w:trHeight w:val="212"/>
        </w:trPr>
        <w:tc>
          <w:tcPr>
            <w:tcW w:w="63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123,753</w:t>
            </w:r>
          </w:p>
        </w:tc>
      </w:tr>
      <w:tr>
        <w:trPr>
          <w:trHeight w:val="212"/>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101,189</w:t>
            </w:r>
          </w:p>
        </w:tc>
      </w:tr>
      <w:tr>
        <w:trPr>
          <w:trHeight w:val="212"/>
        </w:trPr>
        <w:tc>
          <w:tcPr>
            <w:tcW w:w="6320" w:type="dxa"/>
            <w:vAlign w:val="bottom"/>
          </w:tcPr>
          <w:p>
            <w:pPr>
              <w:ind w:left="16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41,850</w:t>
            </w:r>
          </w:p>
        </w:tc>
      </w:tr>
      <w:tr>
        <w:trPr>
          <w:trHeight w:val="212"/>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15,391</w:t>
            </w:r>
          </w:p>
        </w:tc>
      </w:tr>
      <w:tr>
        <w:trPr>
          <w:trHeight w:val="27"/>
        </w:trPr>
        <w:tc>
          <w:tcPr>
            <w:tcW w:w="6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6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512,020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425,554</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6320" w:type="dxa"/>
            <w:vAlign w:val="bottom"/>
          </w:tcPr>
          <w:p>
            <w:pPr>
              <w:ind w:left="160"/>
              <w:spacing w:after="0"/>
              <w:rPr>
                <w:sz w:val="20"/>
                <w:szCs w:val="20"/>
                <w:color w:val="auto"/>
              </w:rPr>
            </w:pPr>
            <w:r>
              <w:rPr>
                <w:rFonts w:ascii="Arial" w:cs="Arial" w:eastAsia="Arial" w:hAnsi="Arial"/>
                <w:sz w:val="18"/>
                <w:szCs w:val="18"/>
                <w:color w:val="auto"/>
              </w:rPr>
              <w:t>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350,105</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391,158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329,767</w:t>
            </w:r>
          </w:p>
        </w:tc>
      </w:tr>
      <w:tr>
        <w:trPr>
          <w:trHeight w:val="212"/>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FPD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95,787</w:t>
            </w:r>
          </w:p>
        </w:tc>
      </w:tr>
      <w:tr>
        <w:trPr>
          <w:trHeight w:val="27"/>
        </w:trPr>
        <w:tc>
          <w:tcPr>
            <w:tcW w:w="6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6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512,020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425,554</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October 31,</w:t>
            </w:r>
          </w:p>
        </w:tc>
      </w:tr>
      <w:tr>
        <w:trPr>
          <w:trHeight w:val="237"/>
        </w:trPr>
        <w:tc>
          <w:tcPr>
            <w:tcW w:w="6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134,349</w:t>
            </w:r>
          </w:p>
        </w:tc>
      </w:tr>
      <w:tr>
        <w:trPr>
          <w:trHeight w:val="212"/>
        </w:trPr>
        <w:tc>
          <w:tcPr>
            <w:tcW w:w="6320" w:type="dxa"/>
            <w:vAlign w:val="bottom"/>
          </w:tcPr>
          <w:p>
            <w:pPr>
              <w:ind w:left="160"/>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131,802</w:t>
            </w:r>
          </w:p>
        </w:tc>
      </w:tr>
      <w:tr>
        <w:trPr>
          <w:trHeight w:val="212"/>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88,323</w:t>
            </w:r>
          </w:p>
        </w:tc>
      </w:tr>
      <w:tr>
        <w:trPr>
          <w:trHeight w:val="212"/>
        </w:trPr>
        <w:tc>
          <w:tcPr>
            <w:tcW w:w="6320" w:type="dxa"/>
            <w:vAlign w:val="bottom"/>
          </w:tcPr>
          <w:p>
            <w:pPr>
              <w:ind w:left="16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14,182</w:t>
            </w:r>
          </w:p>
        </w:tc>
      </w:tr>
      <w:tr>
        <w:trPr>
          <w:trHeight w:val="212"/>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27"/>
        </w:trPr>
        <w:tc>
          <w:tcPr>
            <w:tcW w:w="6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6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368,680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369,814</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80" w:firstLine="318"/>
        <w:spacing w:after="0" w:line="265" w:lineRule="auto"/>
        <w:rPr>
          <w:sz w:val="20"/>
          <w:szCs w:val="20"/>
          <w:color w:val="auto"/>
        </w:rPr>
      </w:pPr>
      <w:r>
        <w:rPr>
          <w:rFonts w:ascii="Arial" w:cs="Arial" w:eastAsia="Arial" w:hAnsi="Arial"/>
          <w:sz w:val="18"/>
          <w:szCs w:val="18"/>
          <w:color w:val="auto"/>
        </w:rPr>
        <w:t>Samsung Electronics Co., Ltd. accounted for approximately 22%, 20% and 19% of the Company's net sales in fiscal years 2012, 2011 and 2010,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CONCENTRATIONS OF CREDIT RISK</w:t>
      </w:r>
    </w:p>
    <w:p>
      <w:pPr>
        <w:spacing w:after="0" w:line="250" w:lineRule="exact"/>
        <w:rPr>
          <w:sz w:val="20"/>
          <w:szCs w:val="20"/>
          <w:color w:val="auto"/>
        </w:rPr>
      </w:pPr>
    </w:p>
    <w:p>
      <w:pPr>
        <w:ind w:right="40" w:firstLine="318"/>
        <w:spacing w:after="0" w:line="269" w:lineRule="auto"/>
        <w:rPr>
          <w:sz w:val="20"/>
          <w:szCs w:val="20"/>
          <w:color w:val="auto"/>
        </w:rPr>
      </w:pPr>
      <w:r>
        <w:rPr>
          <w:rFonts w:ascii="Arial" w:cs="Arial" w:eastAsia="Arial" w:hAnsi="Arial"/>
          <w:sz w:val="17"/>
          <w:szCs w:val="17"/>
          <w:color w:val="auto"/>
        </w:rPr>
        <w:t>Financial instruments that potentially subject the Company to credit risk principally consist of trade accounts receivables and temporary cash investments. The Company sells its products primarily to manufacturers in the semiconductor and FPD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OTHER RELATED PARTY TRANSACTIONS</w:t>
      </w:r>
    </w:p>
    <w:p>
      <w:pPr>
        <w:spacing w:after="0" w:line="250"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chairman of the board and chief executive officer of the Company is also the vice chairman of the board and majority shareholder of a company that provides secure managed information technology services to Photronics. Another director of the Company is also a shareholder, chief executive officer and executive chairman of the board of this company. Since 2002, the Company has entered into various service contracts with this company to provide services to all of the Company's worldwide facilities. The Company incurred expenses for services provided by this company of $1.8 million, $1.8 million, and $2.6 million in fiscal years 2012, 2011 and 2010, respectively and, as of both October 28, 2012 and October 30, 2011, had outstanding balances of $0.2 million due to this company. As of October 28, 2012, the Company had contracted with this company for various services through June 2015 at a cost of $3.6 million.</w:t>
      </w:r>
    </w:p>
    <w:p>
      <w:pPr>
        <w:spacing w:after="0" w:line="15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$20.1 million, $21.4 million and $21.9 million of photomask blanks from this company in 2012, 2011 and 2010, respectively, for which the amount owed to this company was $4.2 million at October 28, 2012, and $2.9 million at October 30, 2011.</w:t>
      </w:r>
    </w:p>
    <w:p>
      <w:pPr>
        <w:spacing w:after="0" w:line="215"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The Company believes that the terms of its transactions with related parties described above were negotiated at arm's length and were no less favorable to the Company than terms it could have obtained from unrelated third parties. See Note 4 for other related party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FAIR VALUE MEASUREMENTS</w:t>
      </w:r>
    </w:p>
    <w:p>
      <w:pPr>
        <w:spacing w:after="0" w:line="250"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Accounting guidance defines fair value as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20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 fair value measurement further assumes that the hypothetical transaction occurs in the principal (or if no principal market exists, the most advantageous) market for the asset or liability. Further, a fair value measurement considers the assumptions that would be made by market participants when pricing the asset or liability, such as transfer restrictions (in the case of an asset) or nonperformance risk and, in the case of nonfinancial assets, assumes a transaction involving the highest and best use of the asset.</w:t>
      </w:r>
    </w:p>
    <w:p>
      <w:pPr>
        <w:spacing w:after="0" w:line="218"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This guidance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When, due to changes in the inputs to valuation techniques used to measure its fair value, an asset or liability is transferred between levels of the fair value hierarchy, the Company recognizes all transfers to or from any level to be as of the beginning of the reporting period. Assessing the significance of a particular input to the fair value measurement in its entirety requires judgment, including the consideration of factors specific to the asset or liability. The hierarchy consists of the following three levels: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in active markets for identical securities that are accessible at the measurement date.</w:t>
      </w:r>
    </w:p>
    <w:p>
      <w:pPr>
        <w:spacing w:after="0" w:line="244" w:lineRule="exact"/>
        <w:rPr>
          <w:sz w:val="20"/>
          <w:szCs w:val="20"/>
          <w:color w:val="auto"/>
        </w:rPr>
      </w:pPr>
    </w:p>
    <w:p>
      <w:pPr>
        <w:ind w:right="200" w:firstLine="318"/>
        <w:spacing w:after="0" w:line="265"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Inputs other than quoted prices included within Level 1 are observable for the asset or liability, either directly or indirectly. At October 30, 2011, the Company's Level 2 liabilities are certain common stock warrants, which are included in other liabilities.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17"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The tables below present the Company’s liabilities as of October 30, 2011, that are measured at fair value on a recurring basis. The Company had no assets or liabilities measured at fair value on a recurring basis as of October 28,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October 30, 2011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Quoted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Prices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Markets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2"/>
              </w:rPr>
              <w:t>for Identical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Unobservable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Instruments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A significant observable input into the model was the market price of the Company's common stock at the measurement date. Gains or losses related to fair value adjustments to the common stock warrants liability are included in other income (expense), net.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did not have any nonfinancial assets or liabilities measured at fair value on a nonrecurring basis at October 28, 2012 or October 30, 2011.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44"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financing loan with a customer is a Level 2 measurement that approximates its carrying value due to its short-term maturity. The fair value of the Company’s variable rate term loan is a Level 2 measurement and approximates its carrying value due to the variable nature of the underlying interest rates. The fair value of the Company’s convertible senior notes is a Level 2 measurement that is determined using recent bid prices. The table below presents the fair and carrying values of the Company’s convertible senior notes at October 28, 2012 and October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28, 2012</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30, 2011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Carrying Value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110,239</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115,000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109,260</w:t>
            </w:r>
          </w:p>
        </w:tc>
        <w:tc>
          <w:tcPr>
            <w:tcW w:w="7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27,755</w:t>
            </w: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22,054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32,791</w:t>
            </w:r>
          </w:p>
        </w:tc>
        <w:tc>
          <w:tcPr>
            <w:tcW w:w="7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RESULTS OF OPERATIONS (UNAUDITED)</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Second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Fiscal 2012:</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 (b)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 (b) (c) (d)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116,616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25,458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32,304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111,920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Net income attributable to Photronics, Inc. shareholders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8,818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10,950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27,868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Fiscal 2011:</w:t>
            </w:r>
          </w:p>
        </w:tc>
        <w:tc>
          <w:tcPr>
            <w:tcW w:w="5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(e)</w:t>
            </w:r>
          </w:p>
        </w:tc>
        <w:tc>
          <w:tcPr>
            <w:tcW w:w="44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(f) (g)</w:t>
            </w:r>
          </w:p>
        </w:tc>
        <w:tc>
          <w:tcPr>
            <w:tcW w:w="4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(h) (i)</w:t>
            </w:r>
          </w:p>
        </w:tc>
        <w:tc>
          <w:tcPr>
            <w:tcW w:w="4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(i)</w:t>
            </w:r>
          </w:p>
        </w:tc>
        <w:tc>
          <w:tcPr>
            <w:tcW w:w="4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(j) (k)</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120,823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133,103</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135,935</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122,159</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margin</w:t>
            </w:r>
          </w:p>
        </w:tc>
        <w:tc>
          <w:tcPr>
            <w:tcW w:w="5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30,594</w:t>
            </w:r>
          </w:p>
        </w:tc>
        <w:tc>
          <w:tcPr>
            <w:tcW w:w="44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36,486</w:t>
            </w:r>
          </w:p>
        </w:tc>
        <w:tc>
          <w:tcPr>
            <w:tcW w:w="4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38,240</w:t>
            </w:r>
          </w:p>
        </w:tc>
        <w:tc>
          <w:tcPr>
            <w:tcW w:w="4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30,893</w:t>
            </w:r>
          </w:p>
        </w:tc>
        <w:tc>
          <w:tcPr>
            <w:tcW w:w="4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136,214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13,584</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(15,033)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12,622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9,035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1"/>
              </w:rPr>
              <w:t>Net income (loss) attributable to Photronics, Inc. shareholders</w:t>
            </w:r>
          </w:p>
        </w:tc>
        <w:tc>
          <w:tcPr>
            <w:tcW w:w="5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12,111</w:t>
            </w:r>
          </w:p>
        </w:tc>
        <w:tc>
          <w:tcPr>
            <w:tcW w:w="4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(16,438)</w:t>
            </w:r>
          </w:p>
        </w:tc>
        <w:tc>
          <w:tcPr>
            <w:tcW w:w="4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11,265</w:t>
            </w:r>
          </w:p>
        </w:tc>
        <w:tc>
          <w:tcPr>
            <w:tcW w:w="4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9,291</w:t>
            </w:r>
          </w:p>
        </w:tc>
        <w:tc>
          <w:tcPr>
            <w:tcW w:w="4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80" w:right="30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$1.1 million, net of tax, in connection with the discontinuance of manufacturing operations at the Company’s Singapore facility.</w:t>
      </w:r>
    </w:p>
    <w:p>
      <w:pPr>
        <w:spacing w:after="0" w:line="179" w:lineRule="exact"/>
        <w:rPr>
          <w:rFonts w:ascii="Arial" w:cs="Arial" w:eastAsia="Arial" w:hAnsi="Arial"/>
          <w:sz w:val="18"/>
          <w:szCs w:val="18"/>
          <w:color w:val="auto"/>
        </w:rPr>
      </w:pPr>
    </w:p>
    <w:p>
      <w:pPr>
        <w:ind w:left="580" w:right="80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gain of $0.1 million, net of tax, in connection with subsequent measurement at fair value of warrants issued to purchase the Company’s stock.</w:t>
      </w:r>
    </w:p>
    <w:p>
      <w:pPr>
        <w:spacing w:after="0" w:line="179" w:lineRule="exact"/>
        <w:rPr>
          <w:rFonts w:ascii="Arial" w:cs="Arial" w:eastAsia="Arial" w:hAnsi="Arial"/>
          <w:sz w:val="18"/>
          <w:szCs w:val="18"/>
          <w:color w:val="auto"/>
        </w:rPr>
      </w:pPr>
    </w:p>
    <w:p>
      <w:pPr>
        <w:ind w:left="580" w:right="30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$0.1 million, net of tax, in connection with the discontinuance of manufacturing operations at the Company’s Singapore facility.</w:t>
      </w:r>
    </w:p>
    <w:p>
      <w:pPr>
        <w:spacing w:after="0" w:line="179" w:lineRule="exact"/>
        <w:rPr>
          <w:rFonts w:ascii="Arial" w:cs="Arial" w:eastAsia="Arial" w:hAnsi="Arial"/>
          <w:sz w:val="18"/>
          <w:szCs w:val="18"/>
          <w:color w:val="auto"/>
        </w:rPr>
      </w:pPr>
    </w:p>
    <w:p>
      <w:pPr>
        <w:ind w:left="580" w:right="30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$0.2 million, net of tax, in connection with the discontinuance of manufacturing operations at the Company’s Singapore facility.</w:t>
      </w:r>
    </w:p>
    <w:p>
      <w:pPr>
        <w:spacing w:after="0" w:line="179" w:lineRule="exact"/>
        <w:rPr>
          <w:rFonts w:ascii="Arial" w:cs="Arial" w:eastAsia="Arial" w:hAnsi="Arial"/>
          <w:sz w:val="18"/>
          <w:szCs w:val="18"/>
          <w:color w:val="auto"/>
        </w:rPr>
      </w:pPr>
    </w:p>
    <w:p>
      <w:pPr>
        <w:ind w:left="580" w:right="82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loss of $0.1 million, net of tax, in connection with subsequent measurement at fair value of warrants issued to purchase the Company’s stock.</w:t>
      </w:r>
    </w:p>
    <w:p>
      <w:pPr>
        <w:spacing w:after="0" w:line="179" w:lineRule="exact"/>
        <w:rPr>
          <w:rFonts w:ascii="Arial" w:cs="Arial" w:eastAsia="Arial" w:hAnsi="Arial"/>
          <w:sz w:val="18"/>
          <w:szCs w:val="18"/>
          <w:color w:val="auto"/>
        </w:rPr>
      </w:pPr>
    </w:p>
    <w:p>
      <w:pPr>
        <w:ind w:left="580" w:right="26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debt extinguishment loss of $30.3 million, net of tax, in connection with the acquisition of $30.4 million principal amount of the Company’s 5.5% convertible senior notes, with original maturity date of October 2014.</w:t>
      </w:r>
    </w:p>
    <w:p>
      <w:pPr>
        <w:spacing w:after="0" w:line="179" w:lineRule="exact"/>
        <w:rPr>
          <w:rFonts w:ascii="Arial" w:cs="Arial" w:eastAsia="Arial" w:hAnsi="Arial"/>
          <w:sz w:val="18"/>
          <w:szCs w:val="18"/>
          <w:color w:val="auto"/>
        </w:rPr>
      </w:pPr>
    </w:p>
    <w:p>
      <w:pPr>
        <w:ind w:left="580" w:right="10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loss of $0.7 million, net of tax, in connection with subsequent measurement at fair value of warrants used to purchase the Company’s stock.</w:t>
      </w:r>
    </w:p>
    <w:p>
      <w:pPr>
        <w:spacing w:after="0" w:line="179" w:lineRule="exact"/>
        <w:rPr>
          <w:rFonts w:ascii="Arial" w:cs="Arial" w:eastAsia="Arial" w:hAnsi="Arial"/>
          <w:sz w:val="18"/>
          <w:szCs w:val="18"/>
          <w:color w:val="auto"/>
        </w:rPr>
      </w:pPr>
    </w:p>
    <w:p>
      <w:pPr>
        <w:ind w:left="580" w:right="44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debt extinguishment loss of $5.0 million, net of tax, in connection with the acquisition of $5.0 million principal amount of the Company’s 5.5% convertible senior notes, with original maturity date of October 2014.</w:t>
      </w:r>
    </w:p>
    <w:p>
      <w:pPr>
        <w:spacing w:after="0" w:line="179" w:lineRule="exact"/>
        <w:rPr>
          <w:rFonts w:ascii="Arial" w:cs="Arial" w:eastAsia="Arial" w:hAnsi="Arial"/>
          <w:sz w:val="18"/>
          <w:szCs w:val="18"/>
          <w:color w:val="auto"/>
        </w:rPr>
      </w:pPr>
    </w:p>
    <w:p>
      <w:pPr>
        <w:ind w:left="580" w:right="92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gain of $0.2 million, net of tax, in connection with subsequent measurement at fair value of warrants used to purchase the Company’s stock.</w:t>
      </w:r>
    </w:p>
    <w:p>
      <w:pPr>
        <w:spacing w:after="0" w:line="179" w:lineRule="exact"/>
        <w:rPr>
          <w:rFonts w:ascii="Arial" w:cs="Arial" w:eastAsia="Arial" w:hAnsi="Arial"/>
          <w:sz w:val="18"/>
          <w:szCs w:val="18"/>
          <w:color w:val="auto"/>
        </w:rPr>
      </w:pPr>
    </w:p>
    <w:p>
      <w:pPr>
        <w:ind w:left="580" w:right="26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debt extinguishment loss of $35.3 million, net of tax, in connection with the acquisition of $35.4 million principal amount of the Company’s 5.5% convertible senior notes, with original maturity date of October 2014</w:t>
      </w:r>
    </w:p>
    <w:p>
      <w:pPr>
        <w:spacing w:after="0" w:line="179" w:lineRule="exact"/>
        <w:rPr>
          <w:rFonts w:ascii="Arial" w:cs="Arial" w:eastAsia="Arial" w:hAnsi="Arial"/>
          <w:sz w:val="18"/>
          <w:szCs w:val="18"/>
          <w:color w:val="auto"/>
        </w:rPr>
      </w:pPr>
    </w:p>
    <w:p>
      <w:pPr>
        <w:ind w:left="580" w:right="100" w:hanging="335"/>
        <w:spacing w:after="0" w:line="26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loss of $0.4 million, net of tax, in connection with subsequent measurement at fair value of warrants used to purchase the Company’s stock.</w:t>
      </w:r>
    </w:p>
    <w:p>
      <w:pPr>
        <w:sectPr>
          <w:pgSz w:w="11900" w:h="16838" w:orient="portrait"/>
          <w:cols w:equalWidth="0" w:num="1">
            <w:col w:w="11420"/>
          </w:cols>
          <w:pgMar w:left="240" w:top="122"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RECENT ACCOUNTING PRONOUNCEMENTS</w:t>
      </w:r>
    </w:p>
    <w:p>
      <w:pPr>
        <w:spacing w:after="0" w:line="250"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In June 2011, the FASB issued ASU No. 2011-05, Presentation of Comprehensive Income (“ASU 2011-05”). ASU 2011-05 requires companies to present the components of net income and other comprehensive income either as one continuous statement or as two consecutive statements. It eliminates the option to present components of other comprehensive income as part of the statement of changes in stockholders’ equity. ASU 2011-05 is effective for interim and annual periods beginning after December 15, 2011 and is applied retrospectively. The Company has adopted this update and presented the Consolidated Statements of Comprehensive Income immediately following the Consolidated Statements of Income.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CONTROLS AND PROCEDURES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right="20" w:firstLine="318"/>
        <w:spacing w:after="0" w:line="307" w:lineRule="auto"/>
        <w:rPr>
          <w:sz w:val="20"/>
          <w:szCs w:val="20"/>
          <w:color w:val="auto"/>
        </w:rPr>
      </w:pPr>
      <w:r>
        <w:rPr>
          <w:rFonts w:ascii="Arial" w:cs="Arial" w:eastAsia="Arial" w:hAnsi="Arial"/>
          <w:sz w:val="15"/>
          <w:szCs w:val="15"/>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7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ind w:right="80" w:firstLine="318"/>
        <w:spacing w:after="0" w:line="265"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0" w:lineRule="exact"/>
        <w:rPr>
          <w:sz w:val="20"/>
          <w:szCs w:val="20"/>
          <w:color w:val="auto"/>
        </w:rPr>
      </w:pPr>
    </w:p>
    <w:p>
      <w:pPr>
        <w:jc w:val="both"/>
        <w:ind w:right="260" w:firstLine="318"/>
        <w:spacing w:after="0" w:line="330"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October 28, 2012, based on the criteria set forth by the Committee of Sponsoring Organizations of the Treadway Commission in "Internal Control - Integrated Framework." Management, under the supervision and with the participation of the Company's chief executive officer and chief financial officer, assessed that the Company's internal control over financial reporting was effective as of October 28, 2012.</w:t>
      </w:r>
    </w:p>
    <w:p>
      <w:pPr>
        <w:spacing w:after="0" w:line="218"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28, 2012, as stated in their attestation report on page 32 of this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January 9,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0" w:lineRule="exact"/>
        <w:rPr>
          <w:sz w:val="20"/>
          <w:szCs w:val="20"/>
          <w:color w:val="auto"/>
        </w:rPr>
      </w:pPr>
    </w:p>
    <w:p>
      <w:pPr>
        <w:ind w:right="180" w:firstLine="318"/>
        <w:spacing w:after="0" w:line="267" w:lineRule="auto"/>
        <w:rPr>
          <w:sz w:val="20"/>
          <w:szCs w:val="20"/>
          <w:color w:val="auto"/>
        </w:rPr>
      </w:pPr>
      <w:r>
        <w:rPr>
          <w:rFonts w:ascii="Arial" w:cs="Arial" w:eastAsia="Arial" w:hAnsi="Arial"/>
          <w:sz w:val="17"/>
          <w:szCs w:val="17"/>
          <w:color w:val="auto"/>
        </w:rPr>
        <w:t>The information as to Directors required by Item 401, 405 and 407(c)(3)(d)(4) and (d)(5) of Regulation S-K is set forth in the Company's 2013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the Company's 2013 definitive Proxy Statement under the caption "EXECUTIVE OFFICERS" and is incorporated in this report by reference.</w:t>
      </w:r>
    </w:p>
    <w:p>
      <w:pPr>
        <w:spacing w:after="0" w:line="180"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vice president general counsel of Photronics, Inc. at 15 Secor Road, Brookfield, Connecticut 06804.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0"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2013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12. SECURITY OWNERSHIP OF CERTAIN BENEFICIAL OWNERSAND MANAGEMENT AND RELATED STOCKHOLDER MATTERS</w:t>
      </w:r>
    </w:p>
    <w:p>
      <w:pPr>
        <w:spacing w:after="0" w:line="26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The information required by Item 201(d) of Regulation S-K is set forth in the Company’s 2013 definitive Proxy Statement under the caption “EQUITY COMPENSATION PLAN INFORMATION”, and is incorporated in this report by reference. The information required by Item 403 of Regulation S-K is set forth in the Company's 2013 definitive Proxy Statement under the caption "OWNERSHIP OF COMMON STOCK BY DIRECTORS, OFFICERS AND CERTAIN BENEFICIAL OWNERS", and is incorporated in this report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TRANSACTIONS,AND DIRECTOR INDEPENDENCE</w:t>
      </w:r>
    </w:p>
    <w:p>
      <w:pPr>
        <w:spacing w:after="0" w:line="25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2013 definitive Proxy Statement under the captions "MEETINGS AND COMMITTEES OF THE BOARD" and "CERTAIN RELATIONSHIPS AND RELATED TRANSACTIONS", respectively, and is incorporated in this report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information required by Item 9(e) of Rule 14a-101 of the Exchange Act is set forth in the Company's 2013 definitive Proxy Statement under the captions "FEES PAID TO THE INDEPENDENT REGISTERED PUBLIC ACCOUNTING FIRM" and "AUDIT COMMITTEE REPORT," and is incorporated in this report by reference.</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19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036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See "INDEX TO CONSOLIDATED FINANCIAL STATEMENTS" in Part II, Item 8 of this Form 10-K.</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 Schedules:</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10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 of Independent Registered Public Accounting Firm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10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Schedule II - Valuation and Qualifying Accounts for the years ended October 28, 2012, October 30, 2011, and October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10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 other schedules are omitted because they are not applicable.</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2" w:lineRule="exact"/>
        <w:rPr>
          <w:sz w:val="20"/>
          <w:szCs w:val="20"/>
          <w:color w:val="auto"/>
        </w:rPr>
      </w:pPr>
    </w:p>
    <w:p>
      <w:pPr>
        <w:ind w:right="160" w:firstLine="318"/>
        <w:spacing w:after="0" w:line="305" w:lineRule="auto"/>
        <w:rPr>
          <w:sz w:val="20"/>
          <w:szCs w:val="20"/>
          <w:color w:val="auto"/>
        </w:rPr>
      </w:pPr>
      <w:r>
        <w:rPr>
          <w:rFonts w:ascii="Arial" w:cs="Arial" w:eastAsia="Arial" w:hAnsi="Arial"/>
          <w:sz w:val="15"/>
          <w:szCs w:val="15"/>
          <w:color w:val="auto"/>
        </w:rPr>
        <w:t>We have audited the consolidated financial statements of Photronics, Inc. and subsidiaries (the "Company") as of October 28, 2012 and October 30, 2011, and for each of the three fiscal years ended October 28, 2012, October 30, 2011 and October 31, 2010, and the Company's internal control over financial reporting as of October 28, 2012, and have issued our report thereon dated January 9, 2013 (which report expresses an unqualified opinion on the financial statements and includes an explanatory paragraph relating to the Company's adoption of Financial Accounting Standards Board Accounting Standards Update No. 2011-05, Presentation of Comprehensive Income);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9, 2013</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5840" w:type="dxa"/>
            <w:vAlign w:val="bottom"/>
            <w:gridSpan w:val="3"/>
          </w:tcPr>
          <w:p>
            <w:pPr>
              <w:spacing w:after="0"/>
              <w:rPr>
                <w:rFonts w:ascii="Arial" w:cs="Arial" w:eastAsia="Arial" w:hAnsi="Arial"/>
                <w:sz w:val="14"/>
                <w:szCs w:val="14"/>
                <w:i w:val="1"/>
                <w:iCs w:val="1"/>
                <w:color w:val="0000EE"/>
              </w:rPr>
            </w:pPr>
            <w:hyperlink w:anchor="page3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Schedule II</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Valuation and Qualifying Accounts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80" w:type="dxa"/>
            <w:vAlign w:val="bottom"/>
            <w:gridSpan w:val="13"/>
          </w:tcPr>
          <w:p>
            <w:pPr>
              <w:jc w:val="center"/>
              <w:ind w:right="200"/>
              <w:spacing w:after="0"/>
              <w:rPr>
                <w:sz w:val="20"/>
                <w:szCs w:val="20"/>
                <w:color w:val="auto"/>
              </w:rPr>
            </w:pPr>
            <w:r>
              <w:rPr>
                <w:rFonts w:ascii="Arial" w:cs="Arial" w:eastAsia="Arial" w:hAnsi="Arial"/>
                <w:sz w:val="18"/>
                <w:szCs w:val="18"/>
                <w:b w:val="1"/>
                <w:bCs w:val="1"/>
                <w:color w:val="auto"/>
                <w:w w:val="88"/>
              </w:rPr>
              <w:t>for the Years Ended October 28, 2012, October 30,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and October 31, 2010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Beginning of</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Costs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Deductions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Year</w:t>
            </w:r>
          </w:p>
        </w:tc>
        <w:tc>
          <w:tcPr>
            <w:tcW w:w="0" w:type="dxa"/>
            <w:vAlign w:val="bottom"/>
          </w:tcPr>
          <w:p>
            <w:pPr>
              <w:spacing w:after="0"/>
              <w:rPr>
                <w:sz w:val="1"/>
                <w:szCs w:val="1"/>
                <w:color w:val="auto"/>
              </w:rPr>
            </w:pPr>
          </w:p>
        </w:tc>
      </w:tr>
      <w:tr>
        <w:trPr>
          <w:trHeight w:val="211"/>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28,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Year ended October 30,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28,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Year ended October 30,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61,303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(8,240)</w:t>
            </w: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(9,565)</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Uncollectible accounts written off and impact of foreign currency translation.</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due to utilization of net operating losses and expiration of investment tax credit.</w:t>
      </w:r>
    </w:p>
    <w:p>
      <w:pPr>
        <w:spacing w:after="0" w:line="243"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due to reversal of valuation allowance for Shanghai, China, facility closure and impact of reduced income tax rates in Taiwan.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i w:val="1"/>
                <w:iCs w:val="1"/>
                <w:color w:val="0000EE"/>
              </w:rPr>
            </w:pPr>
            <w:hyperlink w:anchor="page32">
              <w:r>
                <w:rPr>
                  <w:rFonts w:ascii="Arial" w:cs="Arial" w:eastAsia="Arial" w:hAnsi="Arial"/>
                  <w:sz w:val="14"/>
                  <w:szCs w:val="14"/>
                  <w:i w:val="1"/>
                  <w:iCs w:val="1"/>
                  <w:color w:val="0000EE"/>
                </w:rPr>
                <w:t>Index</w:t>
              </w:r>
            </w:hyperlink>
          </w:p>
        </w:tc>
        <w:tc>
          <w:tcPr>
            <w:tcW w:w="88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ind w:left="352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9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2"/>
              </w:rPr>
              <w:t>Certificate of Incorporation as amended July 9, 1986, April 9, 1990, March 16, 1995, November 13, 1997, April 15, 2002 and June 20, 2005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(incorporated by reference to Exhibit 3.1 to the Company's Annual Report on Form 10-K for the fiscal year ended October 28, 2007).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2"/>
              </w:rPr>
              <w:t>By-laws of the Company, (incorporated by reference to Exhibit 3.2 to the Company's Registration Statement on Form S-1, File Number 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11694, which was declared effective by the Commission on March 10, 1987).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2"/>
              </w:rPr>
              <w:t>Form of Indenture between the Company and the Bank of New York, as Trustee (incorporated by reference to Exhibit 4.1 to the Company’s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Statement on Form S-3 File Number 333-160235 filed on June 25,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0"/>
              </w:rPr>
              <w:t>Indenture dated September 16, 2009 between the Company and the Bank of New York, as Trustee (incorporated by reference to Exhibit 4.1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September 17,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89"/>
              </w:rPr>
              <w:t>Supplement to Indenture dated September 16, 2009 between the Company and the Bank of New York, as Trustee relating to the issuance of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Company’s 5.5% Convertible Notes due 2014 (incorporated by reference to Exhibit 4.2 to the Company’s Current Report on Form 8K filed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17,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89"/>
              </w:rPr>
              <w:t>Indenture dated March 28, 2011 between the Company and the Bank of Nova Scotia Trust Company of New York (incorporated by reference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4.1 to the Company’s Current Report on Form 8-K filed on March 29, 2011).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88"/>
              </w:rPr>
              <w:t>Master Service Agreement dated January 11, 2002 between the Company and RagingWire Telecommunications, Inc. (incorporated by reference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Exhibit 10.1 to the Company's Annual Report on Form 10-K for the fiscal year ended November 1,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2"/>
              </w:rPr>
              <w:t>Underwriting Agreement between the Company and Morgan Stanley &amp; Co. Incorporated dated September 10, 2009 relating to the issuance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of the Company’s 5.5% Convertible Notes due 2014 (incorporated by reference to Exhibit 10.1 to the Company’s Current Report on Form 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filed September 11,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0"/>
              </w:rPr>
              <w:t>Underwriting Agreement between the Company and Morgan Stanley &amp; Co. Incorporated dated September 10, 2009 relating to the issuance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9,638,554 shares of common stock (incorporated by reference to Exhibit 10.2 to the Company’s Current Report on Form 8K filed September 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89"/>
              </w:rPr>
              <w:t>Warrant Agreement between the Company and Intel Capital Corporation dated September 10, 2009 (incorporated by reference to Exhibit 10.3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September 11,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89"/>
              </w:rPr>
              <w:t>Warrant Agreement between the Company and Intel Capital Corporation dated September 10, 2009 (incorporated by reference to Exhibit 10.4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September 11,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0"/>
              </w:rPr>
              <w:t>The Company’s 1992 Employee Stock Purchase Plan (incorporated by reference to Exhibit 10.24 to the Company’s Registration Statement 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Form S-8, File Number 33-47446 which was filed April 24, 1994).</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1"/>
              </w:rPr>
              <w:t>Amendment to the Employee Stock Purchase Plan as of March 24, 2004 (incorporated by reference to Exhibit 10.7 to the Company’s Annual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Report on Form 10-K for the fiscal year ended October 30, 2011).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1"/>
              </w:rPr>
              <w:t>Amendment to the Employee Stock Purchase Plan as of April 8, 2010 (incorporated by reference to Exhibit 10.42 to the Company's Quarterly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Report on Form 10-Q filed on June 10, 2010).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89"/>
              </w:rPr>
              <w:t>Amendment to the Employee Stock Purchase Plan as of March 28, 2012 (incorporated by reference to the Company's Quarterly Report on Form</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10-Q filed on September 5, 2012).</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ind w:left="140"/>
              <w:spacing w:after="0" w:line="198" w:lineRule="exact"/>
              <w:rPr>
                <w:sz w:val="20"/>
                <w:szCs w:val="20"/>
                <w:color w:val="auto"/>
              </w:rPr>
            </w:pPr>
            <w:r>
              <w:rPr>
                <w:rFonts w:ascii="Arial" w:cs="Arial" w:eastAsia="Arial" w:hAnsi="Arial"/>
                <w:sz w:val="18"/>
                <w:szCs w:val="18"/>
                <w:color w:val="auto"/>
              </w:rPr>
              <w:t>10.10</w:t>
            </w:r>
          </w:p>
        </w:tc>
        <w:tc>
          <w:tcPr>
            <w:tcW w:w="36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1"/>
              </w:rPr>
              <w:t>The Company’s 2007 Long-Term Equity Incentive Plan (incorporated by reference to the Company's Quarterly Report on Form 10-Q filed 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line="226" w:lineRule="exact"/>
              <w:rPr>
                <w:sz w:val="20"/>
                <w:szCs w:val="20"/>
                <w:color w:val="auto"/>
              </w:rPr>
            </w:pPr>
            <w:r>
              <w:rPr>
                <w:rFonts w:ascii="Arial" w:cs="Arial" w:eastAsia="Arial" w:hAnsi="Arial"/>
                <w:sz w:val="18"/>
                <w:szCs w:val="18"/>
                <w:color w:val="auto"/>
              </w:rPr>
              <w:t>September 5, 2012).</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60" w:type="dxa"/>
            <w:vAlign w:val="bottom"/>
            <w:gridSpan w:val="2"/>
          </w:tcPr>
          <w:p>
            <w:pPr>
              <w:ind w:left="448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10.11</w:t>
            </w:r>
          </w:p>
        </w:tc>
        <w:tc>
          <w:tcPr>
            <w:tcW w:w="10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Amendment to the 2007 Long Term Equity Incentive Plan as of April 8, 2010 (incorporated by reference to Exhibit 10.43 to the Company's</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Quarterly Report on Form 10-Q filed on June 10, 2010).</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10.12</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89"/>
              </w:rPr>
              <w:t>Consulting Agreement between the Company and Constantine S. Macricostas, dated July 11, 2005. (incorporated by reference to Exhibit 10.11</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to the Company’s Annual Report on Form 10-K for the fiscal year ended October 30, 2011 filed on January 13, 2012)</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10.13</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89"/>
              </w:rPr>
              <w:t>Amendment No. 1 to the Consulting Agreement between Constantine S. Macricostas and the Company dated November 10, 2008 (incorporated</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by reference to Exhibit 10.11 to the Company’s Annual Report on Form 10K for the fiscal year ended November 2, 2008).</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10.14</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2"/>
              </w:rPr>
              <w:t>Executive Employment Agreement between the Company and Sean T. Smith dated February 20, 2003 (incorporated by reference to Exhibit</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10.12 to the Company's Annual Report on Form 10-K for the fiscal year ended November 1, 2009).</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200"/>
        </w:trPr>
        <w:tc>
          <w:tcPr>
            <w:tcW w:w="86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10.15</w:t>
            </w:r>
          </w:p>
        </w:tc>
        <w:tc>
          <w:tcPr>
            <w:tcW w:w="1056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w w:val="95"/>
              </w:rPr>
              <w:t>Limited Liability Company Operating Agreement of MP Mask Technology Center, LLC between Micron Technology, Inc. ("Micron") and</w:t>
            </w:r>
          </w:p>
        </w:tc>
      </w:tr>
      <w:tr>
        <w:trPr>
          <w:trHeight w:val="210"/>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Photronics, Inc. ("Photronics") dated May 5, 2006. (incorporated by reference to Exhibit 10.14 to the Company’s Annual Report on Form 10-K</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 xml:space="preserve">for the fiscal year ended October 30, 2011) </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10.16</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2"/>
              </w:rPr>
              <w:t>Contribution and Units Purchase Agreement between Micron, Photronics and MP Mask Technology Center, LLC ("MP Mask") dated May 5,</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w w:val="90"/>
              </w:rPr>
              <w:t xml:space="preserve">2006. (incorporated by reference to Exhibit 10.15 to the Company’s Annual Report on Form 10-K for the fiscal year ended October 30, 2011) </w:t>
            </w:r>
            <w:r>
              <w:rPr>
                <w:rFonts w:ascii="Arial" w:cs="Arial" w:eastAsia="Arial" w:hAnsi="Arial"/>
                <w:sz w:val="24"/>
                <w:szCs w:val="24"/>
                <w:color w:val="auto"/>
                <w:w w:val="90"/>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10.17</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0"/>
              </w:rPr>
              <w:t>Technology License Agreement among Micron, Photronics and MP Mask dated May 5, 2006. (incorporated by reference to Exhibit 10.16 to the</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 xml:space="preserve">Company’s Annual Report on Form 10-K for the fiscal year ended October 30, 2011) </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10.18</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0"/>
              </w:rPr>
              <w:t>Photronics to Micron Supply Agreement between Micron and Photronics dated May 5, 2006. (incorporated by reference to Exhibit 10.17 to the</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 xml:space="preserve">Company’s Annual Report on Form 10-K for the fiscal year ended October 30, 2011) </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10.19</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89"/>
              </w:rPr>
              <w:t>Company to Photronics Supply Agreement between MP Mask and Photronics dated May 5, 2006. (incorporated by reference to Exhibit 10.18 to</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 xml:space="preserve">the Company’s Annual Report on Form 10-K for the fiscal year ended October 30, 2011) </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200"/>
        </w:trPr>
        <w:tc>
          <w:tcPr>
            <w:tcW w:w="86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10.20</w:t>
            </w:r>
          </w:p>
        </w:tc>
        <w:tc>
          <w:tcPr>
            <w:tcW w:w="1056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w w:val="89"/>
              </w:rPr>
              <w:t>Special Warranty Deed dated as of February 29, 2012 (incorporated by reference to Exhibit 99.2 to the Company’s Current Report on Form 8-K</w:t>
            </w:r>
          </w:p>
        </w:tc>
      </w:tr>
      <w:tr>
        <w:trPr>
          <w:trHeight w:val="225"/>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filed on March 6, 2012)</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10.21</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89"/>
              </w:rPr>
              <w:t>Executive Employment Agreement between the Company and Soo Hong Jeong dated May 31, 2011 (incorporated by reference to Exhibit 10.40</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 xml:space="preserve">to the Company’s Quarterly Report on Form 10-Q filed on June 8, 2011). </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10.22</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88"/>
              </w:rPr>
              <w:t>Executive Employment Agreement between the Company and Christopher J. Progler, Vice President, Chief Technology Officer dated September</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w w:val="99"/>
              </w:rPr>
              <w:t xml:space="preserve">10, 2007. (incorporated by reference to Exhibit 10.24 to the Company’s Annual Report on Form 10-K filed on January 11, 2008) </w:t>
            </w:r>
            <w:r>
              <w:rPr>
                <w:rFonts w:ascii="Arial" w:cs="Arial" w:eastAsia="Arial" w:hAnsi="Arial"/>
                <w:sz w:val="24"/>
                <w:szCs w:val="24"/>
                <w:color w:val="auto"/>
                <w:w w:val="99"/>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10.23</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1"/>
              </w:rPr>
              <w:t>Executive Employment Agreement between the Company and Peter Kirlin dated May 21, 2010 (incorporated by reference to Exhibit 10.42 of</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the Company's Quarterly Report on Form 10-Q filed on June 10, 2010).</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10.24</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0"/>
              </w:rPr>
              <w:t>Executive Employment Agreement between the Company and Richelle Burr dated May 21, 2010 (incorporated by reference to Exhibit 10.43 of</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the Company's Quarterly Report on Form 10-Q filed on June 10, 2010).</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98"/>
        </w:trPr>
        <w:tc>
          <w:tcPr>
            <w:tcW w:w="860" w:type="dxa"/>
            <w:vAlign w:val="bottom"/>
            <w:shd w:val="clear" w:color="auto" w:fill="CCEEFF"/>
          </w:tcPr>
          <w:p>
            <w:pPr>
              <w:jc w:val="right"/>
              <w:ind w:right="212"/>
              <w:spacing w:after="0" w:line="198" w:lineRule="exact"/>
              <w:rPr>
                <w:sz w:val="20"/>
                <w:szCs w:val="20"/>
                <w:color w:val="auto"/>
              </w:rPr>
            </w:pPr>
            <w:r>
              <w:rPr>
                <w:rFonts w:ascii="Arial" w:cs="Arial" w:eastAsia="Arial" w:hAnsi="Arial"/>
                <w:sz w:val="18"/>
                <w:szCs w:val="18"/>
                <w:color w:val="auto"/>
              </w:rPr>
              <w:t>10.25</w:t>
            </w:r>
          </w:p>
        </w:tc>
        <w:tc>
          <w:tcPr>
            <w:tcW w:w="1056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0"/>
              </w:rPr>
              <w:t>Form of Amendment to Executive Employment Agreement dated March 16, 2012 (incorporated by reference to Exhibit 99.1 to the Company’s</w:t>
            </w:r>
          </w:p>
        </w:tc>
      </w:tr>
      <w:tr>
        <w:trPr>
          <w:trHeight w:val="226"/>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Current Report on Form 8-K filed on March 16, 2012).</w:t>
            </w:r>
            <w:r>
              <w:rPr>
                <w:rFonts w:ascii="Arial" w:cs="Arial" w:eastAsia="Arial" w:hAnsi="Arial"/>
                <w:sz w:val="24"/>
                <w:szCs w:val="24"/>
                <w:color w:val="auto"/>
                <w:vertAlign w:val="superscript"/>
              </w:rPr>
              <w:t>+</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200"/>
        </w:trPr>
        <w:tc>
          <w:tcPr>
            <w:tcW w:w="86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10.26</w:t>
            </w:r>
          </w:p>
        </w:tc>
        <w:tc>
          <w:tcPr>
            <w:tcW w:w="1056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w w:val="93"/>
              </w:rPr>
              <w:t>Second Amended and Restated Credit Agreement dated as of March 2, 2012 (incorporated by reference to Exhibit 99.1 to the Company's</w:t>
            </w:r>
          </w:p>
        </w:tc>
      </w:tr>
      <w:tr>
        <w:trPr>
          <w:trHeight w:val="225"/>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Report on Form 8-K filed on March 6, 2012).</w:t>
            </w:r>
          </w:p>
        </w:tc>
      </w:tr>
      <w:tr>
        <w:trPr>
          <w:trHeight w:val="212"/>
        </w:trPr>
        <w:tc>
          <w:tcPr>
            <w:tcW w:w="86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200"/>
        </w:trPr>
        <w:tc>
          <w:tcPr>
            <w:tcW w:w="86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10.27</w:t>
            </w:r>
          </w:p>
        </w:tc>
        <w:tc>
          <w:tcPr>
            <w:tcW w:w="10560" w:type="dxa"/>
            <w:vAlign w:val="bottom"/>
            <w:shd w:val="clear" w:color="auto" w:fill="CCEEFF"/>
          </w:tcPr>
          <w:p>
            <w:pPr>
              <w:ind w:left="300"/>
              <w:spacing w:after="0" w:line="200" w:lineRule="exact"/>
              <w:rPr>
                <w:sz w:val="20"/>
                <w:szCs w:val="20"/>
                <w:color w:val="auto"/>
              </w:rPr>
            </w:pPr>
            <w:r>
              <w:rPr>
                <w:rFonts w:ascii="Arial" w:cs="Arial" w:eastAsia="Arial" w:hAnsi="Arial"/>
                <w:sz w:val="18"/>
                <w:szCs w:val="18"/>
                <w:color w:val="auto"/>
                <w:w w:val="90"/>
              </w:rPr>
              <w:t>Security Agreement dated December 12, 2008 by and among the Company, the subsidiaries of the Company listed on the signature page and</w:t>
            </w:r>
          </w:p>
        </w:tc>
      </w:tr>
      <w:tr>
        <w:trPr>
          <w:trHeight w:val="212"/>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JPMorgan Chase Bank National Association (incorporated by reference to Exhibit 10.38 to the Company’s Quarterly Report on Form 10Q for</w:t>
            </w:r>
          </w:p>
        </w:tc>
      </w:tr>
      <w:tr>
        <w:trPr>
          <w:trHeight w:val="225"/>
        </w:trPr>
        <w:tc>
          <w:tcPr>
            <w:tcW w:w="860" w:type="dxa"/>
            <w:vAlign w:val="bottom"/>
            <w:shd w:val="clear" w:color="auto" w:fill="CCEEFF"/>
          </w:tcPr>
          <w:p>
            <w:pPr>
              <w:spacing w:after="0"/>
              <w:rPr>
                <w:sz w:val="19"/>
                <w:szCs w:val="19"/>
                <w:color w:val="auto"/>
              </w:rPr>
            </w:pPr>
          </w:p>
        </w:tc>
        <w:tc>
          <w:tcPr>
            <w:tcW w:w="10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quarterly period ended May 3, 2009).</w:t>
            </w:r>
          </w:p>
        </w:tc>
      </w:tr>
    </w:tbl>
    <w:p>
      <w:pPr>
        <w:spacing w:after="0" w:line="200" w:lineRule="exact"/>
        <w:rPr>
          <w:sz w:val="20"/>
          <w:szCs w:val="20"/>
          <w:color w:val="auto"/>
        </w:rPr>
      </w:pPr>
    </w:p>
    <w:p>
      <w:pPr>
        <w:ind w:left="1160" w:hanging="995"/>
        <w:spacing w:after="0"/>
        <w:tabs>
          <w:tab w:leader="none" w:pos="116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97" w:lineRule="exact"/>
        <w:rPr>
          <w:sz w:val="20"/>
          <w:szCs w:val="20"/>
          <w:color w:val="auto"/>
        </w:rPr>
      </w:pPr>
    </w:p>
    <w:p>
      <w:pPr>
        <w:ind w:left="1160" w:hanging="995"/>
        <w:spacing w:after="0"/>
        <w:tabs>
          <w:tab w:leader="none" w:pos="116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jc w:val="center"/>
              <w:ind w:right="300"/>
              <w:spacing w:after="0" w:line="172"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050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jc w:val="center"/>
              <w:ind w:right="300"/>
              <w:spacing w:after="0" w:line="172"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1050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jc w:val="center"/>
              <w:ind w:right="300"/>
              <w:spacing w:after="0" w:line="172"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1050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7"/>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7"/>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2"/>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5"/>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160" w:hanging="995"/>
        <w:spacing w:after="0"/>
        <w:tabs>
          <w:tab w:leader="none" w:pos="11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Represents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49160"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81" w:lineRule="exact"/>
        <w:rPr>
          <w:sz w:val="20"/>
          <w:szCs w:val="20"/>
          <w:color w:val="auto"/>
        </w:rPr>
      </w:pPr>
    </w:p>
    <w:p>
      <w:pPr>
        <w:ind w:left="1160" w:hanging="995"/>
        <w:spacing w:after="0"/>
        <w:tabs>
          <w:tab w:leader="none" w:pos="11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a request for confidential treatment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4916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232" w:lineRule="exact"/>
        <w:rPr>
          <w:sz w:val="20"/>
          <w:szCs w:val="20"/>
          <w:color w:val="auto"/>
        </w:rPr>
      </w:pPr>
    </w:p>
    <w:p>
      <w:pPr>
        <w:ind w:left="1160" w:hanging="99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217" w:lineRule="exact"/>
        <w:rPr>
          <w:rFonts w:ascii="Arial" w:cs="Arial" w:eastAsia="Arial" w:hAnsi="Arial"/>
          <w:sz w:val="18"/>
          <w:szCs w:val="18"/>
          <w:color w:val="auto"/>
        </w:rPr>
      </w:pPr>
    </w:p>
    <w:p>
      <w:pPr>
        <w:ind w:left="1160" w:right="420"/>
        <w:spacing w:after="0" w:line="294" w:lineRule="auto"/>
        <w:rPr>
          <w:rFonts w:ascii="Arial" w:cs="Arial" w:eastAsia="Arial" w:hAnsi="Arial"/>
          <w:sz w:val="18"/>
          <w:szCs w:val="18"/>
          <w:color w:val="auto"/>
        </w:rPr>
      </w:pPr>
      <w:r>
        <w:rPr>
          <w:rFonts w:ascii="Arial" w:cs="Arial" w:eastAsia="Arial" w:hAnsi="Arial"/>
          <w:sz w:val="17"/>
          <w:szCs w:val="17"/>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-565150</wp:posOffset>
            </wp:positionV>
            <wp:extent cx="7249160" cy="134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-295910</wp:posOffset>
            </wp:positionV>
            <wp:extent cx="7249160" cy="269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9160" cy="26924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2">
        <w:r>
          <w:rPr>
            <w:rFonts w:ascii="Arial" w:cs="Arial" w:eastAsia="Arial" w:hAnsi="Arial"/>
            <w:sz w:val="14"/>
            <w:szCs w:val="14"/>
            <w:i w:val="1"/>
            <w:iCs w:val="1"/>
            <w:u w:val="single" w:color="auto"/>
            <w:color w:val="0000EE"/>
          </w:rPr>
          <w:t>Index</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380" w:firstLine="318"/>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PHOTRONICS, INC.</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(Registrant)</w:t>
      </w:r>
    </w:p>
    <w:p>
      <w:pPr>
        <w:spacing w:after="0" w:line="206" w:lineRule="exact"/>
        <w:rPr>
          <w:sz w:val="20"/>
          <w:szCs w:val="20"/>
          <w:color w:val="auto"/>
        </w:rPr>
      </w:pPr>
    </w:p>
    <w:p>
      <w:pPr>
        <w:spacing w:after="0"/>
        <w:tabs>
          <w:tab w:leader="none" w:pos="460" w:val="left"/>
          <w:tab w:leader="none" w:pos="5700" w:val="left"/>
        </w:tabs>
        <w:rPr>
          <w:sz w:val="20"/>
          <w:szCs w:val="20"/>
          <w:color w:val="auto"/>
        </w:rPr>
      </w:pPr>
      <w:r>
        <w:rPr>
          <w:rFonts w:ascii="Arial" w:cs="Arial" w:eastAsia="Arial" w:hAnsi="Arial"/>
          <w:sz w:val="18"/>
          <w:szCs w:val="18"/>
          <w:color w:val="auto"/>
        </w:rPr>
        <w:t>By</w:t>
        <w:tab/>
        <w:t>/s/ SEAN T. SMITH</w:t>
      </w:r>
      <w:r>
        <w:rPr>
          <w:sz w:val="20"/>
          <w:szCs w:val="20"/>
          <w:color w:val="auto"/>
        </w:rPr>
        <w:tab/>
      </w:r>
      <w:r>
        <w:rPr>
          <w:rFonts w:ascii="Arial" w:cs="Arial" w:eastAsia="Arial" w:hAnsi="Arial"/>
          <w:sz w:val="15"/>
          <w:szCs w:val="15"/>
          <w:color w:val="auto"/>
        </w:rPr>
        <w:t>January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11430</wp:posOffset>
            </wp:positionV>
            <wp:extent cx="304800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48000" cy="17145"/>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Sean T. Smith</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Senior Vice President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Accounting Officer/</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Officer)</w:t>
      </w:r>
    </w:p>
    <w:p>
      <w:pPr>
        <w:spacing w:after="0" w:line="206"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Constantine S. Macricostas</w:t>
            </w:r>
          </w:p>
        </w:tc>
        <w:tc>
          <w:tcPr>
            <w:tcW w:w="618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Chairman of the Board</w:t>
            </w:r>
          </w:p>
        </w:tc>
        <w:tc>
          <w:tcPr>
            <w:tcW w:w="618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80" w:type="dxa"/>
            <w:vAlign w:val="bottom"/>
          </w:tcPr>
          <w:p>
            <w:pPr>
              <w:spacing w:after="0"/>
              <w:rPr>
                <w:sz w:val="18"/>
                <w:szCs w:val="18"/>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180" w:type="dxa"/>
            <w:vAlign w:val="bottom"/>
          </w:tcPr>
          <w:p>
            <w:pPr>
              <w:spacing w:after="0"/>
              <w:rPr>
                <w:sz w:val="19"/>
                <w:szCs w:val="19"/>
                <w:color w:val="auto"/>
              </w:rPr>
            </w:pPr>
          </w:p>
        </w:tc>
      </w:tr>
      <w:tr>
        <w:trPr>
          <w:trHeight w:val="45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T. SMITH</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Sean T. Smith</w:t>
            </w:r>
          </w:p>
        </w:tc>
        <w:tc>
          <w:tcPr>
            <w:tcW w:w="618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w:t>
            </w:r>
          </w:p>
        </w:tc>
        <w:tc>
          <w:tcPr>
            <w:tcW w:w="618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18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6180" w:type="dxa"/>
            <w:vAlign w:val="bottom"/>
          </w:tcPr>
          <w:p>
            <w:pPr>
              <w:spacing w:after="0"/>
              <w:rPr>
                <w:sz w:val="18"/>
                <w:szCs w:val="18"/>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6180" w:type="dxa"/>
            <w:vAlign w:val="bottom"/>
          </w:tcPr>
          <w:p>
            <w:pPr>
              <w:spacing w:after="0"/>
              <w:rPr>
                <w:sz w:val="19"/>
                <w:szCs w:val="19"/>
                <w:color w:val="auto"/>
              </w:rPr>
            </w:pPr>
          </w:p>
        </w:tc>
      </w:tr>
      <w:tr>
        <w:trPr>
          <w:trHeight w:val="45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Walter M. Fiederowicz</w:t>
            </w:r>
          </w:p>
        </w:tc>
        <w:tc>
          <w:tcPr>
            <w:tcW w:w="61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6180" w:type="dxa"/>
            <w:vAlign w:val="bottom"/>
          </w:tcPr>
          <w:p>
            <w:pPr>
              <w:spacing w:after="0"/>
              <w:rPr>
                <w:sz w:val="19"/>
                <w:szCs w:val="19"/>
                <w:color w:val="auto"/>
              </w:rPr>
            </w:pPr>
          </w:p>
        </w:tc>
      </w:tr>
      <w:tr>
        <w:trPr>
          <w:trHeight w:val="45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Joseph A. Fiorita, Jr.</w:t>
            </w:r>
          </w:p>
        </w:tc>
        <w:tc>
          <w:tcPr>
            <w:tcW w:w="61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6180" w:type="dxa"/>
            <w:vAlign w:val="bottom"/>
          </w:tcPr>
          <w:p>
            <w:pPr>
              <w:spacing w:after="0"/>
              <w:rPr>
                <w:sz w:val="19"/>
                <w:szCs w:val="19"/>
                <w:color w:val="auto"/>
              </w:rPr>
            </w:pPr>
          </w:p>
        </w:tc>
      </w:tr>
      <w:tr>
        <w:trPr>
          <w:trHeight w:val="45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Liang-Choo Hsia</w:t>
            </w:r>
          </w:p>
        </w:tc>
        <w:tc>
          <w:tcPr>
            <w:tcW w:w="61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6180" w:type="dxa"/>
            <w:vAlign w:val="bottom"/>
          </w:tcPr>
          <w:p>
            <w:pPr>
              <w:spacing w:after="0"/>
              <w:rPr>
                <w:sz w:val="19"/>
                <w:szCs w:val="19"/>
                <w:color w:val="auto"/>
              </w:rPr>
            </w:pPr>
          </w:p>
        </w:tc>
      </w:tr>
      <w:tr>
        <w:trPr>
          <w:trHeight w:val="45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George Macricostas</w:t>
            </w:r>
          </w:p>
        </w:tc>
        <w:tc>
          <w:tcPr>
            <w:tcW w:w="61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6180" w:type="dxa"/>
            <w:vAlign w:val="bottom"/>
          </w:tcPr>
          <w:p>
            <w:pPr>
              <w:spacing w:after="0"/>
              <w:rPr>
                <w:sz w:val="19"/>
                <w:szCs w:val="19"/>
                <w:color w:val="auto"/>
              </w:rPr>
            </w:pPr>
          </w:p>
        </w:tc>
      </w:tr>
      <w:tr>
        <w:trPr>
          <w:trHeight w:val="45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6180" w:type="dxa"/>
            <w:vAlign w:val="bottom"/>
          </w:tcPr>
          <w:p>
            <w:pPr>
              <w:ind w:left="460"/>
              <w:spacing w:after="0"/>
              <w:rPr>
                <w:sz w:val="20"/>
                <w:szCs w:val="20"/>
                <w:color w:val="auto"/>
              </w:rPr>
            </w:pPr>
            <w:r>
              <w:rPr>
                <w:rFonts w:ascii="Arial" w:cs="Arial" w:eastAsia="Arial" w:hAnsi="Arial"/>
                <w:sz w:val="18"/>
                <w:szCs w:val="18"/>
                <w:color w:val="auto"/>
              </w:rPr>
              <w:t>January 9, 2013</w:t>
            </w:r>
          </w:p>
        </w:tc>
      </w:tr>
      <w:tr>
        <w:trPr>
          <w:trHeight w:val="200"/>
        </w:trPr>
        <w:tc>
          <w:tcPr>
            <w:tcW w:w="480" w:type="dxa"/>
            <w:vAlign w:val="bottom"/>
          </w:tcPr>
          <w:p>
            <w:pPr>
              <w:spacing w:after="0"/>
              <w:rPr>
                <w:sz w:val="17"/>
                <w:szCs w:val="17"/>
                <w:color w:val="auto"/>
              </w:rPr>
            </w:pPr>
          </w:p>
        </w:tc>
        <w:tc>
          <w:tcPr>
            <w:tcW w:w="4780" w:type="dxa"/>
            <w:vAlign w:val="bottom"/>
          </w:tcPr>
          <w:p>
            <w:pPr>
              <w:spacing w:after="0" w:line="200" w:lineRule="exact"/>
              <w:rPr>
                <w:sz w:val="20"/>
                <w:szCs w:val="20"/>
                <w:color w:val="auto"/>
              </w:rPr>
            </w:pPr>
            <w:r>
              <w:rPr>
                <w:rFonts w:ascii="Arial" w:cs="Arial" w:eastAsia="Arial" w:hAnsi="Arial"/>
                <w:sz w:val="18"/>
                <w:szCs w:val="18"/>
                <w:color w:val="auto"/>
              </w:rPr>
              <w:t>Mitchell G. Tyson</w:t>
            </w:r>
          </w:p>
        </w:tc>
        <w:tc>
          <w:tcPr>
            <w:tcW w:w="618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6180" w:type="dxa"/>
            <w:vAlign w:val="bottom"/>
          </w:tcPr>
          <w:p>
            <w:pPr>
              <w:spacing w:after="0"/>
              <w:rPr>
                <w:sz w:val="19"/>
                <w:szCs w:val="19"/>
                <w:color w:val="auto"/>
              </w:rPr>
            </w:pPr>
          </w:p>
        </w:tc>
      </w:tr>
      <w:tr>
        <w:trPr>
          <w:trHeight w:val="547"/>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80" w:type="dxa"/>
            <w:vAlign w:val="bottom"/>
          </w:tcPr>
          <w:p>
            <w:pPr>
              <w:ind w:left="380"/>
              <w:spacing w:after="0"/>
              <w:rPr>
                <w:sz w:val="20"/>
                <w:szCs w:val="20"/>
                <w:color w:val="auto"/>
              </w:rPr>
            </w:pPr>
            <w:r>
              <w:rPr>
                <w:rFonts w:ascii="Arial" w:cs="Arial" w:eastAsia="Arial" w:hAnsi="Arial"/>
                <w:sz w:val="14"/>
                <w:szCs w:val="14"/>
                <w:color w:val="auto"/>
              </w:rPr>
              <w:t>70</w:t>
            </w:r>
          </w:p>
        </w:tc>
      </w:tr>
      <w:tr>
        <w:trPr>
          <w:trHeight w:val="100"/>
        </w:trPr>
        <w:tc>
          <w:tcPr>
            <w:tcW w:w="480" w:type="dxa"/>
            <w:vAlign w:val="bottom"/>
            <w:tcBorders>
              <w:bottom w:val="single" w:sz="8" w:color="808080"/>
            </w:tcBorders>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c>
          <w:tcPr>
            <w:tcW w:w="6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9"/>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Exhibit 21</w:t>
            </w:r>
          </w:p>
        </w:tc>
        <w:tc>
          <w:tcPr>
            <w:tcW w:w="7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40" w:type="dxa"/>
            <w:vAlign w:val="bottom"/>
          </w:tcPr>
          <w:p>
            <w:pPr>
              <w:ind w:left="320"/>
              <w:spacing w:after="0"/>
              <w:rPr>
                <w:sz w:val="20"/>
                <w:szCs w:val="20"/>
                <w:color w:val="auto"/>
              </w:rPr>
            </w:pPr>
            <w:r>
              <w:rPr>
                <w:rFonts w:ascii="Arial" w:cs="Arial" w:eastAsia="Arial" w:hAnsi="Arial"/>
                <w:sz w:val="18"/>
                <w:szCs w:val="18"/>
                <w:b w:val="1"/>
                <w:bCs w:val="1"/>
                <w:color w:val="auto"/>
              </w:rPr>
              <w:t>SUBSIDIARIES OF PHOTRONICS, INC.</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40" w:type="dxa"/>
            <w:vAlign w:val="bottom"/>
          </w:tcPr>
          <w:p>
            <w:pPr>
              <w:ind w:left="5500"/>
              <w:spacing w:after="0"/>
              <w:rPr>
                <w:sz w:val="20"/>
                <w:szCs w:val="20"/>
                <w:color w:val="auto"/>
              </w:rPr>
            </w:pPr>
            <w:r>
              <w:rPr>
                <w:rFonts w:ascii="Arial" w:cs="Arial" w:eastAsia="Arial" w:hAnsi="Arial"/>
                <w:sz w:val="18"/>
                <w:szCs w:val="18"/>
                <w:color w:val="auto"/>
              </w:rPr>
              <w:t>State or Jurisdiction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640" w:type="dxa"/>
            <w:vAlign w:val="bottom"/>
          </w:tcPr>
          <w:p>
            <w:pPr>
              <w:ind w:left="5060"/>
              <w:spacing w:after="0"/>
              <w:rPr>
                <w:sz w:val="20"/>
                <w:szCs w:val="20"/>
                <w:color w:val="auto"/>
              </w:rPr>
            </w:pPr>
            <w:r>
              <w:rPr>
                <w:rFonts w:ascii="Arial" w:cs="Arial" w:eastAsia="Arial" w:hAnsi="Arial"/>
                <w:sz w:val="18"/>
                <w:szCs w:val="18"/>
                <w:color w:val="auto"/>
              </w:rPr>
              <w:t>of Incorporation or Organization</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Align-Rite International, Inc.</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(California,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Align-Rite, Inc.</w:t>
            </w:r>
          </w:p>
        </w:tc>
        <w:tc>
          <w:tcPr>
            <w:tcW w:w="7640" w:type="dxa"/>
            <w:vAlign w:val="bottom"/>
          </w:tcPr>
          <w:p>
            <w:pPr>
              <w:ind w:left="5100"/>
              <w:spacing w:after="0"/>
              <w:rPr>
                <w:sz w:val="20"/>
                <w:szCs w:val="20"/>
                <w:color w:val="auto"/>
              </w:rPr>
            </w:pPr>
            <w:r>
              <w:rPr>
                <w:rFonts w:ascii="Arial" w:cs="Arial" w:eastAsia="Arial" w:hAnsi="Arial"/>
                <w:sz w:val="18"/>
                <w:szCs w:val="18"/>
                <w:color w:val="auto"/>
              </w:rPr>
              <w:t>(Florida,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Align-Rite International, Ltd.</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Photronics (Wales) Limited</w:t>
            </w:r>
          </w:p>
        </w:tc>
        <w:tc>
          <w:tcPr>
            <w:tcW w:w="7640" w:type="dxa"/>
            <w:vAlign w:val="bottom"/>
          </w:tcPr>
          <w:p>
            <w:pPr>
              <w:ind w:left="5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Photronics, B.V.</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Photronics Arizona, Inc.</w:t>
            </w:r>
          </w:p>
        </w:tc>
        <w:tc>
          <w:tcPr>
            <w:tcW w:w="7640" w:type="dxa"/>
            <w:vAlign w:val="bottom"/>
          </w:tcPr>
          <w:p>
            <w:pPr>
              <w:ind w:left="5100"/>
              <w:spacing w:after="0"/>
              <w:rPr>
                <w:sz w:val="20"/>
                <w:szCs w:val="20"/>
                <w:color w:val="auto"/>
              </w:rPr>
            </w:pPr>
            <w:r>
              <w:rPr>
                <w:rFonts w:ascii="Arial" w:cs="Arial" w:eastAsia="Arial" w:hAnsi="Arial"/>
                <w:sz w:val="18"/>
                <w:szCs w:val="18"/>
                <w:color w:val="auto"/>
              </w:rPr>
              <w:t>(Arizona,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Photronics California, Inc.</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(California,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Photronics Idaho, Inc.</w:t>
            </w:r>
          </w:p>
        </w:tc>
        <w:tc>
          <w:tcPr>
            <w:tcW w:w="7640" w:type="dxa"/>
            <w:vAlign w:val="bottom"/>
          </w:tcPr>
          <w:p>
            <w:pPr>
              <w:ind w:left="5100"/>
              <w:spacing w:after="0"/>
              <w:rPr>
                <w:sz w:val="20"/>
                <w:szCs w:val="20"/>
                <w:color w:val="auto"/>
              </w:rPr>
            </w:pPr>
            <w:r>
              <w:rPr>
                <w:rFonts w:ascii="Arial" w:cs="Arial" w:eastAsia="Arial" w:hAnsi="Arial"/>
                <w:sz w:val="18"/>
                <w:szCs w:val="18"/>
                <w:color w:val="auto"/>
              </w:rPr>
              <w:t>(Idaho,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Photronics Texas, Inc.</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Photronics Texas I, LLC</w:t>
            </w:r>
          </w:p>
        </w:tc>
        <w:tc>
          <w:tcPr>
            <w:tcW w:w="7640" w:type="dxa"/>
            <w:vAlign w:val="bottom"/>
          </w:tcPr>
          <w:p>
            <w:pPr>
              <w:ind w:left="5100"/>
              <w:spacing w:after="0"/>
              <w:rPr>
                <w:sz w:val="20"/>
                <w:szCs w:val="20"/>
                <w:color w:val="auto"/>
              </w:rPr>
            </w:pPr>
            <w:r>
              <w:rPr>
                <w:rFonts w:ascii="Arial" w:cs="Arial" w:eastAsia="Arial" w:hAnsi="Arial"/>
                <w:sz w:val="18"/>
                <w:szCs w:val="18"/>
                <w:color w:val="auto"/>
              </w:rPr>
              <w:t>(Delaware,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Photronics Texas I, LP (1)</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Photronics Texas Allen, Inc.</w:t>
            </w:r>
          </w:p>
        </w:tc>
        <w:tc>
          <w:tcPr>
            <w:tcW w:w="7640" w:type="dxa"/>
            <w:vAlign w:val="bottom"/>
          </w:tcPr>
          <w:p>
            <w:pPr>
              <w:ind w:left="510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Photronics Texas II, LLC</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(Delaware,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Photronics Texas II, LP (2)</w:t>
            </w:r>
          </w:p>
        </w:tc>
        <w:tc>
          <w:tcPr>
            <w:tcW w:w="7640" w:type="dxa"/>
            <w:vAlign w:val="bottom"/>
          </w:tcPr>
          <w:p>
            <w:pPr>
              <w:ind w:left="510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Photronics MZD, GmbH</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Photronics Semiconductor Mask Corporation (3)</w:t>
            </w:r>
          </w:p>
        </w:tc>
        <w:tc>
          <w:tcPr>
            <w:tcW w:w="7640" w:type="dxa"/>
            <w:vAlign w:val="bottom"/>
          </w:tcPr>
          <w:p>
            <w:pPr>
              <w:ind w:left="510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Photronics Switzerland, S.a.r.L</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Photronics Singapore Pte, Ltd.</w:t>
            </w:r>
          </w:p>
        </w:tc>
        <w:tc>
          <w:tcPr>
            <w:tcW w:w="7640" w:type="dxa"/>
            <w:vAlign w:val="bottom"/>
          </w:tcPr>
          <w:p>
            <w:pPr>
              <w:ind w:left="51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Photronics UK, Ltd.</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Photronics France SAS (4)</w:t>
            </w:r>
          </w:p>
        </w:tc>
        <w:tc>
          <w:tcPr>
            <w:tcW w:w="7640" w:type="dxa"/>
            <w:vAlign w:val="bottom"/>
          </w:tcPr>
          <w:p>
            <w:pPr>
              <w:ind w:left="510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PK, Ltd. (5)</w:t>
            </w:r>
          </w:p>
        </w:tc>
        <w:tc>
          <w:tcPr>
            <w:tcW w:w="76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PKLT</w:t>
            </w:r>
          </w:p>
        </w:tc>
        <w:tc>
          <w:tcPr>
            <w:tcW w:w="7640" w:type="dxa"/>
            <w:vAlign w:val="bottom"/>
          </w:tcPr>
          <w:p>
            <w:pPr>
              <w:ind w:left="510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Trianja Technologies, Inc.</w:t>
            </w:r>
          </w:p>
        </w:tc>
        <w:tc>
          <w:tcPr>
            <w:tcW w:w="7640" w:type="dxa"/>
            <w:vAlign w:val="bottom"/>
            <w:tcBorders>
              <w:bottom w:val="single" w:sz="8" w:color="auto"/>
            </w:tcBorders>
            <w:shd w:val="clear" w:color="auto" w:fill="CCEEFF"/>
          </w:tcPr>
          <w:p>
            <w:pPr>
              <w:ind w:left="510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bl>
    <w:p>
      <w:pPr>
        <w:ind w:right="44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0115" cy="35560"/>
                    </a:xfrm>
                    <a:prstGeom prst="rect">
                      <a:avLst/>
                    </a:prstGeom>
                    <a:noFill/>
                  </pic:spPr>
                </pic:pic>
              </a:graphicData>
            </a:graphic>
          </wp:anchor>
        </w:drawing>
        <w:t>Note: Entities directly owned by subsidiaries of Photronics, Inc. are indented and listed below their immediate parent. Ownership is 100% unless otherwise indicated.</w:t>
      </w:r>
    </w:p>
    <w:p>
      <w:pPr>
        <w:spacing w:after="0" w:line="219" w:lineRule="exact"/>
        <w:rPr>
          <w:sz w:val="20"/>
          <w:szCs w:val="20"/>
          <w:color w:val="auto"/>
        </w:rPr>
      </w:pPr>
    </w:p>
    <w:p>
      <w:pPr>
        <w:ind w:left="320" w:right="840" w:hanging="314"/>
        <w:spacing w:after="0" w:line="252"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99.0% owned by Photronics Texas I, LLC, and 1.0% owned by Photronics Texas, Inc. (directly and indirectly, in the aggregate, wholly owned by Photronics, Inc.).</w:t>
      </w:r>
    </w:p>
    <w:p>
      <w:pPr>
        <w:ind w:left="320" w:right="300" w:hanging="314"/>
        <w:spacing w:after="0" w:line="245"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99.0% owned by Photronics Texas II, LLC., and 1.0% owned by Photronics Texas Allen, Inc. (directly and indirectly, in the aggregate, wholly owned by Photronics, Inc.).</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75.11% owned by Photronics, Inc.</w:t>
      </w:r>
    </w:p>
    <w:p>
      <w:pPr>
        <w:spacing w:after="0" w:line="5" w:lineRule="exact"/>
        <w:rPr>
          <w:rFonts w:ascii="Arial" w:cs="Arial" w:eastAsia="Arial" w:hAnsi="Arial"/>
          <w:sz w:val="18"/>
          <w:szCs w:val="18"/>
          <w:color w:val="auto"/>
        </w:rPr>
      </w:pPr>
    </w:p>
    <w:p>
      <w:pPr>
        <w:ind w:left="320" w:right="360" w:hanging="314"/>
        <w:spacing w:after="0" w:line="245"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99% owned by Photronics UK, Ltd., and 1% owned by Photronics MZD, GmbH (directly and indirectly, in the aggregate, wholly owned by Photronics, Inc.).</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 xml:space="preserve">We consent to the incorporation by reference in Registration Statement Nos. 333-160235 and 333-161857 on Form S-3 and Registration Statement Nos. 333-169296, 333-169295, 333-02245, 333-42010, 333-50809, 333-86846, 333-78102 and 333-151763 on Form S-8 of our reports dated January 9, 2013, relating to the consolidated financial statements (which report expresses an unqualified opinion on the financial statements and includes an explanatory paragraph relating to the Company's adoption of Financial Accounting Standards Board Accounting Standards Update No. 2011-05,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xml:space="preserve"> and financial statement schedule of Photronics, Inc. and subsidiaries and the effectiveness of Photronics, Inc. and its subsidiaries' internal control over financial reporting appearing in this Annual Report on Form 10-K of Photronics, Inc. and its subsidiaries for the year ended October 28,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00"/>
          </w:cols>
          <w:pgMar w:left="240" w:top="280"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31.1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44"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43" w:lineRule="exact"/>
        <w:rPr>
          <w:rFonts w:ascii="Arial" w:cs="Arial" w:eastAsia="Arial" w:hAnsi="Arial"/>
          <w:sz w:val="18"/>
          <w:szCs w:val="18"/>
          <w:color w:val="auto"/>
        </w:rPr>
      </w:pPr>
    </w:p>
    <w:p>
      <w:pPr>
        <w:ind w:left="640" w:hanging="634"/>
        <w:spacing w:after="0" w:line="366"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640" w:right="440" w:hanging="634"/>
        <w:spacing w:after="0" w:line="294"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60" w:hanging="634"/>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jc w:val="both"/>
        <w:ind w:left="1280" w:right="140" w:hanging="638"/>
        <w:spacing w:after="0" w:line="255"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400" w:hanging="638"/>
        <w:spacing w:after="0" w:line="255"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right="60" w:hanging="638"/>
        <w:spacing w:after="0" w:line="366" w:lineRule="auto"/>
        <w:tabs>
          <w:tab w:leader="none" w:pos="12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36" w:lineRule="exact"/>
        <w:rPr>
          <w:rFonts w:ascii="Arial" w:cs="Arial" w:eastAsia="Arial" w:hAnsi="Arial"/>
          <w:sz w:val="15"/>
          <w:szCs w:val="15"/>
          <w:color w:val="auto"/>
        </w:rPr>
      </w:pPr>
    </w:p>
    <w:p>
      <w:pPr>
        <w:ind w:left="1280" w:right="160" w:hanging="638"/>
        <w:spacing w:after="0" w:line="255"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380" w:hanging="634"/>
        <w:spacing w:after="0" w:line="366"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1280" w:right="40" w:hanging="638"/>
        <w:spacing w:after="0" w:line="294" w:lineRule="auto"/>
        <w:tabs>
          <w:tab w:leader="none" w:pos="12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280" w:right="20" w:hanging="638"/>
        <w:spacing w:after="0" w:line="265"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6290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90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January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31.2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44"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43" w:lineRule="exact"/>
        <w:rPr>
          <w:rFonts w:ascii="Arial" w:cs="Arial" w:eastAsia="Arial" w:hAnsi="Arial"/>
          <w:sz w:val="18"/>
          <w:szCs w:val="18"/>
          <w:color w:val="auto"/>
        </w:rPr>
      </w:pPr>
    </w:p>
    <w:p>
      <w:pPr>
        <w:ind w:left="640" w:hanging="634"/>
        <w:spacing w:after="0" w:line="366"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640" w:right="440" w:hanging="634"/>
        <w:spacing w:after="0" w:line="294"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60" w:hanging="634"/>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jc w:val="both"/>
        <w:ind w:left="1280" w:right="140" w:hanging="638"/>
        <w:spacing w:after="0" w:line="255" w:lineRule="auto"/>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400" w:hanging="638"/>
        <w:spacing w:after="0" w:line="255" w:lineRule="auto"/>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right="60" w:hanging="638"/>
        <w:spacing w:after="0" w:line="366" w:lineRule="auto"/>
        <w:tabs>
          <w:tab w:leader="none" w:pos="12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36" w:lineRule="exact"/>
        <w:rPr>
          <w:rFonts w:ascii="Arial" w:cs="Arial" w:eastAsia="Arial" w:hAnsi="Arial"/>
          <w:sz w:val="15"/>
          <w:szCs w:val="15"/>
          <w:color w:val="auto"/>
        </w:rPr>
      </w:pPr>
    </w:p>
    <w:p>
      <w:pPr>
        <w:ind w:left="1280" w:right="160" w:hanging="638"/>
        <w:spacing w:after="0" w:line="255" w:lineRule="auto"/>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380" w:hanging="634"/>
        <w:spacing w:after="0" w:line="366"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1280" w:right="40" w:hanging="638"/>
        <w:spacing w:after="0" w:line="294" w:lineRule="auto"/>
        <w:tabs>
          <w:tab w:leader="none" w:pos="12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280" w:right="20" w:hanging="638"/>
        <w:spacing w:after="0" w:line="265" w:lineRule="auto"/>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6290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290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January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206" w:lineRule="exact"/>
        <w:rPr>
          <w:sz w:val="20"/>
          <w:szCs w:val="20"/>
          <w:color w:val="auto"/>
        </w:rPr>
      </w:pPr>
    </w:p>
    <w:p>
      <w:pPr>
        <w:ind w:left="1280" w:right="20" w:hanging="1274"/>
        <w:spacing w:after="0" w:line="265"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28, 2012 (the "Report") fully complies with the requirements of Section 13(a) or 15(d) of the Securities Exchange Act of 1934; and</w:t>
      </w:r>
    </w:p>
    <w:p>
      <w:pPr>
        <w:spacing w:after="0" w:line="205" w:lineRule="exact"/>
        <w:rPr>
          <w:rFonts w:ascii="Arial" w:cs="Arial" w:eastAsia="Arial" w:hAnsi="Arial"/>
          <w:sz w:val="18"/>
          <w:szCs w:val="18"/>
          <w:color w:val="auto"/>
        </w:rPr>
      </w:pPr>
    </w:p>
    <w:p>
      <w:pPr>
        <w:ind w:left="1280" w:right="600" w:hanging="1274"/>
        <w:spacing w:after="0" w:line="265"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6290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90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January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I, Sean T. Smith, Chief Financial Officer of Photronics, Inc. (the "Company"), certify, pursuant to Section 906 of the Sarbanes-Oxley Act of 2002, 18 U.S.C.</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2" w:lineRule="exact"/>
        <w:rPr>
          <w:sz w:val="20"/>
          <w:szCs w:val="20"/>
          <w:color w:val="auto"/>
        </w:rPr>
      </w:pPr>
    </w:p>
    <w:p>
      <w:pPr>
        <w:ind w:left="1280" w:hanging="1274"/>
        <w:spacing w:after="0" w:line="265"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28, 2012 (the "Report") fully complies with the requirements of Section 13(a) or 15(d) of the Securities Exchange Act of 1934; and</w:t>
      </w:r>
    </w:p>
    <w:p>
      <w:pPr>
        <w:spacing w:after="0" w:line="205" w:lineRule="exact"/>
        <w:rPr>
          <w:rFonts w:ascii="Arial" w:cs="Arial" w:eastAsia="Arial" w:hAnsi="Arial"/>
          <w:sz w:val="18"/>
          <w:szCs w:val="18"/>
          <w:color w:val="auto"/>
        </w:rPr>
      </w:pPr>
    </w:p>
    <w:p>
      <w:pPr>
        <w:ind w:left="1280" w:right="580" w:hanging="1274"/>
        <w:spacing w:after="0" w:line="265"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6290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90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January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300"/>
      </w:cols>
      <w:pgMar w:left="240" w:top="2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21"/>
    </w:lvl>
  </w:abstractNum>
  <w:abstractNum w:abstractNumId="8">
    <w:nsid w:val="3352255A"/>
    <w:multiLevelType w:val="hybridMultilevel"/>
    <w:lvl w:ilvl="0">
      <w:lvlJc w:val="left"/>
      <w:lvlText w:val="%1"/>
      <w:numFmt w:val="decimal"/>
      <w:start w:val="23"/>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2019-12-06T00:24:13Z</dcterms:created>
  <dcterms:modified xsi:type="dcterms:W3CDTF">2019-12-06T00:24:13Z</dcterms:modified>
</cp:coreProperties>
</file>