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left="3460" w:right="100" w:hanging="3384"/>
        <w:spacing w:after="0" w:line="256" w:lineRule="auto"/>
        <w:tabs>
          <w:tab w:leader="none" w:pos="3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 (d) OF THE SECURITIES EXCHANGE ACT OF 1934 For the quarterly period ended February 1, 2009</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jc w:val="center"/>
        <w:ind w:left="3940" w:right="100" w:hanging="3864"/>
        <w:spacing w:after="0" w:line="256" w:lineRule="auto"/>
        <w:tabs>
          <w:tab w:leader="none" w:pos="29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TRANSITION REPORT PURSUANT TO SECTION 13 OR 15 (d) OF THE SECURITIES EXCHANGE ACT OF 1934 </w:t>
      </w:r>
      <w:r>
        <w:rPr>
          <w:rFonts w:ascii="Arial" w:cs="Arial" w:eastAsia="Arial" w:hAnsi="Arial"/>
          <w:sz w:val="22"/>
          <w:szCs w:val="22"/>
          <w:color w:val="auto"/>
        </w:rPr>
        <w:t>For the transition period from ___ to ___</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148590</wp:posOffset>
            </wp:positionV>
            <wp:extent cx="685800" cy="74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05" w:lineRule="exact"/>
        <w:rPr>
          <w:sz w:val="24"/>
          <w:szCs w:val="24"/>
          <w:color w:val="auto"/>
        </w:rPr>
      </w:pPr>
    </w:p>
    <w:tbl>
      <w:tblPr>
        <w:tblLayout w:type="fixed"/>
        <w:tblInd w:w="1520" w:type="dxa"/>
        <w:tblCellMar>
          <w:top w:w="0" w:type="dxa"/>
          <w:left w:w="0" w:type="dxa"/>
          <w:bottom w:w="0" w:type="dxa"/>
          <w:right w:w="0" w:type="dxa"/>
        </w:tblCellMar>
      </w:tblPr>
      <w:tr>
        <w:trPr>
          <w:trHeight w:val="253"/>
        </w:trPr>
        <w:tc>
          <w:tcPr>
            <w:tcW w:w="4640" w:type="dxa"/>
            <w:vAlign w:val="bottom"/>
          </w:tcPr>
          <w:p>
            <w:pPr>
              <w:jc w:val="center"/>
              <w:ind w:right="1652"/>
              <w:spacing w:after="0"/>
              <w:rPr>
                <w:sz w:val="20"/>
                <w:szCs w:val="20"/>
                <w:color w:val="auto"/>
              </w:rPr>
            </w:pPr>
            <w:r>
              <w:rPr>
                <w:rFonts w:ascii="Arial" w:cs="Arial" w:eastAsia="Arial" w:hAnsi="Arial"/>
                <w:sz w:val="22"/>
                <w:szCs w:val="22"/>
                <w:b w:val="1"/>
                <w:bCs w:val="1"/>
                <w:color w:val="auto"/>
                <w:w w:val="88"/>
              </w:rPr>
              <w:t>Connecticut</w:t>
            </w:r>
          </w:p>
        </w:tc>
        <w:tc>
          <w:tcPr>
            <w:tcW w:w="3760" w:type="dxa"/>
            <w:vAlign w:val="bottom"/>
          </w:tcPr>
          <w:p>
            <w:pPr>
              <w:jc w:val="center"/>
              <w:ind w:left="1652"/>
              <w:spacing w:after="0"/>
              <w:rPr>
                <w:sz w:val="20"/>
                <w:szCs w:val="20"/>
                <w:color w:val="auto"/>
              </w:rPr>
            </w:pPr>
            <w:r>
              <w:rPr>
                <w:rFonts w:ascii="Arial" w:cs="Arial" w:eastAsia="Arial" w:hAnsi="Arial"/>
                <w:sz w:val="22"/>
                <w:szCs w:val="22"/>
                <w:b w:val="1"/>
                <w:bCs w:val="1"/>
                <w:color w:val="auto"/>
                <w:w w:val="88"/>
              </w:rPr>
              <w:t>06-0854886</w:t>
            </w:r>
          </w:p>
        </w:tc>
      </w:tr>
      <w:tr>
        <w:trPr>
          <w:trHeight w:val="243"/>
        </w:trPr>
        <w:tc>
          <w:tcPr>
            <w:tcW w:w="4640" w:type="dxa"/>
            <w:vAlign w:val="bottom"/>
          </w:tcPr>
          <w:p>
            <w:pPr>
              <w:jc w:val="center"/>
              <w:ind w:right="165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76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40" w:type="dxa"/>
            <w:vAlign w:val="bottom"/>
          </w:tcPr>
          <w:p>
            <w:pPr>
              <w:jc w:val="center"/>
              <w:ind w:right="1652"/>
              <w:spacing w:after="0"/>
              <w:rPr>
                <w:sz w:val="20"/>
                <w:szCs w:val="20"/>
                <w:color w:val="auto"/>
              </w:rPr>
            </w:pPr>
            <w:r>
              <w:rPr>
                <w:rFonts w:ascii="Arial" w:cs="Arial" w:eastAsia="Arial" w:hAnsi="Arial"/>
                <w:sz w:val="22"/>
                <w:szCs w:val="22"/>
                <w:i w:val="1"/>
                <w:iCs w:val="1"/>
                <w:color w:val="auto"/>
                <w:w w:val="92"/>
              </w:rPr>
              <w:t>of incorporation or organization)</w:t>
            </w:r>
          </w:p>
        </w:tc>
        <w:tc>
          <w:tcPr>
            <w:tcW w:w="3760" w:type="dxa"/>
            <w:vAlign w:val="bottom"/>
          </w:tcPr>
          <w:p>
            <w:pPr>
              <w:jc w:val="center"/>
              <w:ind w:left="1652"/>
              <w:spacing w:after="0"/>
              <w:rPr>
                <w:sz w:val="20"/>
                <w:szCs w:val="20"/>
                <w:color w:val="auto"/>
              </w:rPr>
            </w:pPr>
            <w:r>
              <w:rPr>
                <w:rFonts w:ascii="Arial" w:cs="Arial" w:eastAsia="Arial" w:hAnsi="Arial"/>
                <w:sz w:val="22"/>
                <w:szCs w:val="22"/>
                <w:i w:val="1"/>
                <w:iCs w:val="1"/>
                <w:color w:val="auto"/>
                <w:w w:val="92"/>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15 Secor Road, Brookfield, Connecticut 06804</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i w:val="1"/>
          <w:iCs w:val="1"/>
          <w:color w:val="auto"/>
        </w:rPr>
        <w:t>(Address of principal executive offices and zip code)</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(203) 775-9000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right="280"/>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 o</w:t>
      </w:r>
    </w:p>
    <w:p>
      <w:pPr>
        <w:spacing w:after="0" w:line="185" w:lineRule="exact"/>
        <w:rPr>
          <w:sz w:val="24"/>
          <w:szCs w:val="24"/>
          <w:color w:val="auto"/>
        </w:rPr>
      </w:pPr>
    </w:p>
    <w:p>
      <w:pPr>
        <w:ind w:right="840"/>
        <w:spacing w:after="0" w:line="250" w:lineRule="auto"/>
        <w:rPr>
          <w:sz w:val="20"/>
          <w:szCs w:val="20"/>
          <w:color w:val="auto"/>
        </w:rPr>
      </w:pPr>
      <w:r>
        <w:rPr>
          <w:rFonts w:ascii="Arial" w:cs="Arial" w:eastAsia="Arial" w:hAnsi="Arial"/>
          <w:sz w:val="21"/>
          <w:szCs w:val="2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188" w:lineRule="exact"/>
        <w:rPr>
          <w:sz w:val="24"/>
          <w:szCs w:val="24"/>
          <w:color w:val="auto"/>
        </w:rPr>
      </w:pPr>
    </w:p>
    <w:p>
      <w:pPr>
        <w:ind w:right="1620"/>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740" w:type="dxa"/>
            <w:vAlign w:val="bottom"/>
          </w:tcPr>
          <w:p>
            <w:pPr>
              <w:jc w:val="center"/>
              <w:spacing w:after="0"/>
              <w:rPr>
                <w:sz w:val="20"/>
                <w:szCs w:val="20"/>
                <w:color w:val="auto"/>
              </w:rPr>
            </w:pPr>
            <w:r>
              <w:rPr>
                <w:rFonts w:ascii="Arial" w:cs="Arial" w:eastAsia="Arial" w:hAnsi="Arial"/>
                <w:sz w:val="22"/>
                <w:szCs w:val="22"/>
                <w:color w:val="auto"/>
                <w:w w:val="87"/>
              </w:rPr>
              <w:t>Class</w:t>
            </w:r>
          </w:p>
        </w:tc>
        <w:tc>
          <w:tcPr>
            <w:tcW w:w="6700" w:type="dxa"/>
            <w:vAlign w:val="bottom"/>
          </w:tcPr>
          <w:p>
            <w:pPr>
              <w:jc w:val="center"/>
              <w:ind w:left="2092"/>
              <w:spacing w:after="0"/>
              <w:rPr>
                <w:sz w:val="20"/>
                <w:szCs w:val="20"/>
                <w:color w:val="auto"/>
              </w:rPr>
            </w:pPr>
            <w:r>
              <w:rPr>
                <w:rFonts w:ascii="Arial" w:cs="Arial" w:eastAsia="Arial" w:hAnsi="Arial"/>
                <w:sz w:val="22"/>
                <w:szCs w:val="22"/>
                <w:color w:val="auto"/>
                <w:w w:val="89"/>
              </w:rPr>
              <w:t>Outstanding at March 2, 2009</w:t>
            </w:r>
          </w:p>
        </w:tc>
      </w:tr>
      <w:tr>
        <w:trPr>
          <w:trHeight w:val="281"/>
        </w:trPr>
        <w:tc>
          <w:tcPr>
            <w:tcW w:w="4740" w:type="dxa"/>
            <w:vAlign w:val="bottom"/>
          </w:tcPr>
          <w:p>
            <w:pPr>
              <w:jc w:val="center"/>
              <w:spacing w:after="0"/>
              <w:rPr>
                <w:sz w:val="20"/>
                <w:szCs w:val="20"/>
                <w:color w:val="auto"/>
              </w:rPr>
            </w:pPr>
            <w:r>
              <w:rPr>
                <w:rFonts w:ascii="Arial" w:cs="Arial" w:eastAsia="Arial" w:hAnsi="Arial"/>
                <w:sz w:val="22"/>
                <w:szCs w:val="22"/>
                <w:b w:val="1"/>
                <w:bCs w:val="1"/>
                <w:color w:val="auto"/>
                <w:w w:val="88"/>
              </w:rPr>
              <w:t>Common Stock, $0.01 par value</w:t>
            </w:r>
          </w:p>
        </w:tc>
        <w:tc>
          <w:tcPr>
            <w:tcW w:w="6700" w:type="dxa"/>
            <w:vAlign w:val="bottom"/>
          </w:tcPr>
          <w:p>
            <w:pPr>
              <w:jc w:val="center"/>
              <w:ind w:left="2072"/>
              <w:spacing w:after="0"/>
              <w:rPr>
                <w:sz w:val="20"/>
                <w:szCs w:val="20"/>
                <w:color w:val="auto"/>
              </w:rPr>
            </w:pPr>
            <w:r>
              <w:rPr>
                <w:rFonts w:ascii="Arial" w:cs="Arial" w:eastAsia="Arial" w:hAnsi="Arial"/>
                <w:sz w:val="22"/>
                <w:szCs w:val="22"/>
                <w:b w:val="1"/>
                <w:bCs w:val="1"/>
                <w:color w:val="auto"/>
                <w:w w:val="86"/>
              </w:rPr>
              <w:t>42,007,468 Shares</w:t>
            </w:r>
          </w:p>
        </w:tc>
      </w:tr>
      <w:tr>
        <w:trPr>
          <w:trHeight w:val="918"/>
        </w:trPr>
        <w:tc>
          <w:tcPr>
            <w:tcW w:w="4740" w:type="dxa"/>
            <w:vAlign w:val="bottom"/>
          </w:tcPr>
          <w:p>
            <w:pPr>
              <w:spacing w:after="0"/>
              <w:rPr>
                <w:sz w:val="24"/>
                <w:szCs w:val="24"/>
                <w:color w:val="auto"/>
              </w:rPr>
            </w:pPr>
          </w:p>
        </w:tc>
        <w:tc>
          <w:tcPr>
            <w:tcW w:w="6700" w:type="dxa"/>
            <w:vAlign w:val="bottom"/>
          </w:tcPr>
          <w:p>
            <w:pPr>
              <w:jc w:val="right"/>
              <w:ind w:right="5492"/>
              <w:spacing w:after="0"/>
              <w:rPr>
                <w:sz w:val="20"/>
                <w:szCs w:val="20"/>
                <w:color w:val="auto"/>
              </w:rPr>
            </w:pPr>
            <w:r>
              <w:rPr>
                <w:rFonts w:ascii="Arial" w:cs="Arial" w:eastAsia="Arial" w:hAnsi="Arial"/>
                <w:sz w:val="22"/>
                <w:szCs w:val="22"/>
                <w:color w:val="auto"/>
              </w:rPr>
              <w:t>-1-</w:t>
            </w:r>
          </w:p>
        </w:tc>
      </w:tr>
      <w:tr>
        <w:trPr>
          <w:trHeight w:val="213"/>
        </w:trPr>
        <w:tc>
          <w:tcPr>
            <w:tcW w:w="4740" w:type="dxa"/>
            <w:vAlign w:val="bottom"/>
            <w:tcBorders>
              <w:bottom w:val="single" w:sz="8" w:color="9A9A9A"/>
            </w:tcBorders>
          </w:tcPr>
          <w:p>
            <w:pPr>
              <w:spacing w:after="0"/>
              <w:rPr>
                <w:sz w:val="18"/>
                <w:szCs w:val="18"/>
                <w:color w:val="auto"/>
              </w:rPr>
            </w:pPr>
          </w:p>
        </w:tc>
        <w:tc>
          <w:tcPr>
            <w:tcW w:w="6700" w:type="dxa"/>
            <w:vAlign w:val="bottom"/>
            <w:tcBorders>
              <w:bottom w:val="single" w:sz="8" w:color="9A9A9A"/>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38" w:right="219" w:bottom="4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Forward-Looking Information</w:t>
      </w:r>
    </w:p>
    <w:p>
      <w:pPr>
        <w:spacing w:after="0" w:line="213" w:lineRule="exact"/>
        <w:rPr>
          <w:sz w:val="20"/>
          <w:szCs w:val="20"/>
          <w:color w:val="auto"/>
        </w:rPr>
      </w:pPr>
    </w:p>
    <w:p>
      <w:pPr>
        <w:ind w:firstLine="266"/>
        <w:spacing w:after="0" w:line="269" w:lineRule="auto"/>
        <w:rPr>
          <w:sz w:val="20"/>
          <w:szCs w:val="20"/>
          <w:color w:val="auto"/>
        </w:rPr>
      </w:pPr>
      <w:r>
        <w:rPr>
          <w:rFonts w:ascii="Arial" w:cs="Arial" w:eastAsia="Arial" w:hAnsi="Arial"/>
          <w:sz w:val="19"/>
          <w:szCs w:val="19"/>
          <w:color w:val="auto"/>
        </w:rPr>
        <w:t>The Private Securities Litigation Reform Act of 1995 provides a "safe harbor" for forward-looking statements made by or on behalf of Photronics, Inc.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and receipt of orders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foreign currency rate fluctuations; economic and political conditions in international markets; the ability to obtain additional financings; the ability to achieve anticipated synergies and other cost savings in connection with acquisitions and productivity programs; the timing, impact and other uncertainties of future acquisitions; the seasonal and cyclical nature of the semiconductor and flat panel display industries; the availability of capital; management changes; damage or destruction to the Company's facilities by natural disasters, labor strikes, political unrest or terrorist activity; the ability to fully utilize its tools; the ability of the Company to receive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AND SUBSIDIARIES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49" w:lineRule="exact"/>
        <w:rPr>
          <w:sz w:val="20"/>
          <w:szCs w:val="20"/>
          <w:color w:val="auto"/>
        </w:rPr>
      </w:pPr>
    </w:p>
    <w:tbl>
      <w:tblPr>
        <w:tblLayout w:type="fixed"/>
        <w:tblInd w:w="188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PART I.</w:t>
            </w:r>
          </w:p>
        </w:tc>
        <w:tc>
          <w:tcPr>
            <w:tcW w:w="5840" w:type="dxa"/>
            <w:vAlign w:val="bottom"/>
            <w:gridSpan w:val="13"/>
          </w:tcPr>
          <w:p>
            <w:pPr>
              <w:spacing w:after="0"/>
              <w:rPr>
                <w:sz w:val="20"/>
                <w:szCs w:val="20"/>
                <w:color w:val="auto"/>
              </w:rPr>
            </w:pPr>
            <w:r>
              <w:rPr>
                <w:rFonts w:ascii="Arial" w:cs="Arial" w:eastAsia="Arial" w:hAnsi="Arial"/>
                <w:sz w:val="22"/>
                <w:szCs w:val="22"/>
                <w:b w:val="1"/>
                <w:bCs w:val="1"/>
                <w:color w:val="auto"/>
              </w:rPr>
              <w:t>FINANCIAL INFORMATION</w:t>
            </w:r>
          </w:p>
        </w:tc>
        <w:tc>
          <w:tcPr>
            <w:tcW w:w="440" w:type="dxa"/>
            <w:vAlign w:val="bottom"/>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98"/>
        </w:trPr>
        <w:tc>
          <w:tcPr>
            <w:tcW w:w="1400" w:type="dxa"/>
            <w:vAlign w:val="bottom"/>
            <w:vMerge w:val="restart"/>
          </w:tcPr>
          <w:p>
            <w:pPr>
              <w:spacing w:after="0"/>
              <w:rPr>
                <w:sz w:val="20"/>
                <w:szCs w:val="20"/>
                <w:color w:val="auto"/>
              </w:rPr>
            </w:pPr>
            <w:r>
              <w:rPr>
                <w:rFonts w:ascii="Arial" w:cs="Arial" w:eastAsia="Arial" w:hAnsi="Arial"/>
                <w:sz w:val="22"/>
                <w:szCs w:val="22"/>
                <w:color w:val="auto"/>
              </w:rPr>
              <w:t>Item 1.</w:t>
            </w:r>
          </w:p>
        </w:tc>
        <w:tc>
          <w:tcPr>
            <w:tcW w:w="5840" w:type="dxa"/>
            <w:vAlign w:val="bottom"/>
            <w:gridSpan w:val="13"/>
            <w:vMerge w:val="restart"/>
          </w:tcPr>
          <w:p>
            <w:pPr>
              <w:spacing w:after="0"/>
              <w:rPr>
                <w:sz w:val="20"/>
                <w:szCs w:val="20"/>
                <w:color w:val="auto"/>
              </w:rPr>
            </w:pPr>
            <w:r>
              <w:rPr>
                <w:rFonts w:ascii="Arial" w:cs="Arial" w:eastAsia="Arial" w:hAnsi="Arial"/>
                <w:sz w:val="22"/>
                <w:szCs w:val="22"/>
                <w:color w:val="auto"/>
              </w:rPr>
              <w:t>Condensed Consolidated Financial Statements</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1400" w:type="dxa"/>
            <w:vAlign w:val="bottom"/>
            <w:vMerge w:val="continue"/>
          </w:tcPr>
          <w:p>
            <w:pPr>
              <w:spacing w:after="0"/>
              <w:rPr>
                <w:sz w:val="24"/>
                <w:szCs w:val="24"/>
                <w:color w:val="auto"/>
              </w:rPr>
            </w:pPr>
          </w:p>
        </w:tc>
        <w:tc>
          <w:tcPr>
            <w:tcW w:w="5840" w:type="dxa"/>
            <w:vAlign w:val="bottom"/>
            <w:gridSpan w:val="13"/>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4"/>
                <w:szCs w:val="24"/>
                <w:color w:val="auto"/>
              </w:rPr>
            </w:pPr>
          </w:p>
        </w:tc>
        <w:tc>
          <w:tcPr>
            <w:tcW w:w="5840" w:type="dxa"/>
            <w:vAlign w:val="bottom"/>
            <w:gridSpan w:val="13"/>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Condensed Consolidated Balance Sheets at</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52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color w:val="0000EE"/>
                <w:w w:val="88"/>
              </w:rPr>
            </w:pPr>
            <w:hyperlink w:anchor="page3">
              <w:r>
                <w:rPr>
                  <w:rFonts w:ascii="Arial" w:cs="Arial" w:eastAsia="Arial" w:hAnsi="Arial"/>
                  <w:sz w:val="22"/>
                  <w:szCs w:val="22"/>
                  <w:color w:val="0000EE"/>
                  <w:w w:val="88"/>
                </w:rPr>
                <w:t>February 1, 2009 and November 2, 2008</w:t>
              </w:r>
            </w:hyperlink>
          </w:p>
        </w:tc>
        <w:tc>
          <w:tcPr>
            <w:tcW w:w="200" w:type="dxa"/>
            <w:vAlign w:val="bottom"/>
            <w:tcBorders>
              <w:top w:val="single" w:sz="8" w:color="0000EE"/>
            </w:tcBorders>
            <w:gridSpan w:val="2"/>
          </w:tcPr>
          <w:p>
            <w:pPr>
              <w:spacing w:after="0"/>
              <w:rPr>
                <w:sz w:val="19"/>
                <w:szCs w:val="19"/>
                <w:color w:val="auto"/>
              </w:rPr>
            </w:pPr>
          </w:p>
        </w:tc>
        <w:tc>
          <w:tcPr>
            <w:tcW w:w="2120" w:type="dxa"/>
            <w:vAlign w:val="bottom"/>
            <w:gridSpan w:val="6"/>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5840" w:type="dxa"/>
            <w:vAlign w:val="bottom"/>
            <w:gridSpan w:val="13"/>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Condensed Consolidated Statements of Operations</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380" w:type="dxa"/>
            <w:vAlign w:val="bottom"/>
            <w:tcBorders>
              <w:top w:val="single" w:sz="8" w:color="0000EE"/>
            </w:tcBorders>
            <w:gridSpan w:val="9"/>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for the Three Months Ended</w:t>
              </w:r>
            </w:hyperlink>
          </w:p>
        </w:tc>
        <w:tc>
          <w:tcPr>
            <w:tcW w:w="1460" w:type="dxa"/>
            <w:vAlign w:val="bottom"/>
            <w:gridSpan w:val="4"/>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February 1, 2009 and January 27, 2008</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4"/>
                <w:szCs w:val="24"/>
                <w:color w:val="auto"/>
              </w:rPr>
            </w:pPr>
          </w:p>
        </w:tc>
        <w:tc>
          <w:tcPr>
            <w:tcW w:w="4460" w:type="dxa"/>
            <w:vAlign w:val="bottom"/>
            <w:tcBorders>
              <w:bottom w:val="single" w:sz="8" w:color="0000EE"/>
            </w:tcBorders>
            <w:gridSpan w:val="10"/>
          </w:tcPr>
          <w:p>
            <w:pPr>
              <w:spacing w:after="0"/>
              <w:rPr>
                <w:rFonts w:ascii="Arial" w:cs="Arial" w:eastAsia="Arial" w:hAnsi="Arial"/>
                <w:sz w:val="22"/>
                <w:szCs w:val="22"/>
                <w:color w:val="0000EE"/>
                <w:w w:val="87"/>
              </w:rPr>
            </w:pPr>
            <w:hyperlink w:anchor="page5">
              <w:r>
                <w:rPr>
                  <w:rFonts w:ascii="Arial" w:cs="Arial" w:eastAsia="Arial" w:hAnsi="Arial"/>
                  <w:sz w:val="22"/>
                  <w:szCs w:val="22"/>
                  <w:color w:val="0000EE"/>
                  <w:w w:val="87"/>
                </w:rPr>
                <w:t>Condensed Consolidated Statements of Cash Flows</w:t>
              </w:r>
            </w:hyperlink>
          </w:p>
        </w:tc>
        <w:tc>
          <w:tcPr>
            <w:tcW w:w="13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3"/>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for the Three Months Ended</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3"/>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February 1, 2009 and January 27, 2008</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22"/>
                <w:szCs w:val="22"/>
                <w:color w:val="0000EE"/>
                <w:w w:val="87"/>
              </w:rPr>
            </w:pPr>
            <w:hyperlink w:anchor="page6">
              <w:r>
                <w:rPr>
                  <w:rFonts w:ascii="Arial" w:cs="Arial" w:eastAsia="Arial" w:hAnsi="Arial"/>
                  <w:sz w:val="22"/>
                  <w:szCs w:val="22"/>
                  <w:color w:val="0000EE"/>
                  <w:w w:val="87"/>
                </w:rPr>
                <w:t>Notes to Condensed Consolidated Financial Statements</w:t>
              </w:r>
            </w:hyperlink>
          </w:p>
        </w:tc>
        <w:tc>
          <w:tcPr>
            <w:tcW w:w="10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2.</w:t>
            </w:r>
          </w:p>
        </w:tc>
        <w:tc>
          <w:tcPr>
            <w:tcW w:w="5840" w:type="dxa"/>
            <w:vAlign w:val="bottom"/>
            <w:gridSpan w:val="13"/>
          </w:tcPr>
          <w:p>
            <w:pPr>
              <w:spacing w:after="0"/>
              <w:rPr>
                <w:rFonts w:ascii="Arial" w:cs="Arial" w:eastAsia="Arial" w:hAnsi="Arial"/>
                <w:sz w:val="22"/>
                <w:szCs w:val="22"/>
                <w:color w:val="0000EE"/>
              </w:rPr>
            </w:pPr>
            <w:hyperlink w:anchor="page14">
              <w:r>
                <w:rPr>
                  <w:rFonts w:ascii="Arial" w:cs="Arial" w:eastAsia="Arial" w:hAnsi="Arial"/>
                  <w:sz w:val="22"/>
                  <w:szCs w:val="22"/>
                  <w:color w:val="0000EE"/>
                </w:rPr>
                <w:t>Management's Discussion and Analysis</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3"/>
          </w:tcPr>
          <w:p>
            <w:pPr>
              <w:spacing w:after="0" w:line="223" w:lineRule="exact"/>
              <w:rPr>
                <w:rFonts w:ascii="Arial" w:cs="Arial" w:eastAsia="Arial" w:hAnsi="Arial"/>
                <w:sz w:val="22"/>
                <w:szCs w:val="22"/>
                <w:color w:val="0000EE"/>
              </w:rPr>
            </w:pPr>
            <w:hyperlink w:anchor="page14">
              <w:r>
                <w:rPr>
                  <w:rFonts w:ascii="Arial" w:cs="Arial" w:eastAsia="Arial" w:hAnsi="Arial"/>
                  <w:sz w:val="22"/>
                  <w:szCs w:val="22"/>
                  <w:color w:val="0000EE"/>
                </w:rPr>
                <w:t>of Results of Operations and Financial Condition</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3.</w:t>
            </w:r>
          </w:p>
        </w:tc>
        <w:tc>
          <w:tcPr>
            <w:tcW w:w="5840" w:type="dxa"/>
            <w:vAlign w:val="bottom"/>
            <w:gridSpan w:val="13"/>
          </w:tcPr>
          <w:p>
            <w:pPr>
              <w:spacing w:after="0"/>
              <w:rPr>
                <w:rFonts w:ascii="Arial" w:cs="Arial" w:eastAsia="Arial" w:hAnsi="Arial"/>
                <w:sz w:val="22"/>
                <w:szCs w:val="22"/>
                <w:color w:val="0000EE"/>
              </w:rPr>
            </w:pPr>
            <w:hyperlink w:anchor="page22">
              <w:r>
                <w:rPr>
                  <w:rFonts w:ascii="Arial" w:cs="Arial" w:eastAsia="Arial" w:hAnsi="Arial"/>
                  <w:sz w:val="22"/>
                  <w:szCs w:val="22"/>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4.</w:t>
            </w:r>
          </w:p>
        </w:tc>
        <w:tc>
          <w:tcPr>
            <w:tcW w:w="5160" w:type="dxa"/>
            <w:vAlign w:val="bottom"/>
            <w:tcBorders>
              <w:top w:val="single" w:sz="8" w:color="0000EE"/>
            </w:tcBorders>
            <w:gridSpan w:val="12"/>
          </w:tcPr>
          <w:p>
            <w:pPr>
              <w:spacing w:after="0"/>
              <w:rPr>
                <w:rFonts w:ascii="Arial" w:cs="Arial" w:eastAsia="Arial" w:hAnsi="Arial"/>
                <w:sz w:val="22"/>
                <w:szCs w:val="22"/>
                <w:color w:val="0000EE"/>
              </w:rPr>
            </w:pPr>
            <w:hyperlink w:anchor="page23">
              <w:r>
                <w:rPr>
                  <w:rFonts w:ascii="Arial" w:cs="Arial" w:eastAsia="Arial" w:hAnsi="Arial"/>
                  <w:sz w:val="22"/>
                  <w:szCs w:val="22"/>
                  <w:color w:val="0000EE"/>
                </w:rPr>
                <w:t>Controls and Procedures</w:t>
              </w:r>
            </w:hyperlink>
          </w:p>
        </w:tc>
        <w:tc>
          <w:tcPr>
            <w:tcW w:w="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1400" w:type="dxa"/>
            <w:vAlign w:val="bottom"/>
          </w:tcPr>
          <w:p>
            <w:pPr>
              <w:spacing w:after="0"/>
              <w:rPr>
                <w:sz w:val="20"/>
                <w:szCs w:val="20"/>
                <w:color w:val="auto"/>
              </w:rPr>
            </w:pPr>
            <w:r>
              <w:rPr>
                <w:rFonts w:ascii="Arial" w:cs="Arial" w:eastAsia="Arial" w:hAnsi="Arial"/>
                <w:sz w:val="22"/>
                <w:szCs w:val="22"/>
                <w:b w:val="1"/>
                <w:bCs w:val="1"/>
                <w:color w:val="auto"/>
              </w:rPr>
              <w:t>PART II.</w:t>
            </w:r>
          </w:p>
        </w:tc>
        <w:tc>
          <w:tcPr>
            <w:tcW w:w="5840" w:type="dxa"/>
            <w:vAlign w:val="bottom"/>
            <w:gridSpan w:val="13"/>
          </w:tcPr>
          <w:p>
            <w:pPr>
              <w:spacing w:after="0"/>
              <w:rPr>
                <w:sz w:val="20"/>
                <w:szCs w:val="20"/>
                <w:color w:val="auto"/>
              </w:rPr>
            </w:pPr>
            <w:r>
              <w:rPr>
                <w:rFonts w:ascii="Arial" w:cs="Arial" w:eastAsia="Arial" w:hAnsi="Arial"/>
                <w:sz w:val="22"/>
                <w:szCs w:val="22"/>
                <w:b w:val="1"/>
                <w:bCs w:val="1"/>
                <w:color w:val="auto"/>
              </w:rPr>
              <w:t>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0"/>
                <w:szCs w:val="20"/>
                <w:color w:val="auto"/>
              </w:rPr>
            </w:pPr>
            <w:r>
              <w:rPr>
                <w:rFonts w:ascii="Arial" w:cs="Arial" w:eastAsia="Arial" w:hAnsi="Arial"/>
                <w:sz w:val="22"/>
                <w:szCs w:val="22"/>
                <w:color w:val="auto"/>
              </w:rPr>
              <w:t>Item 1A.</w:t>
            </w:r>
          </w:p>
        </w:tc>
        <w:tc>
          <w:tcPr>
            <w:tcW w:w="5840" w:type="dxa"/>
            <w:vAlign w:val="bottom"/>
            <w:gridSpan w:val="13"/>
          </w:tcPr>
          <w:p>
            <w:pPr>
              <w:spacing w:after="0"/>
              <w:rPr>
                <w:rFonts w:ascii="Arial" w:cs="Arial" w:eastAsia="Arial" w:hAnsi="Arial"/>
                <w:sz w:val="22"/>
                <w:szCs w:val="22"/>
                <w:color w:val="0000EE"/>
              </w:rPr>
            </w:pPr>
            <w:hyperlink w:anchor="page24">
              <w:r>
                <w:rPr>
                  <w:rFonts w:ascii="Arial" w:cs="Arial" w:eastAsia="Arial" w:hAnsi="Arial"/>
                  <w:sz w:val="22"/>
                  <w:szCs w:val="22"/>
                  <w:color w:val="0000EE"/>
                </w:rPr>
                <w:t>Risks Relating to the Company's Business</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111" w:right="279" w:bottom="0" w:gutter="0" w:footer="0" w:header="0"/>
        </w:sectPr>
      </w:pPr>
    </w:p>
    <w:bookmarkStart w:id="2" w:name="page3"/>
    <w:bookmarkEnd w:id="2"/>
    <w:p>
      <w:pPr>
        <w:spacing w:after="0" w:line="82" w:lineRule="exact"/>
        <w:rPr>
          <w:sz w:val="20"/>
          <w:szCs w:val="20"/>
          <w:color w:val="auto"/>
        </w:rPr>
      </w:pPr>
    </w:p>
    <w:p>
      <w:pPr>
        <w:ind w:left="1880"/>
        <w:spacing w:after="0"/>
        <w:tabs>
          <w:tab w:leader="none" w:pos="3260" w:val="left"/>
          <w:tab w:leader="none" w:pos="93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2"/>
          <w:szCs w:val="22"/>
          <w:u w:val="single" w:color="auto"/>
          <w:color w:val="0000EE"/>
        </w:rPr>
        <w:t>Exhibits</w:t>
      </w:r>
      <w:r>
        <w:rPr>
          <w:sz w:val="20"/>
          <w:szCs w:val="20"/>
          <w:color w:val="auto"/>
        </w:rPr>
        <w:tab/>
      </w:r>
      <w:r>
        <w:rPr>
          <w:rFonts w:ascii="Arial" w:cs="Arial" w:eastAsia="Arial" w:hAnsi="Arial"/>
          <w:sz w:val="19"/>
          <w:szCs w:val="19"/>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PART I.</w:t>
        <w:tab/>
        <w:t>FINANCIAL INFORMATION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CONDENSED CONSOLIDATED FINANCIAL STATEMENTS</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Condensed Consolidated Balance Sheets</w:t>
      </w:r>
    </w:p>
    <w:p>
      <w:pPr>
        <w:ind w:left="394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6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2"/>
                <w:szCs w:val="22"/>
                <w:b w:val="1"/>
                <w:bCs w:val="1"/>
                <w:color w:val="auto"/>
                <w:w w:val="87"/>
              </w:rPr>
              <w:t>February 1,</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2"/>
                <w:szCs w:val="22"/>
                <w:b w:val="1"/>
                <w:bCs w:val="1"/>
                <w:color w:val="auto"/>
                <w:w w:val="86"/>
              </w:rPr>
              <w:t>November 2,</w:t>
            </w:r>
          </w:p>
        </w:tc>
        <w:tc>
          <w:tcPr>
            <w:tcW w:w="0" w:type="dxa"/>
            <w:vAlign w:val="bottom"/>
          </w:tcPr>
          <w:p>
            <w:pPr>
              <w:spacing w:after="0"/>
              <w:rPr>
                <w:sz w:val="1"/>
                <w:szCs w:val="1"/>
                <w:color w:val="auto"/>
              </w:rPr>
            </w:pPr>
          </w:p>
        </w:tc>
      </w:tr>
      <w:tr>
        <w:trPr>
          <w:trHeight w:val="281"/>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620" w:type="dxa"/>
            <w:vAlign w:val="bottom"/>
            <w:gridSpan w:val="4"/>
          </w:tcPr>
          <w:p>
            <w:pPr>
              <w:jc w:val="right"/>
              <w:ind w:right="292"/>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61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ASSETS</w:t>
            </w: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Current assets: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Cash and cash equivalents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$ 71,509</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$ 83,763</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Short-term investments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1,343</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Accounts receivable, net of allowance of $3,091 in 2009</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and $2,788 in 2008</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65,497</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68,095</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Inventories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18,063</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17,548</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Deferred income taxes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2,657</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2,843</w:t>
            </w:r>
          </w:p>
        </w:tc>
        <w:tc>
          <w:tcPr>
            <w:tcW w:w="0" w:type="dxa"/>
            <w:vAlign w:val="bottom"/>
          </w:tcPr>
          <w:p>
            <w:pPr>
              <w:spacing w:after="0"/>
              <w:rPr>
                <w:sz w:val="1"/>
                <w:szCs w:val="1"/>
                <w:color w:val="auto"/>
              </w:rPr>
            </w:pPr>
          </w:p>
        </w:tc>
      </w:tr>
      <w:tr>
        <w:trPr>
          <w:trHeight w:val="275"/>
        </w:trPr>
        <w:tc>
          <w:tcPr>
            <w:tcW w:w="6100" w:type="dxa"/>
            <w:vAlign w:val="bottom"/>
            <w:gridSpan w:val="2"/>
          </w:tcPr>
          <w:p>
            <w:pPr>
              <w:ind w:left="100"/>
              <w:spacing w:after="0"/>
              <w:rPr>
                <w:sz w:val="20"/>
                <w:szCs w:val="20"/>
                <w:color w:val="auto"/>
              </w:rPr>
            </w:pPr>
            <w:r>
              <w:rPr>
                <w:rFonts w:ascii="Arial" w:cs="Arial" w:eastAsia="Arial" w:hAnsi="Arial"/>
                <w:sz w:val="22"/>
                <w:szCs w:val="22"/>
                <w:color w:val="auto"/>
              </w:rPr>
              <w:t>Other current assets</w:t>
            </w:r>
          </w:p>
        </w:tc>
        <w:tc>
          <w:tcPr>
            <w:tcW w:w="1100" w:type="dxa"/>
            <w:vAlign w:val="bottom"/>
          </w:tcPr>
          <w:p>
            <w:pPr>
              <w:jc w:val="right"/>
              <w:spacing w:after="0"/>
              <w:rPr>
                <w:sz w:val="20"/>
                <w:szCs w:val="20"/>
                <w:color w:val="auto"/>
              </w:rPr>
            </w:pPr>
            <w:r>
              <w:rPr>
                <w:rFonts w:ascii="Arial" w:cs="Arial" w:eastAsia="Arial" w:hAnsi="Arial"/>
                <w:sz w:val="22"/>
                <w:szCs w:val="22"/>
                <w:color w:val="auto"/>
              </w:rPr>
              <w:t>9,796</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8,905</w:t>
            </w:r>
          </w:p>
        </w:tc>
        <w:tc>
          <w:tcPr>
            <w:tcW w:w="0" w:type="dxa"/>
            <w:vAlign w:val="bottom"/>
          </w:tcPr>
          <w:p>
            <w:pPr>
              <w:spacing w:after="0"/>
              <w:rPr>
                <w:sz w:val="1"/>
                <w:szCs w:val="1"/>
                <w:color w:val="auto"/>
              </w:rPr>
            </w:pPr>
          </w:p>
        </w:tc>
      </w:tr>
      <w:tr>
        <w:trPr>
          <w:trHeight w:val="98"/>
        </w:trPr>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tcPr>
          <w:p>
            <w:pPr>
              <w:ind w:left="100"/>
              <w:spacing w:after="0"/>
              <w:rPr>
                <w:sz w:val="20"/>
                <w:szCs w:val="20"/>
                <w:color w:val="auto"/>
              </w:rPr>
            </w:pPr>
            <w:r>
              <w:rPr>
                <w:rFonts w:ascii="Arial" w:cs="Arial" w:eastAsia="Arial" w:hAnsi="Arial"/>
                <w:sz w:val="22"/>
                <w:szCs w:val="22"/>
                <w:color w:val="auto"/>
              </w:rPr>
              <w:t>Total current assets</w:t>
            </w:r>
          </w:p>
        </w:tc>
        <w:tc>
          <w:tcPr>
            <w:tcW w:w="1100" w:type="dxa"/>
            <w:vAlign w:val="bottom"/>
          </w:tcPr>
          <w:p>
            <w:pPr>
              <w:jc w:val="right"/>
              <w:spacing w:after="0"/>
              <w:rPr>
                <w:sz w:val="20"/>
                <w:szCs w:val="20"/>
                <w:color w:val="auto"/>
              </w:rPr>
            </w:pPr>
            <w:r>
              <w:rPr>
                <w:rFonts w:ascii="Arial" w:cs="Arial" w:eastAsia="Arial" w:hAnsi="Arial"/>
                <w:sz w:val="22"/>
                <w:szCs w:val="22"/>
                <w:color w:val="auto"/>
              </w:rPr>
              <w:t>167,666</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182,497</w:t>
            </w: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Property, plant and equipment, net</w:t>
            </w:r>
          </w:p>
        </w:tc>
        <w:tc>
          <w:tcPr>
            <w:tcW w:w="1100" w:type="dxa"/>
            <w:vAlign w:val="bottom"/>
          </w:tcPr>
          <w:p>
            <w:pPr>
              <w:jc w:val="right"/>
              <w:spacing w:after="0"/>
              <w:rPr>
                <w:sz w:val="20"/>
                <w:szCs w:val="20"/>
                <w:color w:val="auto"/>
              </w:rPr>
            </w:pPr>
            <w:r>
              <w:rPr>
                <w:rFonts w:ascii="Arial" w:cs="Arial" w:eastAsia="Arial" w:hAnsi="Arial"/>
                <w:sz w:val="22"/>
                <w:szCs w:val="22"/>
                <w:color w:val="auto"/>
              </w:rPr>
              <w:t>406,915</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436,528</w:t>
            </w: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Investment in joint venture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65,776</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65,737</w:t>
            </w: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Other intangibles, net</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61,098</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62,386</w:t>
            </w:r>
          </w:p>
        </w:tc>
        <w:tc>
          <w:tcPr>
            <w:tcW w:w="0" w:type="dxa"/>
            <w:vAlign w:val="bottom"/>
          </w:tcPr>
          <w:p>
            <w:pPr>
              <w:spacing w:after="0"/>
              <w:rPr>
                <w:sz w:val="1"/>
                <w:szCs w:val="1"/>
                <w:color w:val="auto"/>
              </w:rPr>
            </w:pPr>
          </w:p>
        </w:tc>
      </w:tr>
      <w:tr>
        <w:trPr>
          <w:trHeight w:val="275"/>
        </w:trPr>
        <w:tc>
          <w:tcPr>
            <w:tcW w:w="6100" w:type="dxa"/>
            <w:vAlign w:val="bottom"/>
            <w:gridSpan w:val="2"/>
          </w:tcPr>
          <w:p>
            <w:pPr>
              <w:spacing w:after="0"/>
              <w:rPr>
                <w:sz w:val="20"/>
                <w:szCs w:val="20"/>
                <w:color w:val="auto"/>
              </w:rPr>
            </w:pPr>
            <w:r>
              <w:rPr>
                <w:rFonts w:ascii="Arial" w:cs="Arial" w:eastAsia="Arial" w:hAnsi="Arial"/>
                <w:sz w:val="22"/>
                <w:szCs w:val="22"/>
                <w:color w:val="auto"/>
              </w:rPr>
              <w:t>Other assets</w:t>
            </w:r>
          </w:p>
        </w:tc>
        <w:tc>
          <w:tcPr>
            <w:tcW w:w="1100" w:type="dxa"/>
            <w:vAlign w:val="bottom"/>
          </w:tcPr>
          <w:p>
            <w:pPr>
              <w:jc w:val="right"/>
              <w:spacing w:after="0"/>
              <w:rPr>
                <w:sz w:val="20"/>
                <w:szCs w:val="20"/>
                <w:color w:val="auto"/>
              </w:rPr>
            </w:pPr>
            <w:r>
              <w:rPr>
                <w:rFonts w:ascii="Arial" w:cs="Arial" w:eastAsia="Arial" w:hAnsi="Arial"/>
                <w:sz w:val="22"/>
                <w:szCs w:val="22"/>
                <w:color w:val="auto"/>
              </w:rPr>
              <w:t>11,048</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10,859</w:t>
            </w:r>
          </w:p>
        </w:tc>
        <w:tc>
          <w:tcPr>
            <w:tcW w:w="0" w:type="dxa"/>
            <w:vAlign w:val="bottom"/>
          </w:tcPr>
          <w:p>
            <w:pPr>
              <w:spacing w:after="0"/>
              <w:rPr>
                <w:sz w:val="1"/>
                <w:szCs w:val="1"/>
                <w:color w:val="auto"/>
              </w:rPr>
            </w:pPr>
          </w:p>
        </w:tc>
      </w:tr>
      <w:tr>
        <w:trPr>
          <w:trHeight w:val="98"/>
        </w:trPr>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$712,503</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$758,007</w:t>
            </w:r>
          </w:p>
        </w:tc>
        <w:tc>
          <w:tcPr>
            <w:tcW w:w="0" w:type="dxa"/>
            <w:vAlign w:val="bottom"/>
          </w:tcPr>
          <w:p>
            <w:pPr>
              <w:spacing w:after="0"/>
              <w:rPr>
                <w:sz w:val="1"/>
                <w:szCs w:val="1"/>
                <w:color w:val="auto"/>
              </w:rPr>
            </w:pPr>
          </w:p>
        </w:tc>
      </w:tr>
      <w:tr>
        <w:trPr>
          <w:trHeight w:val="122"/>
        </w:trPr>
        <w:tc>
          <w:tcPr>
            <w:tcW w:w="60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6100" w:type="dxa"/>
            <w:vAlign w:val="bottom"/>
            <w:gridSpan w:val="2"/>
          </w:tcPr>
          <w:p>
            <w:pPr>
              <w:spacing w:after="0"/>
              <w:rPr>
                <w:sz w:val="20"/>
                <w:szCs w:val="20"/>
                <w:color w:val="auto"/>
              </w:rPr>
            </w:pPr>
            <w:r>
              <w:rPr>
                <w:rFonts w:ascii="Arial" w:cs="Arial" w:eastAsia="Arial" w:hAnsi="Arial"/>
                <w:sz w:val="22"/>
                <w:szCs w:val="22"/>
                <w:b w:val="1"/>
                <w:bCs w:val="1"/>
                <w:color w:val="auto"/>
              </w:rPr>
              <w:t>LIABILITIES AND SHAREHOLDERS' EQUITY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Current liabilities: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Current portion of long-term borrowings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$ 68,134</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$ 20,630</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Accounts payable</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56,425</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69,791</w:t>
            </w:r>
          </w:p>
        </w:tc>
        <w:tc>
          <w:tcPr>
            <w:tcW w:w="0" w:type="dxa"/>
            <w:vAlign w:val="bottom"/>
          </w:tcPr>
          <w:p>
            <w:pPr>
              <w:spacing w:after="0"/>
              <w:rPr>
                <w:sz w:val="1"/>
                <w:szCs w:val="1"/>
                <w:color w:val="auto"/>
              </w:rPr>
            </w:pPr>
          </w:p>
        </w:tc>
      </w:tr>
      <w:tr>
        <w:trPr>
          <w:trHeight w:val="275"/>
        </w:trPr>
        <w:tc>
          <w:tcPr>
            <w:tcW w:w="6100" w:type="dxa"/>
            <w:vAlign w:val="bottom"/>
            <w:gridSpan w:val="2"/>
          </w:tcPr>
          <w:p>
            <w:pPr>
              <w:ind w:left="100"/>
              <w:spacing w:after="0"/>
              <w:rPr>
                <w:sz w:val="20"/>
                <w:szCs w:val="20"/>
                <w:color w:val="auto"/>
              </w:rPr>
            </w:pPr>
            <w:r>
              <w:rPr>
                <w:rFonts w:ascii="Arial" w:cs="Arial" w:eastAsia="Arial" w:hAnsi="Arial"/>
                <w:sz w:val="22"/>
                <w:szCs w:val="22"/>
                <w:color w:val="auto"/>
              </w:rPr>
              <w:t>Accrued liabilities</w:t>
            </w:r>
          </w:p>
        </w:tc>
        <w:tc>
          <w:tcPr>
            <w:tcW w:w="1100" w:type="dxa"/>
            <w:vAlign w:val="bottom"/>
          </w:tcPr>
          <w:p>
            <w:pPr>
              <w:jc w:val="right"/>
              <w:spacing w:after="0"/>
              <w:rPr>
                <w:sz w:val="20"/>
                <w:szCs w:val="20"/>
                <w:color w:val="auto"/>
              </w:rPr>
            </w:pPr>
            <w:r>
              <w:rPr>
                <w:rFonts w:ascii="Arial" w:cs="Arial" w:eastAsia="Arial" w:hAnsi="Arial"/>
                <w:sz w:val="22"/>
                <w:szCs w:val="22"/>
                <w:color w:val="auto"/>
              </w:rPr>
              <w:t>23,410</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25,657</w:t>
            </w:r>
          </w:p>
        </w:tc>
        <w:tc>
          <w:tcPr>
            <w:tcW w:w="0" w:type="dxa"/>
            <w:vAlign w:val="bottom"/>
          </w:tcPr>
          <w:p>
            <w:pPr>
              <w:spacing w:after="0"/>
              <w:rPr>
                <w:sz w:val="1"/>
                <w:szCs w:val="1"/>
                <w:color w:val="auto"/>
              </w:rPr>
            </w:pPr>
          </w:p>
        </w:tc>
      </w:tr>
      <w:tr>
        <w:trPr>
          <w:trHeight w:val="98"/>
        </w:trPr>
        <w:tc>
          <w:tcPr>
            <w:tcW w:w="6100" w:type="dxa"/>
            <w:vAlign w:val="bottom"/>
            <w:gridSpan w:val="2"/>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420" w:type="dxa"/>
            <w:vAlign w:val="bottom"/>
            <w:gridSpan w:val="3"/>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tcPr>
          <w:p>
            <w:pPr>
              <w:ind w:left="100"/>
              <w:spacing w:after="0"/>
              <w:rPr>
                <w:sz w:val="20"/>
                <w:szCs w:val="20"/>
                <w:color w:val="auto"/>
              </w:rPr>
            </w:pPr>
            <w:r>
              <w:rPr>
                <w:rFonts w:ascii="Arial" w:cs="Arial" w:eastAsia="Arial" w:hAnsi="Arial"/>
                <w:sz w:val="22"/>
                <w:szCs w:val="22"/>
                <w:color w:val="auto"/>
              </w:rPr>
              <w:t>Total current liabilities</w:t>
            </w:r>
          </w:p>
        </w:tc>
        <w:tc>
          <w:tcPr>
            <w:tcW w:w="1100" w:type="dxa"/>
            <w:vAlign w:val="bottom"/>
          </w:tcPr>
          <w:p>
            <w:pPr>
              <w:jc w:val="right"/>
              <w:spacing w:after="0"/>
              <w:rPr>
                <w:sz w:val="20"/>
                <w:szCs w:val="20"/>
                <w:color w:val="auto"/>
              </w:rPr>
            </w:pPr>
            <w:r>
              <w:rPr>
                <w:rFonts w:ascii="Arial" w:cs="Arial" w:eastAsia="Arial" w:hAnsi="Arial"/>
                <w:sz w:val="22"/>
                <w:szCs w:val="22"/>
                <w:color w:val="auto"/>
              </w:rPr>
              <w:t>147,969</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116,078</w:t>
            </w: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Long-term borrowings</w:t>
            </w:r>
          </w:p>
        </w:tc>
        <w:tc>
          <w:tcPr>
            <w:tcW w:w="1100" w:type="dxa"/>
            <w:vAlign w:val="bottom"/>
          </w:tcPr>
          <w:p>
            <w:pPr>
              <w:jc w:val="right"/>
              <w:spacing w:after="0"/>
              <w:rPr>
                <w:sz w:val="20"/>
                <w:szCs w:val="20"/>
                <w:color w:val="auto"/>
              </w:rPr>
            </w:pPr>
            <w:r>
              <w:rPr>
                <w:rFonts w:ascii="Arial" w:cs="Arial" w:eastAsia="Arial" w:hAnsi="Arial"/>
                <w:sz w:val="22"/>
                <w:szCs w:val="22"/>
                <w:color w:val="auto"/>
              </w:rPr>
              <w:t>151,848</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202,979</w:t>
            </w: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Deferred income taxes</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1,799</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1,813</w:t>
            </w:r>
          </w:p>
        </w:tc>
        <w:tc>
          <w:tcPr>
            <w:tcW w:w="0" w:type="dxa"/>
            <w:vAlign w:val="bottom"/>
          </w:tcPr>
          <w:p>
            <w:pPr>
              <w:spacing w:after="0"/>
              <w:rPr>
                <w:sz w:val="1"/>
                <w:szCs w:val="1"/>
                <w:color w:val="auto"/>
              </w:rPr>
            </w:pPr>
          </w:p>
        </w:tc>
      </w:tr>
      <w:tr>
        <w:trPr>
          <w:trHeight w:val="275"/>
        </w:trPr>
        <w:tc>
          <w:tcPr>
            <w:tcW w:w="6100" w:type="dxa"/>
            <w:vAlign w:val="bottom"/>
            <w:gridSpan w:val="2"/>
          </w:tcPr>
          <w:p>
            <w:pPr>
              <w:spacing w:after="0"/>
              <w:rPr>
                <w:sz w:val="20"/>
                <w:szCs w:val="20"/>
                <w:color w:val="auto"/>
              </w:rPr>
            </w:pPr>
            <w:r>
              <w:rPr>
                <w:rFonts w:ascii="Arial" w:cs="Arial" w:eastAsia="Arial" w:hAnsi="Arial"/>
                <w:sz w:val="22"/>
                <w:szCs w:val="22"/>
                <w:color w:val="auto"/>
              </w:rPr>
              <w:t>Other liabilities</w:t>
            </w:r>
          </w:p>
        </w:tc>
        <w:tc>
          <w:tcPr>
            <w:tcW w:w="1100" w:type="dxa"/>
            <w:vAlign w:val="bottom"/>
          </w:tcPr>
          <w:p>
            <w:pPr>
              <w:jc w:val="right"/>
              <w:spacing w:after="0"/>
              <w:rPr>
                <w:sz w:val="20"/>
                <w:szCs w:val="20"/>
                <w:color w:val="auto"/>
              </w:rPr>
            </w:pPr>
            <w:r>
              <w:rPr>
                <w:rFonts w:ascii="Arial" w:cs="Arial" w:eastAsia="Arial" w:hAnsi="Arial"/>
                <w:sz w:val="22"/>
                <w:szCs w:val="22"/>
                <w:color w:val="auto"/>
              </w:rPr>
              <w:t>4,594</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4,739</w:t>
            </w:r>
          </w:p>
        </w:tc>
        <w:tc>
          <w:tcPr>
            <w:tcW w:w="0" w:type="dxa"/>
            <w:vAlign w:val="bottom"/>
          </w:tcPr>
          <w:p>
            <w:pPr>
              <w:spacing w:after="0"/>
              <w:rPr>
                <w:sz w:val="1"/>
                <w:szCs w:val="1"/>
                <w:color w:val="auto"/>
              </w:rPr>
            </w:pPr>
          </w:p>
        </w:tc>
      </w:tr>
      <w:tr>
        <w:trPr>
          <w:trHeight w:val="98"/>
        </w:trPr>
        <w:tc>
          <w:tcPr>
            <w:tcW w:w="6100" w:type="dxa"/>
            <w:vAlign w:val="bottom"/>
            <w:gridSpan w:val="2"/>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420" w:type="dxa"/>
            <w:vAlign w:val="bottom"/>
            <w:gridSpan w:val="3"/>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00" w:type="dxa"/>
            <w:vAlign w:val="bottom"/>
            <w:gridSpan w:val="2"/>
          </w:tcPr>
          <w:p>
            <w:pPr>
              <w:ind w:left="100"/>
              <w:spacing w:after="0"/>
              <w:rPr>
                <w:sz w:val="20"/>
                <w:szCs w:val="20"/>
                <w:color w:val="auto"/>
              </w:rPr>
            </w:pPr>
            <w:r>
              <w:rPr>
                <w:rFonts w:ascii="Arial" w:cs="Arial" w:eastAsia="Arial" w:hAnsi="Arial"/>
                <w:sz w:val="22"/>
                <w:szCs w:val="22"/>
                <w:color w:val="auto"/>
              </w:rPr>
              <w:t>Total liabilities</w:t>
            </w:r>
          </w:p>
        </w:tc>
        <w:tc>
          <w:tcPr>
            <w:tcW w:w="1100" w:type="dxa"/>
            <w:vAlign w:val="bottom"/>
          </w:tcPr>
          <w:p>
            <w:pPr>
              <w:jc w:val="right"/>
              <w:spacing w:after="0"/>
              <w:rPr>
                <w:sz w:val="20"/>
                <w:szCs w:val="20"/>
                <w:color w:val="auto"/>
              </w:rPr>
            </w:pPr>
            <w:r>
              <w:rPr>
                <w:rFonts w:ascii="Arial" w:cs="Arial" w:eastAsia="Arial" w:hAnsi="Arial"/>
                <w:sz w:val="22"/>
                <w:szCs w:val="22"/>
                <w:color w:val="auto"/>
              </w:rPr>
              <w:t>306,210</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325,609</w:t>
            </w:r>
          </w:p>
        </w:tc>
        <w:tc>
          <w:tcPr>
            <w:tcW w:w="0" w:type="dxa"/>
            <w:vAlign w:val="bottom"/>
          </w:tcPr>
          <w:p>
            <w:pPr>
              <w:spacing w:after="0"/>
              <w:rPr>
                <w:sz w:val="1"/>
                <w:szCs w:val="1"/>
                <w:color w:val="auto"/>
              </w:rPr>
            </w:pPr>
          </w:p>
        </w:tc>
      </w:tr>
      <w:tr>
        <w:trPr>
          <w:trHeight w:val="486"/>
        </w:trPr>
        <w:tc>
          <w:tcPr>
            <w:tcW w:w="6100" w:type="dxa"/>
            <w:vAlign w:val="bottom"/>
            <w:gridSpan w:val="2"/>
          </w:tcPr>
          <w:p>
            <w:pPr>
              <w:spacing w:after="0"/>
              <w:rPr>
                <w:sz w:val="20"/>
                <w:szCs w:val="20"/>
                <w:color w:val="auto"/>
              </w:rPr>
            </w:pPr>
            <w:r>
              <w:rPr>
                <w:rFonts w:ascii="Arial" w:cs="Arial" w:eastAsia="Arial" w:hAnsi="Arial"/>
                <w:sz w:val="22"/>
                <w:szCs w:val="22"/>
                <w:color w:val="auto"/>
              </w:rPr>
              <w:t>Minority interest</w:t>
            </w:r>
          </w:p>
        </w:tc>
        <w:tc>
          <w:tcPr>
            <w:tcW w:w="1100" w:type="dxa"/>
            <w:vAlign w:val="bottom"/>
          </w:tcPr>
          <w:p>
            <w:pPr>
              <w:jc w:val="right"/>
              <w:spacing w:after="0"/>
              <w:rPr>
                <w:sz w:val="20"/>
                <w:szCs w:val="20"/>
                <w:color w:val="auto"/>
              </w:rPr>
            </w:pPr>
            <w:r>
              <w:rPr>
                <w:rFonts w:ascii="Arial" w:cs="Arial" w:eastAsia="Arial" w:hAnsi="Arial"/>
                <w:sz w:val="22"/>
                <w:szCs w:val="22"/>
                <w:color w:val="auto"/>
              </w:rPr>
              <w:t>48,608</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49,616</w:t>
            </w:r>
          </w:p>
        </w:tc>
        <w:tc>
          <w:tcPr>
            <w:tcW w:w="0" w:type="dxa"/>
            <w:vAlign w:val="bottom"/>
          </w:tcPr>
          <w:p>
            <w:pPr>
              <w:spacing w:after="0"/>
              <w:rPr>
                <w:sz w:val="1"/>
                <w:szCs w:val="1"/>
                <w:color w:val="auto"/>
              </w:rPr>
            </w:pPr>
          </w:p>
        </w:tc>
      </w:tr>
      <w:tr>
        <w:trPr>
          <w:trHeight w:val="486"/>
        </w:trPr>
        <w:tc>
          <w:tcPr>
            <w:tcW w:w="6100" w:type="dxa"/>
            <w:vAlign w:val="bottom"/>
            <w:gridSpan w:val="2"/>
          </w:tcPr>
          <w:p>
            <w:pPr>
              <w:spacing w:after="0"/>
              <w:rPr>
                <w:sz w:val="20"/>
                <w:szCs w:val="20"/>
                <w:color w:val="auto"/>
              </w:rPr>
            </w:pPr>
            <w:r>
              <w:rPr>
                <w:rFonts w:ascii="Arial" w:cs="Arial" w:eastAsia="Arial" w:hAnsi="Arial"/>
                <w:sz w:val="22"/>
                <w:szCs w:val="22"/>
                <w:color w:val="auto"/>
              </w:rPr>
              <w:t>Commitments and contingencies</w:t>
            </w: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55"/>
        </w:trPr>
        <w:tc>
          <w:tcPr>
            <w:tcW w:w="6100" w:type="dxa"/>
            <w:vAlign w:val="bottom"/>
            <w:gridSpan w:val="2"/>
          </w:tcPr>
          <w:p>
            <w:pPr>
              <w:spacing w:after="0"/>
              <w:rPr>
                <w:sz w:val="20"/>
                <w:szCs w:val="20"/>
                <w:color w:val="auto"/>
              </w:rPr>
            </w:pPr>
            <w:r>
              <w:rPr>
                <w:rFonts w:ascii="Arial" w:cs="Arial" w:eastAsia="Arial" w:hAnsi="Arial"/>
                <w:sz w:val="22"/>
                <w:szCs w:val="22"/>
                <w:color w:val="auto"/>
              </w:rPr>
              <w:t>Shareholders' equity: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Preferred stock, $0.01 par value,</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2,000 shares authorized, none issued and outstanding</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610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Common stock, $0.01 par value,</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160"/>
              <w:spacing w:after="0" w:line="243" w:lineRule="exact"/>
              <w:rPr>
                <w:sz w:val="20"/>
                <w:szCs w:val="20"/>
                <w:color w:val="auto"/>
              </w:rPr>
            </w:pPr>
            <w:r>
              <w:rPr>
                <w:rFonts w:ascii="Arial" w:cs="Arial" w:eastAsia="Arial" w:hAnsi="Arial"/>
                <w:sz w:val="22"/>
                <w:szCs w:val="22"/>
                <w:color w:val="auto"/>
                <w:w w:val="91"/>
              </w:rPr>
              <w:t>150,000 shares authorized, 41,757 shares issued and outstanding</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00" w:type="dxa"/>
            <w:vAlign w:val="bottom"/>
            <w:gridSpan w:val="2"/>
          </w:tcPr>
          <w:p>
            <w:pPr>
              <w:ind w:left="220"/>
              <w:spacing w:after="0"/>
              <w:rPr>
                <w:sz w:val="20"/>
                <w:szCs w:val="20"/>
                <w:color w:val="auto"/>
              </w:rPr>
            </w:pPr>
            <w:r>
              <w:rPr>
                <w:rFonts w:ascii="Arial" w:cs="Arial" w:eastAsia="Arial" w:hAnsi="Arial"/>
                <w:sz w:val="22"/>
                <w:szCs w:val="22"/>
                <w:color w:val="auto"/>
              </w:rPr>
              <w:t>at February 1, 2009 and 41,712 at November 2, 2008</w:t>
            </w:r>
          </w:p>
        </w:tc>
        <w:tc>
          <w:tcPr>
            <w:tcW w:w="1100" w:type="dxa"/>
            <w:vAlign w:val="bottom"/>
          </w:tcPr>
          <w:p>
            <w:pPr>
              <w:jc w:val="right"/>
              <w:spacing w:after="0"/>
              <w:rPr>
                <w:sz w:val="20"/>
                <w:szCs w:val="20"/>
                <w:color w:val="auto"/>
              </w:rPr>
            </w:pPr>
            <w:r>
              <w:rPr>
                <w:rFonts w:ascii="Arial" w:cs="Arial" w:eastAsia="Arial" w:hAnsi="Arial"/>
                <w:sz w:val="22"/>
                <w:szCs w:val="22"/>
                <w:color w:val="auto"/>
              </w:rPr>
              <w:t>418</w:t>
            </w:r>
          </w:p>
        </w:tc>
        <w:tc>
          <w:tcPr>
            <w:tcW w:w="1620" w:type="dxa"/>
            <w:vAlign w:val="bottom"/>
            <w:gridSpan w:val="4"/>
          </w:tcPr>
          <w:p>
            <w:pPr>
              <w:jc w:val="right"/>
              <w:spacing w:after="0"/>
              <w:rPr>
                <w:sz w:val="20"/>
                <w:szCs w:val="20"/>
                <w:color w:val="auto"/>
              </w:rPr>
            </w:pPr>
            <w:r>
              <w:rPr>
                <w:rFonts w:ascii="Arial" w:cs="Arial" w:eastAsia="Arial" w:hAnsi="Arial"/>
                <w:sz w:val="22"/>
                <w:szCs w:val="22"/>
                <w:color w:val="auto"/>
              </w:rPr>
              <w:t>417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-4115435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-4115435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-4115435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-4115435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1" w:orient="portrait"/>
          <w:cols w:equalWidth="0" w:num="1">
            <w:col w:w="10219"/>
          </w:cols>
          <w:pgMar w:left="240" w:top="118" w:right="1440" w:bottom="0" w:gutter="0" w:footer="0" w:header="0"/>
        </w:sectPr>
      </w:pPr>
    </w:p>
    <w:bookmarkStart w:id="3" w:name="page4"/>
    <w:bookmarkEnd w:id="3"/>
    <w:p>
      <w:pPr>
        <w:spacing w:after="0" w:line="62"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5980" w:type="dxa"/>
            <w:vAlign w:val="bottom"/>
          </w:tcPr>
          <w:p>
            <w:pPr>
              <w:spacing w:after="0"/>
              <w:rPr>
                <w:sz w:val="20"/>
                <w:szCs w:val="20"/>
                <w:color w:val="auto"/>
              </w:rPr>
            </w:pPr>
            <w:r>
              <w:rPr>
                <w:rFonts w:ascii="Arial" w:cs="Arial" w:eastAsia="Arial" w:hAnsi="Arial"/>
                <w:sz w:val="22"/>
                <w:szCs w:val="22"/>
                <w:color w:val="auto"/>
              </w:rPr>
              <w:t>Additional paid-in capital</w:t>
            </w:r>
          </w:p>
        </w:tc>
        <w:tc>
          <w:tcPr>
            <w:tcW w:w="1120" w:type="dxa"/>
            <w:vAlign w:val="bottom"/>
          </w:tcPr>
          <w:p>
            <w:pPr>
              <w:jc w:val="right"/>
              <w:spacing w:after="0"/>
              <w:rPr>
                <w:sz w:val="20"/>
                <w:szCs w:val="20"/>
                <w:color w:val="auto"/>
              </w:rPr>
            </w:pPr>
            <w:r>
              <w:rPr>
                <w:rFonts w:ascii="Arial" w:cs="Arial" w:eastAsia="Arial" w:hAnsi="Arial"/>
                <w:sz w:val="22"/>
                <w:szCs w:val="22"/>
                <w:color w:val="auto"/>
              </w:rPr>
              <w:t>385,188</w:t>
            </w:r>
          </w:p>
        </w:tc>
        <w:tc>
          <w:tcPr>
            <w:tcW w:w="1620" w:type="dxa"/>
            <w:vAlign w:val="bottom"/>
            <w:gridSpan w:val="2"/>
          </w:tcPr>
          <w:p>
            <w:pPr>
              <w:jc w:val="right"/>
              <w:ind w:right="80"/>
              <w:spacing w:after="0"/>
              <w:rPr>
                <w:sz w:val="20"/>
                <w:szCs w:val="20"/>
                <w:color w:val="auto"/>
              </w:rPr>
            </w:pPr>
            <w:r>
              <w:rPr>
                <w:rFonts w:ascii="Arial" w:cs="Arial" w:eastAsia="Arial" w:hAnsi="Arial"/>
                <w:sz w:val="22"/>
                <w:szCs w:val="22"/>
                <w:color w:val="auto"/>
              </w:rPr>
              <w:t>384,502</w:t>
            </w:r>
          </w:p>
        </w:tc>
      </w:tr>
      <w:tr>
        <w:trPr>
          <w:trHeight w:val="243"/>
        </w:trPr>
        <w:tc>
          <w:tcPr>
            <w:tcW w:w="5980" w:type="dxa"/>
            <w:vAlign w:val="bottom"/>
          </w:tcPr>
          <w:p>
            <w:pPr>
              <w:spacing w:after="0" w:line="243" w:lineRule="exact"/>
              <w:rPr>
                <w:sz w:val="20"/>
                <w:szCs w:val="20"/>
                <w:color w:val="auto"/>
              </w:rPr>
            </w:pPr>
            <w:r>
              <w:rPr>
                <w:rFonts w:ascii="Arial" w:cs="Arial" w:eastAsia="Arial" w:hAnsi="Arial"/>
                <w:sz w:val="22"/>
                <w:szCs w:val="22"/>
                <w:color w:val="auto"/>
              </w:rPr>
              <w:t>Retained earnings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5,131</w:t>
            </w:r>
          </w:p>
        </w:tc>
        <w:tc>
          <w:tcPr>
            <w:tcW w:w="16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15,364</w:t>
            </w:r>
          </w:p>
        </w:tc>
      </w:tr>
      <w:tr>
        <w:trPr>
          <w:trHeight w:val="275"/>
        </w:trPr>
        <w:tc>
          <w:tcPr>
            <w:tcW w:w="5980" w:type="dxa"/>
            <w:vAlign w:val="bottom"/>
          </w:tcPr>
          <w:p>
            <w:pPr>
              <w:spacing w:after="0"/>
              <w:rPr>
                <w:sz w:val="20"/>
                <w:szCs w:val="20"/>
                <w:color w:val="auto"/>
              </w:rPr>
            </w:pPr>
            <w:r>
              <w:rPr>
                <w:rFonts w:ascii="Arial" w:cs="Arial" w:eastAsia="Arial" w:hAnsi="Arial"/>
                <w:sz w:val="22"/>
                <w:szCs w:val="22"/>
                <w:color w:val="auto"/>
              </w:rPr>
              <w:t>Accumulated other comprehensive loss</w:t>
            </w:r>
          </w:p>
        </w:tc>
        <w:tc>
          <w:tcPr>
            <w:tcW w:w="1120" w:type="dxa"/>
            <w:vAlign w:val="bottom"/>
          </w:tcPr>
          <w:p>
            <w:pPr>
              <w:jc w:val="right"/>
              <w:spacing w:after="0"/>
              <w:rPr>
                <w:sz w:val="20"/>
                <w:szCs w:val="20"/>
                <w:color w:val="auto"/>
              </w:rPr>
            </w:pPr>
            <w:r>
              <w:rPr>
                <w:rFonts w:ascii="Arial" w:cs="Arial" w:eastAsia="Arial" w:hAnsi="Arial"/>
                <w:sz w:val="22"/>
                <w:szCs w:val="22"/>
                <w:color w:val="auto"/>
              </w:rPr>
              <w:t>(33,052)</w:t>
            </w:r>
          </w:p>
        </w:tc>
        <w:tc>
          <w:tcPr>
            <w:tcW w:w="1620" w:type="dxa"/>
            <w:vAlign w:val="bottom"/>
            <w:gridSpan w:val="2"/>
          </w:tcPr>
          <w:p>
            <w:pPr>
              <w:jc w:val="right"/>
              <w:ind w:right="20"/>
              <w:spacing w:after="0"/>
              <w:rPr>
                <w:sz w:val="20"/>
                <w:szCs w:val="20"/>
                <w:color w:val="auto"/>
              </w:rPr>
            </w:pPr>
            <w:r>
              <w:rPr>
                <w:rFonts w:ascii="Arial" w:cs="Arial" w:eastAsia="Arial" w:hAnsi="Arial"/>
                <w:sz w:val="22"/>
                <w:szCs w:val="22"/>
                <w:color w:val="auto"/>
              </w:rPr>
              <w:t>(17,501)</w:t>
            </w:r>
          </w:p>
        </w:tc>
      </w:tr>
      <w:tr>
        <w:trPr>
          <w:trHeight w:val="98"/>
        </w:trPr>
        <w:tc>
          <w:tcPr>
            <w:tcW w:w="59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r>
      <w:tr>
        <w:trPr>
          <w:trHeight w:val="368"/>
        </w:trPr>
        <w:tc>
          <w:tcPr>
            <w:tcW w:w="5980" w:type="dxa"/>
            <w:vAlign w:val="bottom"/>
          </w:tcPr>
          <w:p>
            <w:pPr>
              <w:ind w:left="120"/>
              <w:spacing w:after="0"/>
              <w:rPr>
                <w:sz w:val="20"/>
                <w:szCs w:val="20"/>
                <w:color w:val="auto"/>
              </w:rPr>
            </w:pPr>
            <w:r>
              <w:rPr>
                <w:rFonts w:ascii="Arial" w:cs="Arial" w:eastAsia="Arial" w:hAnsi="Arial"/>
                <w:sz w:val="22"/>
                <w:szCs w:val="22"/>
                <w:color w:val="auto"/>
              </w:rPr>
              <w:t>Total shareholders' equity</w:t>
            </w:r>
          </w:p>
        </w:tc>
        <w:tc>
          <w:tcPr>
            <w:tcW w:w="1120" w:type="dxa"/>
            <w:vAlign w:val="bottom"/>
          </w:tcPr>
          <w:p>
            <w:pPr>
              <w:jc w:val="right"/>
              <w:spacing w:after="0"/>
              <w:rPr>
                <w:sz w:val="20"/>
                <w:szCs w:val="20"/>
                <w:color w:val="auto"/>
              </w:rPr>
            </w:pPr>
            <w:r>
              <w:rPr>
                <w:rFonts w:ascii="Arial" w:cs="Arial" w:eastAsia="Arial" w:hAnsi="Arial"/>
                <w:sz w:val="22"/>
                <w:szCs w:val="22"/>
                <w:color w:val="auto"/>
              </w:rPr>
              <w:t>357,685</w:t>
            </w:r>
          </w:p>
        </w:tc>
        <w:tc>
          <w:tcPr>
            <w:tcW w:w="1620" w:type="dxa"/>
            <w:vAlign w:val="bottom"/>
            <w:gridSpan w:val="2"/>
          </w:tcPr>
          <w:p>
            <w:pPr>
              <w:jc w:val="right"/>
              <w:ind w:right="80"/>
              <w:spacing w:after="0"/>
              <w:rPr>
                <w:sz w:val="20"/>
                <w:szCs w:val="20"/>
                <w:color w:val="auto"/>
              </w:rPr>
            </w:pPr>
            <w:r>
              <w:rPr>
                <w:rFonts w:ascii="Arial" w:cs="Arial" w:eastAsia="Arial" w:hAnsi="Arial"/>
                <w:sz w:val="22"/>
                <w:szCs w:val="22"/>
                <w:color w:val="auto"/>
              </w:rPr>
              <w:t>382,782</w:t>
            </w:r>
          </w:p>
        </w:tc>
      </w:tr>
      <w:tr>
        <w:trPr>
          <w:trHeight w:val="98"/>
        </w:trPr>
        <w:tc>
          <w:tcPr>
            <w:tcW w:w="59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r>
      <w:tr>
        <w:trPr>
          <w:trHeight w:val="368"/>
        </w:trPr>
        <w:tc>
          <w:tcPr>
            <w:tcW w:w="5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$712,503</w:t>
            </w:r>
          </w:p>
        </w:tc>
        <w:tc>
          <w:tcPr>
            <w:tcW w:w="1620" w:type="dxa"/>
            <w:vAlign w:val="bottom"/>
            <w:gridSpan w:val="2"/>
          </w:tcPr>
          <w:p>
            <w:pPr>
              <w:jc w:val="right"/>
              <w:ind w:right="80"/>
              <w:spacing w:after="0"/>
              <w:rPr>
                <w:sz w:val="20"/>
                <w:szCs w:val="20"/>
                <w:color w:val="auto"/>
              </w:rPr>
            </w:pPr>
            <w:r>
              <w:rPr>
                <w:rFonts w:ascii="Arial" w:cs="Arial" w:eastAsia="Arial" w:hAnsi="Arial"/>
                <w:sz w:val="22"/>
                <w:szCs w:val="22"/>
                <w:color w:val="auto"/>
              </w:rPr>
              <w:t>$758,007</w:t>
            </w:r>
          </w:p>
        </w:tc>
      </w:tr>
      <w:tr>
        <w:trPr>
          <w:trHeight w:val="122"/>
        </w:trPr>
        <w:tc>
          <w:tcPr>
            <w:tcW w:w="598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Condensed Consolidated Statements of Operations</w:t>
      </w:r>
    </w:p>
    <w:p>
      <w:pPr>
        <w:jc w:val="center"/>
        <w:ind w:right="-2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81"/>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3"/>
          </w:tcPr>
          <w:p>
            <w:pPr>
              <w:jc w:val="right"/>
              <w:ind w:right="30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2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22"/>
                <w:szCs w:val="22"/>
                <w:b w:val="1"/>
                <w:bCs w:val="1"/>
                <w:color w:val="auto"/>
              </w:rPr>
              <w:t>February 1,</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b w:val="1"/>
                <w:bCs w:val="1"/>
                <w:color w:val="auto"/>
              </w:rPr>
              <w:t>January 27,</w:t>
            </w:r>
          </w:p>
        </w:tc>
        <w:tc>
          <w:tcPr>
            <w:tcW w:w="0" w:type="dxa"/>
            <w:vAlign w:val="bottom"/>
          </w:tcPr>
          <w:p>
            <w:pPr>
              <w:spacing w:after="0"/>
              <w:rPr>
                <w:sz w:val="1"/>
                <w:szCs w:val="1"/>
                <w:color w:val="auto"/>
              </w:rPr>
            </w:pPr>
          </w:p>
        </w:tc>
      </w:tr>
      <w:tr>
        <w:trPr>
          <w:trHeight w:val="281"/>
        </w:trPr>
        <w:tc>
          <w:tcPr>
            <w:tcW w:w="5200" w:type="dxa"/>
            <w:vAlign w:val="bottom"/>
          </w:tcPr>
          <w:p>
            <w:pPr>
              <w:spacing w:after="0"/>
              <w:rPr>
                <w:sz w:val="24"/>
                <w:szCs w:val="24"/>
                <w:color w:val="auto"/>
              </w:rPr>
            </w:pPr>
          </w:p>
        </w:tc>
        <w:tc>
          <w:tcPr>
            <w:tcW w:w="128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42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5200" w:type="dxa"/>
            <w:vAlign w:val="bottom"/>
          </w:tcPr>
          <w:p>
            <w:pPr>
              <w:spacing w:after="0"/>
              <w:rPr>
                <w:sz w:val="20"/>
                <w:szCs w:val="20"/>
                <w:color w:val="auto"/>
              </w:rPr>
            </w:pPr>
            <w:r>
              <w:rPr>
                <w:rFonts w:ascii="Arial" w:cs="Arial" w:eastAsia="Arial" w:hAnsi="Arial"/>
                <w:sz w:val="22"/>
                <w:szCs w:val="22"/>
                <w:color w:val="auto"/>
              </w:rPr>
              <w:t>Net sales</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$ 88,042</w:t>
            </w:r>
          </w:p>
        </w:tc>
        <w:tc>
          <w:tcPr>
            <w:tcW w:w="1420" w:type="dxa"/>
            <w:vAlign w:val="bottom"/>
            <w:gridSpan w:val="2"/>
          </w:tcPr>
          <w:p>
            <w:pPr>
              <w:jc w:val="right"/>
              <w:ind w:right="80"/>
              <w:spacing w:after="0"/>
              <w:rPr>
                <w:sz w:val="20"/>
                <w:szCs w:val="20"/>
                <w:color w:val="auto"/>
              </w:rPr>
            </w:pPr>
            <w:r>
              <w:rPr>
                <w:rFonts w:ascii="Arial" w:cs="Arial" w:eastAsia="Arial" w:hAnsi="Arial"/>
                <w:sz w:val="22"/>
                <w:szCs w:val="22"/>
                <w:color w:val="auto"/>
              </w:rPr>
              <w:t>$103,215</w:t>
            </w:r>
          </w:p>
        </w:tc>
        <w:tc>
          <w:tcPr>
            <w:tcW w:w="0" w:type="dxa"/>
            <w:vAlign w:val="bottom"/>
          </w:tcPr>
          <w:p>
            <w:pPr>
              <w:spacing w:after="0"/>
              <w:rPr>
                <w:sz w:val="1"/>
                <w:szCs w:val="1"/>
                <w:color w:val="auto"/>
              </w:rPr>
            </w:pPr>
          </w:p>
        </w:tc>
      </w:tr>
      <w:tr>
        <w:trPr>
          <w:trHeight w:val="486"/>
        </w:trPr>
        <w:tc>
          <w:tcPr>
            <w:tcW w:w="5200" w:type="dxa"/>
            <w:vAlign w:val="bottom"/>
          </w:tcPr>
          <w:p>
            <w:pPr>
              <w:spacing w:after="0"/>
              <w:rPr>
                <w:sz w:val="20"/>
                <w:szCs w:val="20"/>
                <w:color w:val="auto"/>
              </w:rPr>
            </w:pPr>
            <w:r>
              <w:rPr>
                <w:rFonts w:ascii="Arial" w:cs="Arial" w:eastAsia="Arial" w:hAnsi="Arial"/>
                <w:sz w:val="22"/>
                <w:szCs w:val="22"/>
                <w:color w:val="auto"/>
              </w:rPr>
              <w:t>Costs and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200" w:type="dxa"/>
            <w:vAlign w:val="bottom"/>
          </w:tcPr>
          <w:p>
            <w:pPr>
              <w:ind w:left="120"/>
              <w:spacing w:after="0"/>
              <w:rPr>
                <w:sz w:val="20"/>
                <w:szCs w:val="20"/>
                <w:color w:val="auto"/>
              </w:rPr>
            </w:pPr>
            <w:r>
              <w:rPr>
                <w:rFonts w:ascii="Arial" w:cs="Arial" w:eastAsia="Arial" w:hAnsi="Arial"/>
                <w:sz w:val="22"/>
                <w:szCs w:val="22"/>
                <w:color w:val="auto"/>
              </w:rPr>
              <w:t>Cost of sales</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(77,483)</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(82,619)</w:t>
            </w:r>
          </w:p>
        </w:tc>
        <w:tc>
          <w:tcPr>
            <w:tcW w:w="0" w:type="dxa"/>
            <w:vAlign w:val="bottom"/>
          </w:tcPr>
          <w:p>
            <w:pPr>
              <w:spacing w:after="0"/>
              <w:rPr>
                <w:sz w:val="1"/>
                <w:szCs w:val="1"/>
                <w:color w:val="auto"/>
              </w:rPr>
            </w:pPr>
          </w:p>
        </w:tc>
      </w:tr>
      <w:tr>
        <w:trPr>
          <w:trHeight w:val="486"/>
        </w:trPr>
        <w:tc>
          <w:tcPr>
            <w:tcW w:w="52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(10,402)</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(16,302)</w:t>
            </w:r>
          </w:p>
        </w:tc>
        <w:tc>
          <w:tcPr>
            <w:tcW w:w="0" w:type="dxa"/>
            <w:vAlign w:val="bottom"/>
          </w:tcPr>
          <w:p>
            <w:pPr>
              <w:spacing w:after="0"/>
              <w:rPr>
                <w:sz w:val="1"/>
                <w:szCs w:val="1"/>
                <w:color w:val="auto"/>
              </w:rPr>
            </w:pPr>
          </w:p>
        </w:tc>
      </w:tr>
      <w:tr>
        <w:trPr>
          <w:trHeight w:val="486"/>
        </w:trPr>
        <w:tc>
          <w:tcPr>
            <w:tcW w:w="52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(3,624)</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(4,238)</w:t>
            </w:r>
          </w:p>
        </w:tc>
        <w:tc>
          <w:tcPr>
            <w:tcW w:w="0" w:type="dxa"/>
            <w:vAlign w:val="bottom"/>
          </w:tcPr>
          <w:p>
            <w:pPr>
              <w:spacing w:after="0"/>
              <w:rPr>
                <w:sz w:val="1"/>
                <w:szCs w:val="1"/>
                <w:color w:val="auto"/>
              </w:rPr>
            </w:pPr>
          </w:p>
        </w:tc>
      </w:tr>
      <w:tr>
        <w:trPr>
          <w:trHeight w:val="486"/>
        </w:trPr>
        <w:tc>
          <w:tcPr>
            <w:tcW w:w="5200" w:type="dxa"/>
            <w:vAlign w:val="bottom"/>
          </w:tcPr>
          <w:p>
            <w:pPr>
              <w:ind w:left="120"/>
              <w:spacing w:after="0"/>
              <w:rPr>
                <w:sz w:val="20"/>
                <w:szCs w:val="20"/>
                <w:color w:val="auto"/>
              </w:rPr>
            </w:pPr>
            <w:r>
              <w:rPr>
                <w:rFonts w:ascii="Arial" w:cs="Arial" w:eastAsia="Arial" w:hAnsi="Arial"/>
                <w:sz w:val="22"/>
                <w:szCs w:val="22"/>
                <w:color w:val="auto"/>
              </w:rPr>
              <w:t>Consolidation, restructuring and related charges</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(1,680)</w:t>
            </w:r>
          </w:p>
        </w:tc>
        <w:tc>
          <w:tcPr>
            <w:tcW w:w="142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00" w:type="dxa"/>
            <w:vAlign w:val="bottom"/>
          </w:tcPr>
          <w:p>
            <w:pPr>
              <w:spacing w:after="0"/>
              <w:rPr>
                <w:sz w:val="20"/>
                <w:szCs w:val="20"/>
                <w:color w:val="auto"/>
              </w:rPr>
            </w:pPr>
            <w:r>
              <w:rPr>
                <w:rFonts w:ascii="Arial" w:cs="Arial" w:eastAsia="Arial" w:hAnsi="Arial"/>
                <w:sz w:val="22"/>
                <w:szCs w:val="22"/>
                <w:color w:val="auto"/>
              </w:rPr>
              <w:t>Operating income (loss)</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(5,147)</w:t>
            </w:r>
          </w:p>
        </w:tc>
        <w:tc>
          <w:tcPr>
            <w:tcW w:w="1420" w:type="dxa"/>
            <w:vAlign w:val="bottom"/>
            <w:gridSpan w:val="2"/>
          </w:tcPr>
          <w:p>
            <w:pPr>
              <w:jc w:val="right"/>
              <w:ind w:right="80"/>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455"/>
        </w:trPr>
        <w:tc>
          <w:tcPr>
            <w:tcW w:w="5200" w:type="dxa"/>
            <w:vAlign w:val="bottom"/>
          </w:tcPr>
          <w:p>
            <w:pPr>
              <w:spacing w:after="0"/>
              <w:rPr>
                <w:sz w:val="20"/>
                <w:szCs w:val="20"/>
                <w:color w:val="auto"/>
              </w:rPr>
            </w:pPr>
            <w:r>
              <w:rPr>
                <w:rFonts w:ascii="Arial" w:cs="Arial" w:eastAsia="Arial" w:hAnsi="Arial"/>
                <w:sz w:val="22"/>
                <w:szCs w:val="22"/>
                <w:color w:val="auto"/>
              </w:rPr>
              <w:t>Other income (expense):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line="243" w:lineRule="exact"/>
              <w:rPr>
                <w:sz w:val="20"/>
                <w:szCs w:val="20"/>
                <w:color w:val="auto"/>
              </w:rPr>
            </w:pPr>
            <w:r>
              <w:rPr>
                <w:rFonts w:ascii="Arial" w:cs="Arial" w:eastAsia="Arial" w:hAnsi="Arial"/>
                <w:sz w:val="22"/>
                <w:szCs w:val="22"/>
                <w:color w:val="auto"/>
              </w:rPr>
              <w:t>Interest expense</w:t>
            </w:r>
          </w:p>
        </w:tc>
        <w:tc>
          <w:tcPr>
            <w:tcW w:w="12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(4,646)</w:t>
            </w:r>
          </w:p>
        </w:tc>
        <w:tc>
          <w:tcPr>
            <w:tcW w:w="14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(2,134)</w:t>
            </w:r>
          </w:p>
        </w:tc>
        <w:tc>
          <w:tcPr>
            <w:tcW w:w="0" w:type="dxa"/>
            <w:vAlign w:val="bottom"/>
          </w:tcPr>
          <w:p>
            <w:pPr>
              <w:spacing w:after="0"/>
              <w:rPr>
                <w:sz w:val="1"/>
                <w:szCs w:val="1"/>
                <w:color w:val="auto"/>
              </w:rPr>
            </w:pPr>
          </w:p>
        </w:tc>
      </w:tr>
      <w:tr>
        <w:trPr>
          <w:trHeight w:val="275"/>
        </w:trPr>
        <w:tc>
          <w:tcPr>
            <w:tcW w:w="5200" w:type="dxa"/>
            <w:vAlign w:val="bottom"/>
          </w:tcPr>
          <w:p>
            <w:pPr>
              <w:ind w:left="280"/>
              <w:spacing w:after="0"/>
              <w:rPr>
                <w:sz w:val="20"/>
                <w:szCs w:val="20"/>
                <w:color w:val="auto"/>
              </w:rPr>
            </w:pPr>
            <w:r>
              <w:rPr>
                <w:rFonts w:ascii="Arial" w:cs="Arial" w:eastAsia="Arial" w:hAnsi="Arial"/>
                <w:sz w:val="22"/>
                <w:szCs w:val="22"/>
                <w:color w:val="auto"/>
              </w:rPr>
              <w:t>Investment and other income, net</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1,023</w:t>
            </w:r>
          </w:p>
        </w:tc>
        <w:tc>
          <w:tcPr>
            <w:tcW w:w="1420" w:type="dxa"/>
            <w:vAlign w:val="bottom"/>
            <w:gridSpan w:val="2"/>
          </w:tcPr>
          <w:p>
            <w:pPr>
              <w:jc w:val="right"/>
              <w:ind w:right="80"/>
              <w:spacing w:after="0"/>
              <w:rPr>
                <w:sz w:val="20"/>
                <w:szCs w:val="20"/>
                <w:color w:val="auto"/>
              </w:rPr>
            </w:pPr>
            <w:r>
              <w:rPr>
                <w:rFonts w:ascii="Arial" w:cs="Arial" w:eastAsia="Arial" w:hAnsi="Arial"/>
                <w:sz w:val="22"/>
                <w:szCs w:val="22"/>
                <w:color w:val="auto"/>
              </w:rPr>
              <w:t>1,566</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00" w:type="dxa"/>
            <w:vAlign w:val="bottom"/>
          </w:tcPr>
          <w:p>
            <w:pPr>
              <w:ind w:left="280"/>
              <w:spacing w:after="0"/>
              <w:rPr>
                <w:sz w:val="20"/>
                <w:szCs w:val="20"/>
                <w:color w:val="auto"/>
              </w:rPr>
            </w:pPr>
            <w:r>
              <w:rPr>
                <w:rFonts w:ascii="Arial" w:cs="Arial" w:eastAsia="Arial" w:hAnsi="Arial"/>
                <w:sz w:val="22"/>
                <w:szCs w:val="22"/>
                <w:color w:val="auto"/>
              </w:rPr>
              <w:t>Loss before income taxes and minority interest</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(8,770)</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(512)</w:t>
            </w:r>
          </w:p>
        </w:tc>
        <w:tc>
          <w:tcPr>
            <w:tcW w:w="0" w:type="dxa"/>
            <w:vAlign w:val="bottom"/>
          </w:tcPr>
          <w:p>
            <w:pPr>
              <w:spacing w:after="0"/>
              <w:rPr>
                <w:sz w:val="1"/>
                <w:szCs w:val="1"/>
                <w:color w:val="auto"/>
              </w:rPr>
            </w:pPr>
          </w:p>
        </w:tc>
      </w:tr>
      <w:tr>
        <w:trPr>
          <w:trHeight w:val="486"/>
        </w:trPr>
        <w:tc>
          <w:tcPr>
            <w:tcW w:w="5200" w:type="dxa"/>
            <w:vAlign w:val="bottom"/>
          </w:tcPr>
          <w:p>
            <w:pPr>
              <w:spacing w:after="0"/>
              <w:rPr>
                <w:sz w:val="20"/>
                <w:szCs w:val="20"/>
                <w:color w:val="auto"/>
              </w:rPr>
            </w:pPr>
            <w:r>
              <w:rPr>
                <w:rFonts w:ascii="Arial" w:cs="Arial" w:eastAsia="Arial" w:hAnsi="Arial"/>
                <w:sz w:val="22"/>
                <w:szCs w:val="22"/>
                <w:color w:val="auto"/>
              </w:rPr>
              <w:t>Income tax provision</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(1,197)</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(1,873)</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00" w:type="dxa"/>
            <w:vAlign w:val="bottom"/>
          </w:tcPr>
          <w:p>
            <w:pPr>
              <w:ind w:left="280"/>
              <w:spacing w:after="0"/>
              <w:rPr>
                <w:sz w:val="20"/>
                <w:szCs w:val="20"/>
                <w:color w:val="auto"/>
              </w:rPr>
            </w:pPr>
            <w:r>
              <w:rPr>
                <w:rFonts w:ascii="Arial" w:cs="Arial" w:eastAsia="Arial" w:hAnsi="Arial"/>
                <w:sz w:val="22"/>
                <w:szCs w:val="22"/>
                <w:color w:val="auto"/>
              </w:rPr>
              <w:t>Loss before minority interest</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(9,967)</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(2,385)</w:t>
            </w:r>
          </w:p>
        </w:tc>
        <w:tc>
          <w:tcPr>
            <w:tcW w:w="0" w:type="dxa"/>
            <w:vAlign w:val="bottom"/>
          </w:tcPr>
          <w:p>
            <w:pPr>
              <w:spacing w:after="0"/>
              <w:rPr>
                <w:sz w:val="1"/>
                <w:szCs w:val="1"/>
                <w:color w:val="auto"/>
              </w:rPr>
            </w:pPr>
          </w:p>
        </w:tc>
      </w:tr>
      <w:tr>
        <w:trPr>
          <w:trHeight w:val="486"/>
        </w:trPr>
        <w:tc>
          <w:tcPr>
            <w:tcW w:w="5200" w:type="dxa"/>
            <w:vAlign w:val="bottom"/>
          </w:tcPr>
          <w:p>
            <w:pPr>
              <w:spacing w:after="0"/>
              <w:rPr>
                <w:sz w:val="20"/>
                <w:szCs w:val="20"/>
                <w:color w:val="auto"/>
              </w:rPr>
            </w:pPr>
            <w:r>
              <w:rPr>
                <w:rFonts w:ascii="Arial" w:cs="Arial" w:eastAsia="Arial" w:hAnsi="Arial"/>
                <w:sz w:val="22"/>
                <w:szCs w:val="22"/>
                <w:color w:val="auto"/>
                <w:w w:val="97"/>
              </w:rPr>
              <w:t>Minority interest in income of consolidated subsidiaries</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(266)</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(955)</w:t>
            </w: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00" w:type="dxa"/>
            <w:vAlign w:val="bottom"/>
          </w:tcPr>
          <w:p>
            <w:pPr>
              <w:spacing w:after="0"/>
              <w:rPr>
                <w:sz w:val="20"/>
                <w:szCs w:val="20"/>
                <w:color w:val="auto"/>
              </w:rPr>
            </w:pPr>
            <w:r>
              <w:rPr>
                <w:rFonts w:ascii="Arial" w:cs="Arial" w:eastAsia="Arial" w:hAnsi="Arial"/>
                <w:sz w:val="22"/>
                <w:szCs w:val="22"/>
                <w:color w:val="auto"/>
              </w:rPr>
              <w:t>Net loss</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$(10,233)</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 (3,340)</w:t>
            </w:r>
          </w:p>
        </w:tc>
        <w:tc>
          <w:tcPr>
            <w:tcW w:w="0" w:type="dxa"/>
            <w:vAlign w:val="bottom"/>
          </w:tcPr>
          <w:p>
            <w:pPr>
              <w:spacing w:after="0"/>
              <w:rPr>
                <w:sz w:val="1"/>
                <w:szCs w:val="1"/>
                <w:color w:val="auto"/>
              </w:rPr>
            </w:pPr>
          </w:p>
        </w:tc>
      </w:tr>
      <w:tr>
        <w:trPr>
          <w:trHeight w:val="122"/>
        </w:trPr>
        <w:tc>
          <w:tcPr>
            <w:tcW w:w="5200" w:type="dxa"/>
            <w:vAlign w:val="bottom"/>
            <w:vMerge w:val="restart"/>
          </w:tcPr>
          <w:p>
            <w:pPr>
              <w:spacing w:after="0"/>
              <w:rPr>
                <w:sz w:val="20"/>
                <w:szCs w:val="20"/>
                <w:color w:val="auto"/>
              </w:rPr>
            </w:pPr>
            <w:r>
              <w:rPr>
                <w:rFonts w:ascii="Arial" w:cs="Arial" w:eastAsia="Arial" w:hAnsi="Arial"/>
                <w:sz w:val="22"/>
                <w:szCs w:val="22"/>
                <w:color w:val="auto"/>
              </w:rPr>
              <w:t>Loss per share:</w:t>
            </w:r>
          </w:p>
        </w:tc>
        <w:tc>
          <w:tcPr>
            <w:tcW w:w="16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200" w:type="dxa"/>
            <w:vAlign w:val="bottom"/>
          </w:tcPr>
          <w:p>
            <w:pPr>
              <w:ind w:left="280"/>
              <w:spacing w:after="0"/>
              <w:rPr>
                <w:sz w:val="20"/>
                <w:szCs w:val="20"/>
                <w:color w:val="auto"/>
              </w:rPr>
            </w:pPr>
            <w:r>
              <w:rPr>
                <w:rFonts w:ascii="Arial" w:cs="Arial" w:eastAsia="Arial" w:hAnsi="Arial"/>
                <w:sz w:val="22"/>
                <w:szCs w:val="22"/>
                <w:color w:val="auto"/>
              </w:rPr>
              <w:t>Basic</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$(0.25)</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$(0.08)</w:t>
            </w:r>
          </w:p>
        </w:tc>
        <w:tc>
          <w:tcPr>
            <w:tcW w:w="0" w:type="dxa"/>
            <w:vAlign w:val="bottom"/>
          </w:tcPr>
          <w:p>
            <w:pPr>
              <w:spacing w:after="0"/>
              <w:rPr>
                <w:sz w:val="1"/>
                <w:szCs w:val="1"/>
                <w:color w:val="auto"/>
              </w:rPr>
            </w:pPr>
          </w:p>
        </w:tc>
      </w:tr>
      <w:tr>
        <w:trPr>
          <w:trHeight w:val="122"/>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200" w:type="dxa"/>
            <w:vAlign w:val="bottom"/>
          </w:tcPr>
          <w:p>
            <w:pPr>
              <w:ind w:left="280"/>
              <w:spacing w:after="0"/>
              <w:rPr>
                <w:sz w:val="20"/>
                <w:szCs w:val="20"/>
                <w:color w:val="auto"/>
              </w:rPr>
            </w:pPr>
            <w:r>
              <w:rPr>
                <w:rFonts w:ascii="Arial" w:cs="Arial" w:eastAsia="Arial" w:hAnsi="Arial"/>
                <w:sz w:val="22"/>
                <w:szCs w:val="22"/>
                <w:color w:val="auto"/>
              </w:rPr>
              <w:t>Diluted</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$(0.25)</w:t>
            </w:r>
          </w:p>
        </w:tc>
        <w:tc>
          <w:tcPr>
            <w:tcW w:w="1420" w:type="dxa"/>
            <w:vAlign w:val="bottom"/>
            <w:gridSpan w:val="2"/>
          </w:tcPr>
          <w:p>
            <w:pPr>
              <w:jc w:val="right"/>
              <w:ind w:right="40"/>
              <w:spacing w:after="0"/>
              <w:rPr>
                <w:sz w:val="20"/>
                <w:szCs w:val="20"/>
                <w:color w:val="auto"/>
              </w:rPr>
            </w:pPr>
            <w:r>
              <w:rPr>
                <w:rFonts w:ascii="Arial" w:cs="Arial" w:eastAsia="Arial" w:hAnsi="Arial"/>
                <w:sz w:val="22"/>
                <w:szCs w:val="22"/>
                <w:color w:val="auto"/>
              </w:rPr>
              <w:t>$(0.08)</w:t>
            </w:r>
          </w:p>
        </w:tc>
        <w:tc>
          <w:tcPr>
            <w:tcW w:w="0" w:type="dxa"/>
            <w:vAlign w:val="bottom"/>
          </w:tcPr>
          <w:p>
            <w:pPr>
              <w:spacing w:after="0"/>
              <w:rPr>
                <w:sz w:val="1"/>
                <w:szCs w:val="1"/>
                <w:color w:val="auto"/>
              </w:rPr>
            </w:pPr>
          </w:p>
        </w:tc>
      </w:tr>
      <w:tr>
        <w:trPr>
          <w:trHeight w:val="122"/>
        </w:trPr>
        <w:tc>
          <w:tcPr>
            <w:tcW w:w="5200" w:type="dxa"/>
            <w:vAlign w:val="bottom"/>
            <w:vMerge w:val="restart"/>
          </w:tcPr>
          <w:p>
            <w:pPr>
              <w:spacing w:after="0"/>
              <w:rPr>
                <w:sz w:val="20"/>
                <w:szCs w:val="20"/>
                <w:color w:val="auto"/>
              </w:rPr>
            </w:pPr>
            <w:r>
              <w:rPr>
                <w:rFonts w:ascii="Arial" w:cs="Arial" w:eastAsia="Arial" w:hAnsi="Arial"/>
                <w:sz w:val="22"/>
                <w:szCs w:val="22"/>
                <w:color w:val="auto"/>
                <w:w w:val="90"/>
              </w:rPr>
              <w:t>Weighted average number of common shares outstanding:</w:t>
            </w:r>
          </w:p>
        </w:tc>
        <w:tc>
          <w:tcPr>
            <w:tcW w:w="16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200" w:type="dxa"/>
            <w:vAlign w:val="bottom"/>
          </w:tcPr>
          <w:p>
            <w:pPr>
              <w:ind w:left="280"/>
              <w:spacing w:after="0"/>
              <w:rPr>
                <w:sz w:val="20"/>
                <w:szCs w:val="20"/>
                <w:color w:val="auto"/>
              </w:rPr>
            </w:pPr>
            <w:r>
              <w:rPr>
                <w:rFonts w:ascii="Arial" w:cs="Arial" w:eastAsia="Arial" w:hAnsi="Arial"/>
                <w:sz w:val="22"/>
                <w:szCs w:val="22"/>
                <w:color w:val="auto"/>
              </w:rPr>
              <w:t>Basic</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41,723</w:t>
            </w:r>
          </w:p>
        </w:tc>
        <w:tc>
          <w:tcPr>
            <w:tcW w:w="1420" w:type="dxa"/>
            <w:vAlign w:val="bottom"/>
            <w:gridSpan w:val="2"/>
          </w:tcPr>
          <w:p>
            <w:pPr>
              <w:jc w:val="right"/>
              <w:ind w:right="80"/>
              <w:spacing w:after="0"/>
              <w:rPr>
                <w:sz w:val="20"/>
                <w:szCs w:val="20"/>
                <w:color w:val="auto"/>
              </w:rPr>
            </w:pPr>
            <w:r>
              <w:rPr>
                <w:rFonts w:ascii="Arial" w:cs="Arial" w:eastAsia="Arial" w:hAnsi="Arial"/>
                <w:sz w:val="22"/>
                <w:szCs w:val="22"/>
                <w:color w:val="auto"/>
              </w:rPr>
              <w:t>41,626</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-1589405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-1589405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-1589405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-1589405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-963295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-963295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-963295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-963295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-646430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-646430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-646430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-646430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-20320</wp:posOffset>
            </wp:positionV>
            <wp:extent cx="1270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-20320</wp:posOffset>
            </wp:positionV>
            <wp:extent cx="1270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-20320</wp:posOffset>
            </wp:positionV>
            <wp:extent cx="1270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-20320</wp:posOffset>
            </wp:positionV>
            <wp:extent cx="1270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0955"/>
                    </a:xfrm>
                    <a:prstGeom prst="rect">
                      <a:avLst/>
                    </a:prstGeom>
                    <a:noFill/>
                  </pic:spPr>
                </pic:pic>
              </a:graphicData>
            </a:graphic>
          </wp:anchor>
        </w:drawing>
      </w:r>
    </w:p>
    <w:p>
      <w:pPr>
        <w:sectPr>
          <w:pgSz w:w="11900" w:h="16900" w:orient="portrait"/>
          <w:cols w:equalWidth="0" w:num="1">
            <w:col w:w="9019"/>
          </w:cols>
          <w:pgMar w:left="1440" w:top="108" w:right="1440" w:bottom="0" w:gutter="0" w:footer="0" w:header="0"/>
        </w:sectPr>
      </w:pPr>
    </w:p>
    <w:bookmarkStart w:id="4" w:name="page5"/>
    <w:bookmarkEnd w:id="4"/>
    <w:tbl>
      <w:tblPr>
        <w:tblLayout w:type="fixed"/>
        <w:tblInd w:w="860" w:type="dxa"/>
        <w:tblCellMar>
          <w:top w:w="0" w:type="dxa"/>
          <w:left w:w="0" w:type="dxa"/>
          <w:bottom w:w="0" w:type="dxa"/>
          <w:right w:w="0" w:type="dxa"/>
        </w:tblCellMar>
      </w:tblPr>
      <w:tr>
        <w:trPr>
          <w:trHeight w:val="275"/>
        </w:trPr>
        <w:tc>
          <w:tcPr>
            <w:tcW w:w="5080" w:type="dxa"/>
            <w:vAlign w:val="bottom"/>
          </w:tcPr>
          <w:p>
            <w:pPr>
              <w:spacing w:after="0"/>
              <w:rPr>
                <w:sz w:val="20"/>
                <w:szCs w:val="20"/>
                <w:color w:val="auto"/>
              </w:rPr>
            </w:pPr>
            <w:r>
              <w:rPr>
                <w:rFonts w:ascii="Arial" w:cs="Arial" w:eastAsia="Arial" w:hAnsi="Arial"/>
                <w:sz w:val="22"/>
                <w:szCs w:val="22"/>
                <w:color w:val="auto"/>
              </w:rPr>
              <w:t>Diluted</w:t>
            </w:r>
          </w:p>
        </w:tc>
        <w:tc>
          <w:tcPr>
            <w:tcW w:w="1120" w:type="dxa"/>
            <w:vAlign w:val="bottom"/>
          </w:tcPr>
          <w:p>
            <w:pPr>
              <w:jc w:val="right"/>
              <w:spacing w:after="0"/>
              <w:rPr>
                <w:sz w:val="20"/>
                <w:szCs w:val="20"/>
                <w:color w:val="auto"/>
              </w:rPr>
            </w:pPr>
            <w:r>
              <w:rPr>
                <w:rFonts w:ascii="Arial" w:cs="Arial" w:eastAsia="Arial" w:hAnsi="Arial"/>
                <w:sz w:val="22"/>
                <w:szCs w:val="22"/>
                <w:color w:val="auto"/>
              </w:rPr>
              <w:t>41,723</w:t>
            </w:r>
          </w:p>
        </w:tc>
        <w:tc>
          <w:tcPr>
            <w:tcW w:w="1420" w:type="dxa"/>
            <w:vAlign w:val="bottom"/>
            <w:gridSpan w:val="2"/>
          </w:tcPr>
          <w:p>
            <w:pPr>
              <w:jc w:val="right"/>
              <w:ind w:right="80"/>
              <w:spacing w:after="0"/>
              <w:rPr>
                <w:sz w:val="20"/>
                <w:szCs w:val="20"/>
                <w:color w:val="auto"/>
              </w:rPr>
            </w:pPr>
            <w:r>
              <w:rPr>
                <w:rFonts w:ascii="Arial" w:cs="Arial" w:eastAsia="Arial" w:hAnsi="Arial"/>
                <w:sz w:val="22"/>
                <w:szCs w:val="22"/>
                <w:color w:val="auto"/>
              </w:rPr>
              <w:t>41,626</w:t>
            </w:r>
          </w:p>
        </w:tc>
      </w:tr>
      <w:tr>
        <w:trPr>
          <w:trHeight w:val="122"/>
        </w:trPr>
        <w:tc>
          <w:tcPr>
            <w:tcW w:w="508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80" w:type="dxa"/>
        <w:tblCellMar>
          <w:top w:w="0" w:type="dxa"/>
          <w:left w:w="0" w:type="dxa"/>
          <w:bottom w:w="0" w:type="dxa"/>
          <w:right w:w="0" w:type="dxa"/>
        </w:tblCellMar>
      </w:tblPr>
      <w:tr>
        <w:trPr>
          <w:trHeight w:val="281"/>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4"/>
          </w:tcPr>
          <w:p>
            <w:pPr>
              <w:jc w:val="right"/>
              <w:ind w:right="320"/>
              <w:spacing w:after="0"/>
              <w:rPr>
                <w:sz w:val="20"/>
                <w:szCs w:val="20"/>
                <w:color w:val="auto"/>
              </w:rPr>
            </w:pPr>
            <w:r>
              <w:rPr>
                <w:rFonts w:ascii="Arial" w:cs="Arial" w:eastAsia="Arial" w:hAnsi="Arial"/>
                <w:sz w:val="22"/>
                <w:szCs w:val="22"/>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7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22"/>
                <w:szCs w:val="22"/>
                <w:b w:val="1"/>
                <w:bCs w:val="1"/>
                <w:color w:val="auto"/>
              </w:rPr>
              <w:t>February 1,</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January 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720" w:type="dxa"/>
            <w:vAlign w:val="bottom"/>
          </w:tcPr>
          <w:p>
            <w:pPr>
              <w:spacing w:after="0"/>
              <w:rPr>
                <w:sz w:val="24"/>
                <w:szCs w:val="24"/>
                <w:color w:val="auto"/>
              </w:rPr>
            </w:pPr>
          </w:p>
        </w:tc>
        <w:tc>
          <w:tcPr>
            <w:tcW w:w="1320" w:type="dxa"/>
            <w:vAlign w:val="bottom"/>
            <w:gridSpan w:val="3"/>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46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720" w:type="dxa"/>
            <w:vAlign w:val="bottom"/>
            <w:vMerge w:val="restart"/>
          </w:tcPr>
          <w:p>
            <w:pPr>
              <w:spacing w:after="0"/>
              <w:rPr>
                <w:sz w:val="20"/>
                <w:szCs w:val="20"/>
                <w:color w:val="auto"/>
              </w:rPr>
            </w:pPr>
            <w:r>
              <w:rPr>
                <w:rFonts w:ascii="Arial" w:cs="Arial" w:eastAsia="Arial" w:hAnsi="Arial"/>
                <w:sz w:val="22"/>
                <w:szCs w:val="22"/>
                <w:color w:val="auto"/>
              </w:rPr>
              <w:t>Cash flows from operating activities:</w:t>
            </w: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5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line="243" w:lineRule="exact"/>
              <w:rPr>
                <w:sz w:val="20"/>
                <w:szCs w:val="20"/>
                <w:color w:val="auto"/>
              </w:rPr>
            </w:pPr>
            <w:r>
              <w:rPr>
                <w:rFonts w:ascii="Arial" w:cs="Arial" w:eastAsia="Arial" w:hAnsi="Arial"/>
                <w:sz w:val="22"/>
                <w:szCs w:val="22"/>
                <w:color w:val="auto"/>
              </w:rPr>
              <w:t>Net loss</w:t>
            </w:r>
          </w:p>
        </w:tc>
        <w:tc>
          <w:tcPr>
            <w:tcW w:w="13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$(10,233)</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line="243" w:lineRule="exact"/>
              <w:rPr>
                <w:sz w:val="20"/>
                <w:szCs w:val="20"/>
                <w:color w:val="auto"/>
              </w:rPr>
            </w:pPr>
            <w:r>
              <w:rPr>
                <w:rFonts w:ascii="Arial" w:cs="Arial" w:eastAsia="Arial" w:hAnsi="Arial"/>
                <w:sz w:val="22"/>
                <w:szCs w:val="22"/>
                <w:color w:val="auto"/>
              </w:rPr>
              <w:t>Adjustments to reconcile net loss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line="243" w:lineRule="exact"/>
              <w:rPr>
                <w:sz w:val="20"/>
                <w:szCs w:val="20"/>
                <w:color w:val="auto"/>
              </w:rPr>
            </w:pPr>
            <w:r>
              <w:rPr>
                <w:rFonts w:ascii="Arial" w:cs="Arial" w:eastAsia="Arial" w:hAnsi="Arial"/>
                <w:sz w:val="22"/>
                <w:szCs w:val="22"/>
                <w:color w:val="auto"/>
              </w:rPr>
              <w:t>to net cash provided by operating activities: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rPr>
              <w:t>Depreciation and amortization</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w w:val="89"/>
              </w:rPr>
              <w:t>21,725</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24,721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rPr>
              <w:t>Consolidation, restructuring and related charges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1,680</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w w:val="94"/>
              </w:rPr>
              <w:t>Minority interest in income of consolidated subsidiaries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266</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rPr>
              <w:t>Changes in assets and liabilities: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960"/>
              <w:spacing w:after="0" w:line="243" w:lineRule="exact"/>
              <w:rPr>
                <w:sz w:val="20"/>
                <w:szCs w:val="20"/>
                <w:color w:val="auto"/>
              </w:rPr>
            </w:pPr>
            <w:r>
              <w:rPr>
                <w:rFonts w:ascii="Arial" w:cs="Arial" w:eastAsia="Arial" w:hAnsi="Arial"/>
                <w:sz w:val="22"/>
                <w:szCs w:val="22"/>
                <w:color w:val="auto"/>
              </w:rPr>
              <w:t>Accounts receivable</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(4,506)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960"/>
              <w:spacing w:after="0" w:line="243" w:lineRule="exact"/>
              <w:rPr>
                <w:sz w:val="20"/>
                <w:szCs w:val="20"/>
                <w:color w:val="auto"/>
              </w:rPr>
            </w:pPr>
            <w:r>
              <w:rPr>
                <w:rFonts w:ascii="Arial" w:cs="Arial" w:eastAsia="Arial" w:hAnsi="Arial"/>
                <w:sz w:val="22"/>
                <w:szCs w:val="22"/>
                <w:color w:val="auto"/>
              </w:rPr>
              <w:t>Inventories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w w:val="94"/>
              </w:rPr>
              <w:t>(1,524)</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960"/>
              <w:spacing w:after="0" w:line="243" w:lineRule="exact"/>
              <w:rPr>
                <w:sz w:val="20"/>
                <w:szCs w:val="20"/>
                <w:color w:val="auto"/>
              </w:rPr>
            </w:pPr>
            <w:r>
              <w:rPr>
                <w:rFonts w:ascii="Arial" w:cs="Arial" w:eastAsia="Arial" w:hAnsi="Arial"/>
                <w:sz w:val="22"/>
                <w:szCs w:val="22"/>
                <w:color w:val="auto"/>
              </w:rPr>
              <w:t>Other current assets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w w:val="94"/>
              </w:rPr>
              <w:t>(1,200)</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720" w:type="dxa"/>
            <w:vAlign w:val="bottom"/>
          </w:tcPr>
          <w:p>
            <w:pPr>
              <w:ind w:left="960"/>
              <w:spacing w:after="0"/>
              <w:rPr>
                <w:sz w:val="20"/>
                <w:szCs w:val="20"/>
                <w:color w:val="auto"/>
              </w:rPr>
            </w:pPr>
            <w:r>
              <w:rPr>
                <w:rFonts w:ascii="Arial" w:cs="Arial" w:eastAsia="Arial" w:hAnsi="Arial"/>
                <w:sz w:val="22"/>
                <w:szCs w:val="22"/>
                <w:color w:val="auto"/>
              </w:rPr>
              <w:t>Accounts payable, accrued liabilities, and other</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94"/>
              </w:rPr>
              <w:t>(2,878)</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(5,955)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7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Net cash provided by operating activities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7,989</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11,675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720" w:type="dxa"/>
            <w:vAlign w:val="bottom"/>
            <w:vMerge w:val="restart"/>
          </w:tcPr>
          <w:p>
            <w:pPr>
              <w:spacing w:after="0"/>
              <w:rPr>
                <w:sz w:val="20"/>
                <w:szCs w:val="20"/>
                <w:color w:val="auto"/>
              </w:rPr>
            </w:pPr>
            <w:r>
              <w:rPr>
                <w:rFonts w:ascii="Arial" w:cs="Arial" w:eastAsia="Arial" w:hAnsi="Arial"/>
                <w:sz w:val="22"/>
                <w:szCs w:val="22"/>
                <w:color w:val="auto"/>
              </w:rPr>
              <w:t>Cash flows from investing activities:</w:t>
            </w:r>
          </w:p>
        </w:tc>
        <w:tc>
          <w:tcPr>
            <w:tcW w:w="200" w:type="dxa"/>
            <w:vAlign w:val="bottom"/>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7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Purchases of property, plant and equipment</w:t>
            </w:r>
          </w:p>
        </w:tc>
        <w:tc>
          <w:tcPr>
            <w:tcW w:w="13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(12,789)</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(65,932)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Investment in joint venture</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(2,598)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720" w:type="dxa"/>
            <w:vAlign w:val="bottom"/>
          </w:tcPr>
          <w:p>
            <w:pPr>
              <w:ind w:left="260"/>
              <w:spacing w:after="0"/>
              <w:rPr>
                <w:sz w:val="20"/>
                <w:szCs w:val="20"/>
                <w:color w:val="auto"/>
              </w:rPr>
            </w:pPr>
            <w:r>
              <w:rPr>
                <w:rFonts w:ascii="Arial" w:cs="Arial" w:eastAsia="Arial" w:hAnsi="Arial"/>
                <w:sz w:val="22"/>
                <w:szCs w:val="22"/>
                <w:color w:val="auto"/>
                <w:w w:val="98"/>
              </w:rPr>
              <w:t>Proceeds from sales of short-term investments and other</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858</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gridSpan w:val="2"/>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Net cash used in investing activities</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(11,931)</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(68,718)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720" w:type="dxa"/>
            <w:vAlign w:val="bottom"/>
            <w:vMerge w:val="restart"/>
          </w:tcPr>
          <w:p>
            <w:pPr>
              <w:spacing w:after="0"/>
              <w:rPr>
                <w:sz w:val="20"/>
                <w:szCs w:val="20"/>
                <w:color w:val="auto"/>
              </w:rPr>
            </w:pPr>
            <w:r>
              <w:rPr>
                <w:rFonts w:ascii="Arial" w:cs="Arial" w:eastAsia="Arial" w:hAnsi="Arial"/>
                <w:sz w:val="22"/>
                <w:szCs w:val="22"/>
                <w:color w:val="auto"/>
              </w:rPr>
              <w:t>Cash flows from financing activities:</w:t>
            </w:r>
          </w:p>
        </w:tc>
        <w:tc>
          <w:tcPr>
            <w:tcW w:w="200" w:type="dxa"/>
            <w:vAlign w:val="bottom"/>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7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Repayments of long-term borrowings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w w:val="94"/>
              </w:rPr>
              <w:t>(3,607)</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Proceeds from long-term borrowings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720" w:type="dxa"/>
            <w:vAlign w:val="bottom"/>
          </w:tcPr>
          <w:p>
            <w:pPr>
              <w:ind w:left="260"/>
              <w:spacing w:after="0"/>
              <w:rPr>
                <w:sz w:val="20"/>
                <w:szCs w:val="20"/>
                <w:color w:val="auto"/>
              </w:rPr>
            </w:pPr>
            <w:r>
              <w:rPr>
                <w:rFonts w:ascii="Arial" w:cs="Arial" w:eastAsia="Arial" w:hAnsi="Arial"/>
                <w:sz w:val="22"/>
                <w:szCs w:val="22"/>
                <w:color w:val="auto"/>
              </w:rPr>
              <w:t>Payments of deferred financing fees</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94"/>
              </w:rPr>
              <w:t>(1,913)</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7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Net cash (used in) provided by financing activities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94"/>
              </w:rPr>
              <w:t>(5,520)</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294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7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94"/>
              </w:rPr>
              <w:t>(2,792)</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gridSpan w:val="2"/>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720" w:type="dxa"/>
            <w:vAlign w:val="bottom"/>
          </w:tcPr>
          <w:p>
            <w:pPr>
              <w:spacing w:after="0"/>
              <w:rPr>
                <w:sz w:val="20"/>
                <w:szCs w:val="20"/>
                <w:color w:val="auto"/>
              </w:rPr>
            </w:pPr>
            <w:r>
              <w:rPr>
                <w:rFonts w:ascii="Arial" w:cs="Arial" w:eastAsia="Arial" w:hAnsi="Arial"/>
                <w:sz w:val="22"/>
                <w:szCs w:val="22"/>
                <w:color w:val="auto"/>
              </w:rPr>
              <w:t>Net decrease in cash and cash equivalents</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(12,254)</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(56,920)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72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89"/>
              </w:rPr>
              <w:t>83,763</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146,049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gridSpan w:val="2"/>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$ 71,509</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$89,129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720" w:type="dxa"/>
            <w:vAlign w:val="bottom"/>
            <w:vMerge w:val="restart"/>
          </w:tcPr>
          <w:p>
            <w:pPr>
              <w:ind w:left="40"/>
              <w:spacing w:after="0"/>
              <w:rPr>
                <w:sz w:val="20"/>
                <w:szCs w:val="20"/>
                <w:color w:val="auto"/>
              </w:rPr>
            </w:pPr>
            <w:r>
              <w:rPr>
                <w:rFonts w:ascii="Arial" w:cs="Arial" w:eastAsia="Arial" w:hAnsi="Arial"/>
                <w:sz w:val="22"/>
                <w:szCs w:val="22"/>
                <w:color w:val="auto"/>
              </w:rPr>
              <w:t>Supplemental disclosure of cash flow information:</w:t>
            </w:r>
          </w:p>
        </w:tc>
        <w:tc>
          <w:tcPr>
            <w:tcW w:w="200" w:type="dxa"/>
            <w:vAlign w:val="bottom"/>
          </w:tcPr>
          <w:p>
            <w:pPr>
              <w:spacing w:after="0"/>
              <w:rPr>
                <w:sz w:val="10"/>
                <w:szCs w:val="10"/>
                <w:color w:val="auto"/>
              </w:rPr>
            </w:pPr>
          </w:p>
        </w:tc>
        <w:tc>
          <w:tcPr>
            <w:tcW w:w="400" w:type="dxa"/>
            <w:vAlign w:val="bottom"/>
            <w:tcBorders>
              <w:bottom w:val="single" w:sz="8" w:color="336699"/>
            </w:tcBorders>
          </w:tcPr>
          <w:p>
            <w:pPr>
              <w:spacing w:after="0"/>
              <w:rPr>
                <w:sz w:val="10"/>
                <w:szCs w:val="10"/>
                <w:color w:val="auto"/>
              </w:rPr>
            </w:pPr>
          </w:p>
        </w:tc>
        <w:tc>
          <w:tcPr>
            <w:tcW w:w="72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5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Change in accrual for purchases of property, plant</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line="243" w:lineRule="exact"/>
              <w:rPr>
                <w:sz w:val="20"/>
                <w:szCs w:val="20"/>
                <w:color w:val="auto"/>
              </w:rPr>
            </w:pPr>
            <w:r>
              <w:rPr>
                <w:rFonts w:ascii="Arial" w:cs="Arial" w:eastAsia="Arial" w:hAnsi="Arial"/>
                <w:sz w:val="22"/>
                <w:szCs w:val="22"/>
                <w:color w:val="auto"/>
              </w:rPr>
              <w:t>and equipment</w:t>
            </w:r>
          </w:p>
        </w:tc>
        <w:tc>
          <w:tcPr>
            <w:tcW w:w="13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$(11,204)</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$(24,181)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Capital lease obligation for purchases of property, plant</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720" w:type="dxa"/>
            <w:vAlign w:val="bottom"/>
          </w:tcPr>
          <w:p>
            <w:pPr>
              <w:ind w:left="380"/>
              <w:spacing w:after="0"/>
              <w:rPr>
                <w:sz w:val="20"/>
                <w:szCs w:val="20"/>
                <w:color w:val="auto"/>
              </w:rPr>
            </w:pPr>
            <w:r>
              <w:rPr>
                <w:rFonts w:ascii="Arial" w:cs="Arial" w:eastAsia="Arial" w:hAnsi="Arial"/>
                <w:sz w:val="22"/>
                <w:szCs w:val="22"/>
                <w:color w:val="auto"/>
              </w:rPr>
              <w:t>and equipment</w:t>
            </w:r>
          </w:p>
        </w:tc>
        <w:tc>
          <w:tcPr>
            <w:tcW w:w="6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$ 61,662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-873760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-873760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-873760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-873760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9019"/>
          </w:cols>
          <w:pgMar w:left="1440" w:top="361" w:right="1440" w:bottom="0" w:gutter="0" w:footer="0" w:header="0"/>
        </w:sectPr>
      </w:pPr>
    </w:p>
    <w:bookmarkStart w:id="5" w:name="page6"/>
    <w:bookmarkEnd w:id="5"/>
    <w:p>
      <w:pPr>
        <w:ind w:left="148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Three Months Ended February 1, 2009 and January 27, 2008</w:t>
      </w:r>
    </w:p>
    <w:p>
      <w:pPr>
        <w:jc w:val="center"/>
        <w:ind w:right="-19"/>
        <w:spacing w:after="0" w:line="231" w:lineRule="auto"/>
        <w:rPr>
          <w:sz w:val="20"/>
          <w:szCs w:val="20"/>
          <w:color w:val="auto"/>
        </w:rPr>
      </w:pPr>
      <w:r>
        <w:rPr>
          <w:rFonts w:ascii="Arial" w:cs="Arial" w:eastAsia="Arial" w:hAnsi="Arial"/>
          <w:sz w:val="22"/>
          <w:szCs w:val="22"/>
          <w:b w:val="1"/>
          <w:bCs w:val="1"/>
          <w:color w:val="auto"/>
        </w:rPr>
        <w:t>(unaudited)</w:t>
      </w:r>
    </w:p>
    <w:p>
      <w:pPr>
        <w:jc w:val="center"/>
        <w:ind w:right="-19"/>
        <w:spacing w:after="0"/>
        <w:rPr>
          <w:sz w:val="20"/>
          <w:szCs w:val="20"/>
          <w:color w:val="auto"/>
        </w:rPr>
      </w:pPr>
      <w:r>
        <w:rPr>
          <w:rFonts w:ascii="Arial" w:cs="Arial" w:eastAsia="Arial" w:hAnsi="Arial"/>
          <w:sz w:val="22"/>
          <w:szCs w:val="22"/>
          <w:b w:val="1"/>
          <w:bCs w:val="1"/>
          <w:color w:val="auto"/>
        </w:rPr>
        <w:t>(in thousands, except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FINANCIAL STATEMENT PRESENTATION</w:t>
      </w:r>
    </w:p>
    <w:p>
      <w:pPr>
        <w:spacing w:after="0" w:line="212"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 and are used as masters to transfer circuit patterns onto semiconductor wafers and flat panel substrates during the fabrication of integrated circuits ("IC") and a variety of FPDs and, to a lesser extent, other types of electrical and optical components. The Company currently operates principally from ten manufacturing facilities, three of which are located in the United States, two in Europe, two in Taiwan, and one each in Korea, Singapore, and China.</w:t>
      </w:r>
    </w:p>
    <w:p>
      <w:pPr>
        <w:spacing w:after="0" w:line="191" w:lineRule="exact"/>
        <w:rPr>
          <w:sz w:val="20"/>
          <w:szCs w:val="20"/>
          <w:color w:val="auto"/>
        </w:rPr>
      </w:pPr>
    </w:p>
    <w:p>
      <w:pPr>
        <w:ind w:right="280" w:firstLine="266"/>
        <w:spacing w:after="0" w:line="275"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 Operating results for the interim period are not necessarily indicative of the results that may be expected for the fiscal year ending November 1, 2009. For further information, refer to the consolidated financial statements and footnotes thereto included in the Company's Annual Report on Form 10-K for the year ended November 2, 2008.</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COMPREHENSIVE LOSS</w:t>
      </w:r>
    </w:p>
    <w:p>
      <w:pPr>
        <w:spacing w:after="0" w:line="212" w:lineRule="exact"/>
        <w:rPr>
          <w:sz w:val="20"/>
          <w:szCs w:val="20"/>
          <w:color w:val="auto"/>
        </w:rPr>
      </w:pPr>
    </w:p>
    <w:p>
      <w:pPr>
        <w:ind w:right="460" w:firstLine="266"/>
        <w:spacing w:after="0" w:line="251" w:lineRule="auto"/>
        <w:rPr>
          <w:sz w:val="20"/>
          <w:szCs w:val="20"/>
          <w:color w:val="auto"/>
        </w:rPr>
      </w:pPr>
      <w:r>
        <w:rPr>
          <w:rFonts w:ascii="Arial" w:cs="Arial" w:eastAsia="Arial" w:hAnsi="Arial"/>
          <w:sz w:val="22"/>
          <w:szCs w:val="22"/>
          <w:color w:val="auto"/>
        </w:rPr>
        <w:t>The following table summarizes the net comprehensive losses for the three months ended February 1, 2009 and January 27, 2008.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00" w:type="dxa"/>
            <w:vAlign w:val="bottom"/>
          </w:tcPr>
          <w:p>
            <w:pPr>
              <w:spacing w:after="0"/>
              <w:rPr>
                <w:sz w:val="24"/>
                <w:szCs w:val="24"/>
                <w:color w:val="auto"/>
              </w:rPr>
            </w:pPr>
          </w:p>
        </w:tc>
        <w:tc>
          <w:tcPr>
            <w:tcW w:w="2660" w:type="dxa"/>
            <w:vAlign w:val="bottom"/>
            <w:gridSpan w:val="4"/>
          </w:tcPr>
          <w:p>
            <w:pPr>
              <w:jc w:val="right"/>
              <w:ind w:right="252"/>
              <w:spacing w:after="0"/>
              <w:rPr>
                <w:sz w:val="20"/>
                <w:szCs w:val="20"/>
                <w:color w:val="auto"/>
              </w:rPr>
            </w:pPr>
            <w:r>
              <w:rPr>
                <w:rFonts w:ascii="Arial" w:cs="Arial" w:eastAsia="Arial" w:hAnsi="Arial"/>
                <w:sz w:val="22"/>
                <w:szCs w:val="22"/>
                <w:b w:val="1"/>
                <w:bCs w:val="1"/>
                <w:color w:val="auto"/>
              </w:rPr>
              <w:t>Three Months Ended</w:t>
            </w:r>
          </w:p>
        </w:tc>
      </w:tr>
      <w:tr>
        <w:trPr>
          <w:trHeight w:val="98"/>
        </w:trPr>
        <w:tc>
          <w:tcPr>
            <w:tcW w:w="4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31"/>
        </w:trPr>
        <w:tc>
          <w:tcPr>
            <w:tcW w:w="4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91"/>
              </w:rPr>
              <w:t>February 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27,</w:t>
            </w:r>
          </w:p>
        </w:tc>
      </w:tr>
      <w:tr>
        <w:trPr>
          <w:trHeight w:val="281"/>
        </w:trPr>
        <w:tc>
          <w:tcPr>
            <w:tcW w:w="420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Arial" w:cs="Arial" w:eastAsia="Arial" w:hAnsi="Arial"/>
                <w:sz w:val="22"/>
                <w:szCs w:val="22"/>
                <w:b w:val="1"/>
                <w:bCs w:val="1"/>
                <w:color w:val="auto"/>
              </w:rPr>
              <w:t>2009</w:t>
            </w:r>
          </w:p>
        </w:tc>
        <w:tc>
          <w:tcPr>
            <w:tcW w:w="1540" w:type="dxa"/>
            <w:vAlign w:val="bottom"/>
            <w:gridSpan w:val="3"/>
          </w:tcPr>
          <w:p>
            <w:pPr>
              <w:jc w:val="right"/>
              <w:ind w:right="252"/>
              <w:spacing w:after="0"/>
              <w:rPr>
                <w:sz w:val="20"/>
                <w:szCs w:val="20"/>
                <w:color w:val="auto"/>
              </w:rPr>
            </w:pPr>
            <w:r>
              <w:rPr>
                <w:rFonts w:ascii="Arial" w:cs="Arial" w:eastAsia="Arial" w:hAnsi="Arial"/>
                <w:sz w:val="22"/>
                <w:szCs w:val="22"/>
                <w:b w:val="1"/>
                <w:bCs w:val="1"/>
                <w:color w:val="auto"/>
              </w:rPr>
              <w:t>2008</w:t>
            </w:r>
          </w:p>
        </w:tc>
      </w:tr>
      <w:tr>
        <w:trPr>
          <w:trHeight w:val="98"/>
        </w:trPr>
        <w:tc>
          <w:tcPr>
            <w:tcW w:w="4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611"/>
        </w:trPr>
        <w:tc>
          <w:tcPr>
            <w:tcW w:w="4200" w:type="dxa"/>
            <w:vAlign w:val="bottom"/>
          </w:tcPr>
          <w:p>
            <w:pPr>
              <w:spacing w:after="0"/>
              <w:rPr>
                <w:sz w:val="20"/>
                <w:szCs w:val="20"/>
                <w:color w:val="auto"/>
              </w:rPr>
            </w:pPr>
            <w:r>
              <w:rPr>
                <w:rFonts w:ascii="Arial" w:cs="Arial" w:eastAsia="Arial" w:hAnsi="Arial"/>
                <w:sz w:val="22"/>
                <w:szCs w:val="22"/>
                <w:color w:val="auto"/>
              </w:rPr>
              <w:t>Net loss</w:t>
            </w:r>
          </w:p>
        </w:tc>
        <w:tc>
          <w:tcPr>
            <w:tcW w:w="1120" w:type="dxa"/>
            <w:vAlign w:val="bottom"/>
          </w:tcPr>
          <w:p>
            <w:pPr>
              <w:jc w:val="right"/>
              <w:spacing w:after="0"/>
              <w:rPr>
                <w:sz w:val="20"/>
                <w:szCs w:val="20"/>
                <w:color w:val="auto"/>
              </w:rPr>
            </w:pPr>
            <w:r>
              <w:rPr>
                <w:rFonts w:ascii="Arial" w:cs="Arial" w:eastAsia="Arial" w:hAnsi="Arial"/>
                <w:sz w:val="22"/>
                <w:szCs w:val="22"/>
                <w:color w:val="auto"/>
              </w:rPr>
              <w:t>$(10,233)</w:t>
            </w:r>
          </w:p>
        </w:tc>
        <w:tc>
          <w:tcPr>
            <w:tcW w:w="1540" w:type="dxa"/>
            <w:vAlign w:val="bottom"/>
            <w:gridSpan w:val="3"/>
          </w:tcPr>
          <w:p>
            <w:pPr>
              <w:jc w:val="right"/>
              <w:spacing w:after="0"/>
              <w:rPr>
                <w:sz w:val="20"/>
                <w:szCs w:val="20"/>
                <w:color w:val="auto"/>
              </w:rPr>
            </w:pPr>
            <w:r>
              <w:rPr>
                <w:rFonts w:ascii="Arial" w:cs="Arial" w:eastAsia="Arial" w:hAnsi="Arial"/>
                <w:sz w:val="22"/>
                <w:szCs w:val="22"/>
                <w:color w:val="auto"/>
              </w:rPr>
              <w:t>$ (3,340)</w:t>
            </w:r>
          </w:p>
        </w:tc>
      </w:tr>
      <w:tr>
        <w:trPr>
          <w:trHeight w:val="455"/>
        </w:trPr>
        <w:tc>
          <w:tcPr>
            <w:tcW w:w="4200" w:type="dxa"/>
            <w:vAlign w:val="bottom"/>
          </w:tcPr>
          <w:p>
            <w:pPr>
              <w:spacing w:after="0"/>
              <w:rPr>
                <w:sz w:val="20"/>
                <w:szCs w:val="20"/>
                <w:color w:val="auto"/>
              </w:rPr>
            </w:pPr>
            <w:r>
              <w:rPr>
                <w:rFonts w:ascii="Arial" w:cs="Arial" w:eastAsia="Arial" w:hAnsi="Arial"/>
                <w:sz w:val="22"/>
                <w:szCs w:val="22"/>
                <w:color w:val="auto"/>
              </w:rPr>
              <w:t>Other comprehensive loss: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4200" w:type="dxa"/>
            <w:vAlign w:val="bottom"/>
          </w:tcPr>
          <w:p>
            <w:pPr>
              <w:ind w:left="180"/>
              <w:spacing w:after="0" w:line="243" w:lineRule="exact"/>
              <w:rPr>
                <w:sz w:val="20"/>
                <w:szCs w:val="20"/>
                <w:color w:val="auto"/>
              </w:rPr>
            </w:pPr>
            <w:r>
              <w:rPr>
                <w:rFonts w:ascii="Arial" w:cs="Arial" w:eastAsia="Arial" w:hAnsi="Arial"/>
                <w:sz w:val="22"/>
                <w:szCs w:val="22"/>
                <w:color w:val="auto"/>
              </w:rPr>
              <w:t>Change in unrealized net gains</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200" w:type="dxa"/>
            <w:vAlign w:val="bottom"/>
          </w:tcPr>
          <w:p>
            <w:pPr>
              <w:ind w:left="340"/>
              <w:spacing w:after="0" w:line="243" w:lineRule="exact"/>
              <w:rPr>
                <w:sz w:val="20"/>
                <w:szCs w:val="20"/>
                <w:color w:val="auto"/>
              </w:rPr>
            </w:pPr>
            <w:r>
              <w:rPr>
                <w:rFonts w:ascii="Arial" w:cs="Arial" w:eastAsia="Arial" w:hAnsi="Arial"/>
                <w:sz w:val="22"/>
                <w:szCs w:val="22"/>
                <w:color w:val="auto"/>
              </w:rPr>
              <w:t>on investments, net of tax</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c>
          <w:tcPr>
            <w:tcW w:w="1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4200" w:type="dxa"/>
            <w:vAlign w:val="bottom"/>
          </w:tcPr>
          <w:p>
            <w:pPr>
              <w:ind w:left="160"/>
              <w:spacing w:after="0" w:line="243" w:lineRule="exact"/>
              <w:rPr>
                <w:sz w:val="20"/>
                <w:szCs w:val="20"/>
                <w:color w:val="auto"/>
              </w:rPr>
            </w:pPr>
            <w:r>
              <w:rPr>
                <w:rFonts w:ascii="Arial" w:cs="Arial" w:eastAsia="Arial" w:hAnsi="Arial"/>
                <w:sz w:val="22"/>
                <w:szCs w:val="22"/>
                <w:color w:val="auto"/>
                <w:w w:val="96"/>
              </w:rPr>
              <w:t>Amortization of cash flow hedge, net of tax</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481</w:t>
            </w:r>
          </w:p>
        </w:tc>
        <w:tc>
          <w:tcPr>
            <w:tcW w:w="1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75"/>
        </w:trPr>
        <w:tc>
          <w:tcPr>
            <w:tcW w:w="4200" w:type="dxa"/>
            <w:vAlign w:val="bottom"/>
          </w:tcPr>
          <w:p>
            <w:pPr>
              <w:ind w:left="180"/>
              <w:spacing w:after="0"/>
              <w:rPr>
                <w:sz w:val="20"/>
                <w:szCs w:val="20"/>
                <w:color w:val="auto"/>
              </w:rPr>
            </w:pPr>
            <w:r>
              <w:rPr>
                <w:rFonts w:ascii="Arial" w:cs="Arial" w:eastAsia="Arial" w:hAnsi="Arial"/>
                <w:sz w:val="22"/>
                <w:szCs w:val="22"/>
                <w:color w:val="auto"/>
              </w:rPr>
              <w:t>Foreign currency translation adjustments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(16,107)</w:t>
            </w:r>
          </w:p>
        </w:tc>
        <w:tc>
          <w:tcPr>
            <w:tcW w:w="1540" w:type="dxa"/>
            <w:vAlign w:val="bottom"/>
            <w:gridSpan w:val="3"/>
          </w:tcPr>
          <w:p>
            <w:pPr>
              <w:jc w:val="right"/>
              <w:spacing w:after="0"/>
              <w:rPr>
                <w:sz w:val="20"/>
                <w:szCs w:val="20"/>
                <w:color w:val="auto"/>
              </w:rPr>
            </w:pPr>
            <w:r>
              <w:rPr>
                <w:rFonts w:ascii="Arial" w:cs="Arial" w:eastAsia="Arial" w:hAnsi="Arial"/>
                <w:sz w:val="22"/>
                <w:szCs w:val="22"/>
                <w:color w:val="auto"/>
              </w:rPr>
              <w:t>(7,382)</w:t>
            </w:r>
          </w:p>
        </w:tc>
      </w:tr>
      <w:tr>
        <w:trPr>
          <w:trHeight w:val="98"/>
        </w:trPr>
        <w:tc>
          <w:tcPr>
            <w:tcW w:w="4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4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(15,551)</w:t>
            </w:r>
          </w:p>
        </w:tc>
        <w:tc>
          <w:tcPr>
            <w:tcW w:w="1540" w:type="dxa"/>
            <w:vAlign w:val="bottom"/>
            <w:gridSpan w:val="3"/>
          </w:tcPr>
          <w:p>
            <w:pPr>
              <w:jc w:val="right"/>
              <w:spacing w:after="0"/>
              <w:rPr>
                <w:sz w:val="20"/>
                <w:szCs w:val="20"/>
                <w:color w:val="auto"/>
              </w:rPr>
            </w:pPr>
            <w:r>
              <w:rPr>
                <w:rFonts w:ascii="Arial" w:cs="Arial" w:eastAsia="Arial" w:hAnsi="Arial"/>
                <w:sz w:val="22"/>
                <w:szCs w:val="22"/>
                <w:color w:val="auto"/>
              </w:rPr>
              <w:t>(7,403)</w:t>
            </w:r>
          </w:p>
        </w:tc>
      </w:tr>
      <w:tr>
        <w:trPr>
          <w:trHeight w:val="98"/>
        </w:trPr>
        <w:tc>
          <w:tcPr>
            <w:tcW w:w="4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4200" w:type="dxa"/>
            <w:vAlign w:val="bottom"/>
          </w:tcPr>
          <w:p>
            <w:pPr>
              <w:spacing w:after="0"/>
              <w:rPr>
                <w:sz w:val="20"/>
                <w:szCs w:val="20"/>
                <w:color w:val="auto"/>
              </w:rPr>
            </w:pPr>
            <w:r>
              <w:rPr>
                <w:rFonts w:ascii="Arial" w:cs="Arial" w:eastAsia="Arial" w:hAnsi="Arial"/>
                <w:sz w:val="22"/>
                <w:szCs w:val="22"/>
                <w:color w:val="auto"/>
              </w:rPr>
              <w:t>Total comprehensive loss</w:t>
            </w:r>
          </w:p>
        </w:tc>
        <w:tc>
          <w:tcPr>
            <w:tcW w:w="1120" w:type="dxa"/>
            <w:vAlign w:val="bottom"/>
          </w:tcPr>
          <w:p>
            <w:pPr>
              <w:jc w:val="right"/>
              <w:spacing w:after="0"/>
              <w:rPr>
                <w:sz w:val="20"/>
                <w:szCs w:val="20"/>
                <w:color w:val="auto"/>
              </w:rPr>
            </w:pPr>
            <w:r>
              <w:rPr>
                <w:rFonts w:ascii="Arial" w:cs="Arial" w:eastAsia="Arial" w:hAnsi="Arial"/>
                <w:sz w:val="22"/>
                <w:szCs w:val="22"/>
                <w:color w:val="auto"/>
              </w:rPr>
              <w:t>$(25,784)</w:t>
            </w:r>
          </w:p>
        </w:tc>
        <w:tc>
          <w:tcPr>
            <w:tcW w:w="1540" w:type="dxa"/>
            <w:vAlign w:val="bottom"/>
            <w:gridSpan w:val="3"/>
          </w:tcPr>
          <w:p>
            <w:pPr>
              <w:jc w:val="right"/>
              <w:spacing w:after="0"/>
              <w:rPr>
                <w:sz w:val="20"/>
                <w:szCs w:val="20"/>
                <w:color w:val="auto"/>
              </w:rPr>
            </w:pPr>
            <w:r>
              <w:rPr>
                <w:rFonts w:ascii="Arial" w:cs="Arial" w:eastAsia="Arial" w:hAnsi="Arial"/>
                <w:sz w:val="22"/>
                <w:szCs w:val="22"/>
                <w:color w:val="auto"/>
              </w:rPr>
              <w:t>$(10,743)</w:t>
            </w:r>
          </w:p>
        </w:tc>
      </w:tr>
      <w:tr>
        <w:trPr>
          <w:trHeight w:val="122"/>
        </w:trPr>
        <w:tc>
          <w:tcPr>
            <w:tcW w:w="42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LOSS PER SHARE</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calculation of basic and diluted loss per share is presented below.</w:t>
      </w:r>
    </w:p>
    <w:p>
      <w:pPr>
        <w:sectPr>
          <w:pgSz w:w="11900" w:h="16838" w:orient="portrait"/>
          <w:cols w:equalWidth="0" w:num="1">
            <w:col w:w="11420"/>
          </w:cols>
          <w:pgMar w:left="240" w:top="118" w:right="239" w:bottom="7"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240" w:type="dxa"/>
            <w:vAlign w:val="bottom"/>
          </w:tcPr>
          <w:p>
            <w:pPr>
              <w:spacing w:after="0"/>
              <w:rPr>
                <w:sz w:val="24"/>
                <w:szCs w:val="24"/>
                <w:color w:val="auto"/>
              </w:rPr>
            </w:pPr>
          </w:p>
        </w:tc>
        <w:tc>
          <w:tcPr>
            <w:tcW w:w="2540" w:type="dxa"/>
            <w:vAlign w:val="bottom"/>
            <w:gridSpan w:val="4"/>
          </w:tcPr>
          <w:p>
            <w:pPr>
              <w:jc w:val="right"/>
              <w:ind w:right="192"/>
              <w:spacing w:after="0"/>
              <w:rPr>
                <w:sz w:val="20"/>
                <w:szCs w:val="20"/>
                <w:color w:val="auto"/>
              </w:rPr>
            </w:pPr>
            <w:r>
              <w:rPr>
                <w:rFonts w:ascii="Arial" w:cs="Arial" w:eastAsia="Arial" w:hAnsi="Arial"/>
                <w:sz w:val="22"/>
                <w:szCs w:val="22"/>
                <w:b w:val="1"/>
                <w:bCs w:val="1"/>
                <w:color w:val="auto"/>
              </w:rPr>
              <w:t>Three Months Ended</w:t>
            </w:r>
          </w:p>
        </w:tc>
        <w:tc>
          <w:tcPr>
            <w:tcW w:w="20" w:type="dxa"/>
            <w:vAlign w:val="bottom"/>
          </w:tcPr>
          <w:p>
            <w:pPr>
              <w:spacing w:after="0"/>
              <w:rPr>
                <w:sz w:val="24"/>
                <w:szCs w:val="24"/>
                <w:color w:val="auto"/>
              </w:rPr>
            </w:pPr>
          </w:p>
        </w:tc>
      </w:tr>
      <w:tr>
        <w:trPr>
          <w:trHeight w:val="98"/>
        </w:trPr>
        <w:tc>
          <w:tcPr>
            <w:tcW w:w="52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31"/>
        </w:trPr>
        <w:tc>
          <w:tcPr>
            <w:tcW w:w="5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91"/>
              </w:rPr>
              <w:t>February 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9"/>
              </w:rPr>
              <w:t>January 27,</w:t>
            </w:r>
          </w:p>
        </w:tc>
        <w:tc>
          <w:tcPr>
            <w:tcW w:w="20" w:type="dxa"/>
            <w:vAlign w:val="bottom"/>
          </w:tcPr>
          <w:p>
            <w:pPr>
              <w:spacing w:after="0"/>
              <w:rPr>
                <w:sz w:val="24"/>
                <w:szCs w:val="24"/>
                <w:color w:val="auto"/>
              </w:rPr>
            </w:pPr>
          </w:p>
        </w:tc>
      </w:tr>
      <w:tr>
        <w:trPr>
          <w:trHeight w:val="281"/>
        </w:trPr>
        <w:tc>
          <w:tcPr>
            <w:tcW w:w="524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Arial" w:cs="Arial" w:eastAsia="Arial" w:hAnsi="Arial"/>
                <w:sz w:val="22"/>
                <w:szCs w:val="22"/>
                <w:b w:val="1"/>
                <w:bCs w:val="1"/>
                <w:color w:val="auto"/>
              </w:rPr>
              <w:t>2009</w:t>
            </w:r>
          </w:p>
        </w:tc>
        <w:tc>
          <w:tcPr>
            <w:tcW w:w="1420" w:type="dxa"/>
            <w:vAlign w:val="bottom"/>
            <w:gridSpan w:val="3"/>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r>
      <w:tr>
        <w:trPr>
          <w:trHeight w:val="98"/>
        </w:trPr>
        <w:tc>
          <w:tcPr>
            <w:tcW w:w="52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611"/>
        </w:trPr>
        <w:tc>
          <w:tcPr>
            <w:tcW w:w="5240" w:type="dxa"/>
            <w:vAlign w:val="bottom"/>
          </w:tcPr>
          <w:p>
            <w:pPr>
              <w:spacing w:after="0"/>
              <w:rPr>
                <w:sz w:val="20"/>
                <w:szCs w:val="20"/>
                <w:color w:val="auto"/>
              </w:rPr>
            </w:pPr>
            <w:r>
              <w:rPr>
                <w:rFonts w:ascii="Arial" w:cs="Arial" w:eastAsia="Arial" w:hAnsi="Arial"/>
                <w:sz w:val="22"/>
                <w:szCs w:val="22"/>
                <w:color w:val="auto"/>
              </w:rPr>
              <w:t>Net loss</w:t>
            </w:r>
          </w:p>
        </w:tc>
        <w:tc>
          <w:tcPr>
            <w:tcW w:w="1120" w:type="dxa"/>
            <w:vAlign w:val="bottom"/>
          </w:tcPr>
          <w:p>
            <w:pPr>
              <w:jc w:val="right"/>
              <w:spacing w:after="0"/>
              <w:rPr>
                <w:sz w:val="20"/>
                <w:szCs w:val="20"/>
                <w:color w:val="auto"/>
              </w:rPr>
            </w:pPr>
            <w:r>
              <w:rPr>
                <w:rFonts w:ascii="Arial" w:cs="Arial" w:eastAsia="Arial" w:hAnsi="Arial"/>
                <w:sz w:val="22"/>
                <w:szCs w:val="22"/>
                <w:color w:val="auto"/>
              </w:rPr>
              <w:t>$(10,233)</w:t>
            </w: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$(3,340)</w:t>
            </w:r>
          </w:p>
        </w:tc>
        <w:tc>
          <w:tcPr>
            <w:tcW w:w="20" w:type="dxa"/>
            <w:vAlign w:val="bottom"/>
          </w:tcPr>
          <w:p>
            <w:pPr>
              <w:spacing w:after="0"/>
              <w:rPr>
                <w:sz w:val="24"/>
                <w:szCs w:val="24"/>
                <w:color w:val="auto"/>
              </w:rPr>
            </w:pPr>
          </w:p>
        </w:tc>
      </w:tr>
      <w:tr>
        <w:trPr>
          <w:trHeight w:val="122"/>
        </w:trPr>
        <w:tc>
          <w:tcPr>
            <w:tcW w:w="52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326"/>
        </w:trPr>
        <w:tc>
          <w:tcPr>
            <w:tcW w:w="5240" w:type="dxa"/>
            <w:vAlign w:val="bottom"/>
          </w:tcPr>
          <w:p>
            <w:pPr>
              <w:spacing w:after="0"/>
              <w:rPr>
                <w:sz w:val="20"/>
                <w:szCs w:val="20"/>
                <w:color w:val="auto"/>
              </w:rPr>
            </w:pPr>
            <w:r>
              <w:rPr>
                <w:rFonts w:ascii="Arial" w:cs="Arial" w:eastAsia="Arial" w:hAnsi="Arial"/>
                <w:sz w:val="22"/>
                <w:szCs w:val="22"/>
                <w:color w:val="auto"/>
                <w:w w:val="91"/>
              </w:rPr>
              <w:t>Weighted average number of common shares outstanding:</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240" w:type="dxa"/>
            <w:vAlign w:val="bottom"/>
          </w:tcPr>
          <w:p>
            <w:pPr>
              <w:ind w:left="320"/>
              <w:spacing w:after="0" w:line="243" w:lineRule="exact"/>
              <w:rPr>
                <w:sz w:val="20"/>
                <w:szCs w:val="20"/>
                <w:color w:val="auto"/>
              </w:rPr>
            </w:pPr>
            <w:r>
              <w:rPr>
                <w:rFonts w:ascii="Arial" w:cs="Arial" w:eastAsia="Arial" w:hAnsi="Arial"/>
                <w:sz w:val="22"/>
                <w:szCs w:val="22"/>
                <w:color w:val="auto"/>
              </w:rPr>
              <w:t>Weighted average common shares used for basic</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5240" w:type="dxa"/>
            <w:vAlign w:val="bottom"/>
          </w:tcPr>
          <w:p>
            <w:pPr>
              <w:ind w:left="440"/>
              <w:spacing w:after="0"/>
              <w:rPr>
                <w:sz w:val="20"/>
                <w:szCs w:val="20"/>
                <w:color w:val="auto"/>
              </w:rPr>
            </w:pPr>
            <w:r>
              <w:rPr>
                <w:rFonts w:ascii="Arial" w:cs="Arial" w:eastAsia="Arial" w:hAnsi="Arial"/>
                <w:sz w:val="22"/>
                <w:szCs w:val="22"/>
                <w:color w:val="auto"/>
              </w:rPr>
              <w:t>and diluted earnings per share</w:t>
            </w:r>
          </w:p>
        </w:tc>
        <w:tc>
          <w:tcPr>
            <w:tcW w:w="1120" w:type="dxa"/>
            <w:vAlign w:val="bottom"/>
          </w:tcPr>
          <w:p>
            <w:pPr>
              <w:jc w:val="right"/>
              <w:spacing w:after="0"/>
              <w:rPr>
                <w:sz w:val="20"/>
                <w:szCs w:val="20"/>
                <w:color w:val="auto"/>
              </w:rPr>
            </w:pPr>
            <w:r>
              <w:rPr>
                <w:rFonts w:ascii="Arial" w:cs="Arial" w:eastAsia="Arial" w:hAnsi="Arial"/>
                <w:sz w:val="22"/>
                <w:szCs w:val="22"/>
                <w:color w:val="auto"/>
              </w:rPr>
              <w:t>41,723</w:t>
            </w: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41,626</w:t>
            </w:r>
          </w:p>
        </w:tc>
        <w:tc>
          <w:tcPr>
            <w:tcW w:w="20" w:type="dxa"/>
            <w:vAlign w:val="bottom"/>
          </w:tcPr>
          <w:p>
            <w:pPr>
              <w:spacing w:after="0"/>
              <w:rPr>
                <w:sz w:val="23"/>
                <w:szCs w:val="23"/>
                <w:color w:val="auto"/>
              </w:rPr>
            </w:pPr>
          </w:p>
        </w:tc>
      </w:tr>
      <w:tr>
        <w:trPr>
          <w:trHeight w:val="122"/>
        </w:trPr>
        <w:tc>
          <w:tcPr>
            <w:tcW w:w="52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570"/>
        </w:trPr>
        <w:tc>
          <w:tcPr>
            <w:tcW w:w="5240" w:type="dxa"/>
            <w:vAlign w:val="bottom"/>
          </w:tcPr>
          <w:p>
            <w:pPr>
              <w:spacing w:after="0"/>
              <w:rPr>
                <w:sz w:val="20"/>
                <w:szCs w:val="20"/>
                <w:color w:val="auto"/>
              </w:rPr>
            </w:pPr>
            <w:r>
              <w:rPr>
                <w:rFonts w:ascii="Arial" w:cs="Arial" w:eastAsia="Arial" w:hAnsi="Arial"/>
                <w:sz w:val="22"/>
                <w:szCs w:val="22"/>
                <w:color w:val="auto"/>
              </w:rPr>
              <w:t>Loss per share: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240" w:type="dxa"/>
            <w:vAlign w:val="bottom"/>
          </w:tcPr>
          <w:p>
            <w:pPr>
              <w:ind w:left="280"/>
              <w:spacing w:after="0" w:line="243" w:lineRule="exact"/>
              <w:rPr>
                <w:sz w:val="20"/>
                <w:szCs w:val="20"/>
                <w:color w:val="auto"/>
              </w:rPr>
            </w:pPr>
            <w:r>
              <w:rPr>
                <w:rFonts w:ascii="Arial" w:cs="Arial" w:eastAsia="Arial" w:hAnsi="Arial"/>
                <w:sz w:val="22"/>
                <w:szCs w:val="22"/>
                <w:color w:val="auto"/>
              </w:rPr>
              <w:t>Basic</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$(0.25)</w:t>
            </w:r>
          </w:p>
        </w:tc>
        <w:tc>
          <w:tcPr>
            <w:tcW w:w="14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$(0.08)</w:t>
            </w:r>
          </w:p>
        </w:tc>
        <w:tc>
          <w:tcPr>
            <w:tcW w:w="20" w:type="dxa"/>
            <w:vAlign w:val="bottom"/>
          </w:tcPr>
          <w:p>
            <w:pPr>
              <w:spacing w:after="0"/>
              <w:rPr>
                <w:sz w:val="21"/>
                <w:szCs w:val="21"/>
                <w:color w:val="auto"/>
              </w:rPr>
            </w:pPr>
          </w:p>
        </w:tc>
      </w:tr>
      <w:tr>
        <w:trPr>
          <w:trHeight w:val="275"/>
        </w:trPr>
        <w:tc>
          <w:tcPr>
            <w:tcW w:w="5240" w:type="dxa"/>
            <w:vAlign w:val="bottom"/>
          </w:tcPr>
          <w:p>
            <w:pPr>
              <w:ind w:left="280"/>
              <w:spacing w:after="0"/>
              <w:rPr>
                <w:sz w:val="20"/>
                <w:szCs w:val="20"/>
                <w:color w:val="auto"/>
              </w:rPr>
            </w:pPr>
            <w:r>
              <w:rPr>
                <w:rFonts w:ascii="Arial" w:cs="Arial" w:eastAsia="Arial" w:hAnsi="Arial"/>
                <w:sz w:val="22"/>
                <w:szCs w:val="22"/>
                <w:color w:val="auto"/>
              </w:rPr>
              <w:t>Diluted</w:t>
            </w:r>
          </w:p>
        </w:tc>
        <w:tc>
          <w:tcPr>
            <w:tcW w:w="1120" w:type="dxa"/>
            <w:vAlign w:val="bottom"/>
          </w:tcPr>
          <w:p>
            <w:pPr>
              <w:jc w:val="right"/>
              <w:spacing w:after="0"/>
              <w:rPr>
                <w:sz w:val="20"/>
                <w:szCs w:val="20"/>
                <w:color w:val="auto"/>
              </w:rPr>
            </w:pPr>
            <w:r>
              <w:rPr>
                <w:rFonts w:ascii="Arial" w:cs="Arial" w:eastAsia="Arial" w:hAnsi="Arial"/>
                <w:sz w:val="22"/>
                <w:szCs w:val="22"/>
                <w:color w:val="auto"/>
              </w:rPr>
              <w:t>$(0.25)</w:t>
            </w: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$(0.08)</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-1345565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-1345565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-1345565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-1345565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-719455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-719455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-719455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-719455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firstLine="266"/>
        <w:spacing w:after="0" w:line="238" w:lineRule="auto"/>
        <w:rPr>
          <w:sz w:val="20"/>
          <w:szCs w:val="20"/>
          <w:color w:val="auto"/>
        </w:rPr>
      </w:pPr>
      <w:r>
        <w:rPr>
          <w:rFonts w:ascii="Arial" w:cs="Arial" w:eastAsia="Arial" w:hAnsi="Arial"/>
          <w:sz w:val="22"/>
          <w:szCs w:val="22"/>
          <w:color w:val="auto"/>
        </w:rPr>
        <w:t>The effect of the exercise of certain stock options and restricted shares and the potential conversion of some of the Company's convertible subordinated notes has been antidilutive. The following table shows the amount of incremental shares outstanding that would have been added if the assumed conversion of stock options and restricted shares, and convertible subordinated notes had been 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360" w:type="dxa"/>
            <w:vAlign w:val="bottom"/>
          </w:tcPr>
          <w:p>
            <w:pPr>
              <w:spacing w:after="0"/>
              <w:rPr>
                <w:sz w:val="24"/>
                <w:szCs w:val="24"/>
                <w:color w:val="auto"/>
              </w:rPr>
            </w:pPr>
          </w:p>
        </w:tc>
        <w:tc>
          <w:tcPr>
            <w:tcW w:w="2540" w:type="dxa"/>
            <w:vAlign w:val="bottom"/>
            <w:gridSpan w:val="3"/>
          </w:tcPr>
          <w:p>
            <w:pPr>
              <w:jc w:val="right"/>
              <w:ind w:right="192"/>
              <w:spacing w:after="0"/>
              <w:rPr>
                <w:sz w:val="20"/>
                <w:szCs w:val="20"/>
                <w:color w:val="auto"/>
              </w:rPr>
            </w:pPr>
            <w:r>
              <w:rPr>
                <w:rFonts w:ascii="Arial" w:cs="Arial" w:eastAsia="Arial" w:hAnsi="Arial"/>
                <w:sz w:val="22"/>
                <w:szCs w:val="22"/>
                <w:b w:val="1"/>
                <w:bCs w:val="1"/>
                <w:color w:val="auto"/>
              </w:rPr>
              <w:t>Three Months Ended</w:t>
            </w:r>
          </w:p>
        </w:tc>
      </w:tr>
      <w:tr>
        <w:trPr>
          <w:trHeight w:val="98"/>
        </w:trPr>
        <w:tc>
          <w:tcPr>
            <w:tcW w:w="43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31"/>
        </w:trPr>
        <w:tc>
          <w:tcPr>
            <w:tcW w:w="4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9"/>
              </w:rPr>
              <w:t>February 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27,</w:t>
            </w:r>
          </w:p>
        </w:tc>
      </w:tr>
      <w:tr>
        <w:trPr>
          <w:trHeight w:val="281"/>
        </w:trPr>
        <w:tc>
          <w:tcPr>
            <w:tcW w:w="436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42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2008</w:t>
            </w:r>
          </w:p>
        </w:tc>
      </w:tr>
      <w:tr>
        <w:trPr>
          <w:trHeight w:val="98"/>
        </w:trPr>
        <w:tc>
          <w:tcPr>
            <w:tcW w:w="43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580"/>
        </w:trPr>
        <w:tc>
          <w:tcPr>
            <w:tcW w:w="4360" w:type="dxa"/>
            <w:vAlign w:val="bottom"/>
          </w:tcPr>
          <w:p>
            <w:pPr>
              <w:spacing w:after="0"/>
              <w:rPr>
                <w:sz w:val="20"/>
                <w:szCs w:val="20"/>
                <w:color w:val="auto"/>
              </w:rPr>
            </w:pPr>
            <w:r>
              <w:rPr>
                <w:rFonts w:ascii="Arial" w:cs="Arial" w:eastAsia="Arial" w:hAnsi="Arial"/>
                <w:sz w:val="22"/>
                <w:szCs w:val="22"/>
                <w:color w:val="auto"/>
                <w:w w:val="97"/>
              </w:rPr>
              <w:t>Employee stock options and restricted shares</w:t>
            </w:r>
          </w:p>
        </w:tc>
        <w:tc>
          <w:tcPr>
            <w:tcW w:w="1120" w:type="dxa"/>
            <w:vAlign w:val="bottom"/>
          </w:tcPr>
          <w:p>
            <w:pPr>
              <w:jc w:val="right"/>
              <w:spacing w:after="0"/>
              <w:rPr>
                <w:sz w:val="20"/>
                <w:szCs w:val="20"/>
                <w:color w:val="auto"/>
              </w:rPr>
            </w:pPr>
            <w:r>
              <w:rPr>
                <w:rFonts w:ascii="Arial" w:cs="Arial" w:eastAsia="Arial" w:hAnsi="Arial"/>
                <w:sz w:val="22"/>
                <w:szCs w:val="22"/>
                <w:color w:val="auto"/>
              </w:rPr>
              <w:t>2,659</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2,648</w:t>
            </w:r>
          </w:p>
        </w:tc>
      </w:tr>
      <w:tr>
        <w:trPr>
          <w:trHeight w:val="275"/>
        </w:trPr>
        <w:tc>
          <w:tcPr>
            <w:tcW w:w="4360" w:type="dxa"/>
            <w:vAlign w:val="bottom"/>
          </w:tcPr>
          <w:p>
            <w:pPr>
              <w:spacing w:after="0"/>
              <w:rPr>
                <w:sz w:val="20"/>
                <w:szCs w:val="20"/>
                <w:color w:val="auto"/>
              </w:rPr>
            </w:pPr>
            <w:r>
              <w:rPr>
                <w:rFonts w:ascii="Arial" w:cs="Arial" w:eastAsia="Arial" w:hAnsi="Arial"/>
                <w:sz w:val="22"/>
                <w:szCs w:val="22"/>
                <w:color w:val="auto"/>
                <w:w w:val="96"/>
              </w:rPr>
              <w:t>Convertible notes redeemed on April 15, 2008</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9,441</w:t>
            </w:r>
          </w:p>
        </w:tc>
      </w:tr>
      <w:tr>
        <w:trPr>
          <w:trHeight w:val="98"/>
        </w:trPr>
        <w:tc>
          <w:tcPr>
            <w:tcW w:w="436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4360" w:type="dxa"/>
            <w:vAlign w:val="bottom"/>
          </w:tcPr>
          <w:p>
            <w:pPr>
              <w:spacing w:after="0"/>
              <w:rPr>
                <w:sz w:val="20"/>
                <w:szCs w:val="20"/>
                <w:color w:val="auto"/>
              </w:rPr>
            </w:pPr>
            <w:r>
              <w:rPr>
                <w:rFonts w:ascii="Arial" w:cs="Arial" w:eastAsia="Arial" w:hAnsi="Arial"/>
                <w:sz w:val="22"/>
                <w:szCs w:val="22"/>
                <w:color w:val="auto"/>
              </w:rPr>
              <w:t>Total potentially dilutive shares excluded</w:t>
            </w:r>
          </w:p>
        </w:tc>
        <w:tc>
          <w:tcPr>
            <w:tcW w:w="1120" w:type="dxa"/>
            <w:vAlign w:val="bottom"/>
          </w:tcPr>
          <w:p>
            <w:pPr>
              <w:jc w:val="right"/>
              <w:spacing w:after="0"/>
              <w:rPr>
                <w:sz w:val="20"/>
                <w:szCs w:val="20"/>
                <w:color w:val="auto"/>
              </w:rPr>
            </w:pPr>
            <w:r>
              <w:rPr>
                <w:rFonts w:ascii="Arial" w:cs="Arial" w:eastAsia="Arial" w:hAnsi="Arial"/>
                <w:sz w:val="22"/>
                <w:szCs w:val="22"/>
                <w:color w:val="auto"/>
              </w:rPr>
              <w:t>2,659</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12,089</w:t>
            </w:r>
          </w:p>
        </w:tc>
      </w:tr>
      <w:tr>
        <w:trPr>
          <w:trHeight w:val="122"/>
        </w:trPr>
        <w:tc>
          <w:tcPr>
            <w:tcW w:w="436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STOCK-BASED COMPENSATION PLANS</w:t>
      </w:r>
    </w:p>
    <w:p>
      <w:pPr>
        <w:spacing w:after="0" w:line="212" w:lineRule="exact"/>
        <w:rPr>
          <w:sz w:val="20"/>
          <w:szCs w:val="20"/>
          <w:color w:val="auto"/>
        </w:rPr>
      </w:pPr>
    </w:p>
    <w:p>
      <w:pPr>
        <w:ind w:right="200" w:firstLine="270"/>
        <w:spacing w:after="0" w:line="274" w:lineRule="auto"/>
        <w:rPr>
          <w:sz w:val="20"/>
          <w:szCs w:val="20"/>
          <w:color w:val="auto"/>
        </w:rPr>
      </w:pPr>
      <w:r>
        <w:rPr>
          <w:rFonts w:ascii="Arial" w:cs="Arial" w:eastAsia="Arial" w:hAnsi="Arial"/>
          <w:sz w:val="19"/>
          <w:szCs w:val="19"/>
          <w:color w:val="auto"/>
        </w:rPr>
        <w:t>In March 2007, shareholders approved a new stock-based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officers, employees, directors, consultants, advisors, and independent contractors of the Company or its subsidiaries. The Plan prohibits further awards from being issued under prior plans. Aspects of the Plan are more fully described below. The Company incurred compensation cost under the Plan of $0.7 million and $0.5 million for the three months ended February 1, 2009 and January 27, 2008, respectively. No share-based compensation cost was capitalized as part of inventory, no related income tax benefits were recorded and no equity awards were settled in cash during the periods presented.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40" w:firstLine="270"/>
        <w:spacing w:after="0" w:line="258" w:lineRule="auto"/>
        <w:rPr>
          <w:sz w:val="20"/>
          <w:szCs w:val="20"/>
          <w:color w:val="auto"/>
        </w:rPr>
      </w:pPr>
      <w:r>
        <w:rPr>
          <w:rFonts w:ascii="Arial" w:cs="Arial" w:eastAsia="Arial" w:hAnsi="Arial"/>
          <w:sz w:val="21"/>
          <w:szCs w:val="21"/>
          <w:color w:val="auto"/>
        </w:rPr>
        <w:t>Option awards generally vest in one to four years, and have a ten-year contractual term. All incentive and non-qualified stock option grants have an exercise price equal to the market value of the underlying common stock on the date of grant. The option and share awards provide for accelerated vesting if there is a change in control as defined in the Plan.</w:t>
      </w:r>
    </w:p>
    <w:p>
      <w:pPr>
        <w:spacing w:after="0" w:line="167" w:lineRule="exact"/>
        <w:rPr>
          <w:sz w:val="20"/>
          <w:szCs w:val="20"/>
          <w:color w:val="auto"/>
        </w:rPr>
      </w:pPr>
    </w:p>
    <w:p>
      <w:pPr>
        <w:ind w:firstLine="266"/>
        <w:spacing w:after="0" w:line="279" w:lineRule="auto"/>
        <w:rPr>
          <w:sz w:val="20"/>
          <w:szCs w:val="20"/>
          <w:color w:val="auto"/>
        </w:rPr>
      </w:pPr>
      <w:r>
        <w:rPr>
          <w:rFonts w:ascii="Arial" w:cs="Arial" w:eastAsia="Arial" w:hAnsi="Arial"/>
          <w:sz w:val="19"/>
          <w:szCs w:val="19"/>
          <w:color w:val="auto"/>
        </w:rPr>
        <w:t>The grant date fair value of options is based upon the closing price on the date of grant using the Black-Scholes option pricing model. Expected volatility is based on the historical volatility of the Company's stock. The Company uses historical option exercise behavior and employee termination data to estimate expected term and forfeiture rates, which represents the period of time that the options granted are expected to remain outstanding. The risk-free rate of return for the estimated life of the option is based on the U.S. Treasury yield curve in effect at the time of grant. Inputs used to calculate the grant date fair value of share options issued during the three months ended February 1, 2009 are presented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Volatility</w:t>
            </w:r>
          </w:p>
        </w:tc>
        <w:tc>
          <w:tcPr>
            <w:tcW w:w="2360" w:type="dxa"/>
            <w:vAlign w:val="bottom"/>
          </w:tcPr>
          <w:p>
            <w:pPr>
              <w:jc w:val="right"/>
              <w:spacing w:after="0"/>
              <w:rPr>
                <w:sz w:val="20"/>
                <w:szCs w:val="20"/>
                <w:color w:val="auto"/>
              </w:rPr>
            </w:pPr>
            <w:r>
              <w:rPr>
                <w:rFonts w:ascii="Arial" w:cs="Arial" w:eastAsia="Arial" w:hAnsi="Arial"/>
                <w:sz w:val="22"/>
                <w:szCs w:val="22"/>
                <w:color w:val="auto"/>
              </w:rPr>
              <w:t>69.7%</w:t>
            </w:r>
          </w:p>
        </w:tc>
      </w:tr>
    </w:tbl>
    <w:p>
      <w:pPr>
        <w:sectPr>
          <w:pgSz w:w="11900" w:h="16840" w:orient="portrait"/>
          <w:cols w:equalWidth="0" w:num="1">
            <w:col w:w="11400"/>
          </w:cols>
          <w:pgMar w:left="240" w:top="111" w:right="2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40" w:type="dxa"/>
            <w:vAlign w:val="bottom"/>
          </w:tcPr>
          <w:p>
            <w:pPr>
              <w:spacing w:after="0"/>
              <w:rPr>
                <w:sz w:val="20"/>
                <w:szCs w:val="20"/>
                <w:color w:val="auto"/>
              </w:rPr>
            </w:pPr>
            <w:r>
              <w:rPr>
                <w:rFonts w:ascii="Arial" w:cs="Arial" w:eastAsia="Arial" w:hAnsi="Arial"/>
                <w:sz w:val="22"/>
                <w:szCs w:val="22"/>
                <w:color w:val="auto"/>
              </w:rPr>
              <w:t>Risk free rate of return</w:t>
            </w:r>
          </w:p>
        </w:tc>
        <w:tc>
          <w:tcPr>
            <w:tcW w:w="2040" w:type="dxa"/>
            <w:vAlign w:val="bottom"/>
          </w:tcPr>
          <w:p>
            <w:pPr>
              <w:ind w:left="1260"/>
              <w:spacing w:after="0"/>
              <w:rPr>
                <w:sz w:val="20"/>
                <w:szCs w:val="20"/>
                <w:color w:val="auto"/>
              </w:rPr>
            </w:pPr>
            <w:r>
              <w:rPr>
                <w:rFonts w:ascii="Arial" w:cs="Arial" w:eastAsia="Arial" w:hAnsi="Arial"/>
                <w:sz w:val="22"/>
                <w:szCs w:val="22"/>
                <w:color w:val="auto"/>
              </w:rPr>
              <w:t>2.5%</w:t>
            </w:r>
          </w:p>
        </w:tc>
      </w:tr>
      <w:tr>
        <w:trPr>
          <w:trHeight w:val="486"/>
        </w:trPr>
        <w:tc>
          <w:tcPr>
            <w:tcW w:w="3240" w:type="dxa"/>
            <w:vAlign w:val="bottom"/>
          </w:tcPr>
          <w:p>
            <w:pPr>
              <w:spacing w:after="0"/>
              <w:rPr>
                <w:sz w:val="20"/>
                <w:szCs w:val="20"/>
                <w:color w:val="auto"/>
              </w:rPr>
            </w:pPr>
            <w:r>
              <w:rPr>
                <w:rFonts w:ascii="Arial" w:cs="Arial" w:eastAsia="Arial" w:hAnsi="Arial"/>
                <w:sz w:val="22"/>
                <w:szCs w:val="22"/>
                <w:color w:val="auto"/>
              </w:rPr>
              <w:t>Dividend yield</w:t>
            </w:r>
          </w:p>
        </w:tc>
        <w:tc>
          <w:tcPr>
            <w:tcW w:w="2040" w:type="dxa"/>
            <w:vAlign w:val="bottom"/>
          </w:tcPr>
          <w:p>
            <w:pPr>
              <w:ind w:left="1260"/>
              <w:spacing w:after="0"/>
              <w:rPr>
                <w:sz w:val="20"/>
                <w:szCs w:val="20"/>
                <w:color w:val="auto"/>
              </w:rPr>
            </w:pPr>
            <w:r>
              <w:rPr>
                <w:rFonts w:ascii="Arial" w:cs="Arial" w:eastAsia="Arial" w:hAnsi="Arial"/>
                <w:sz w:val="22"/>
                <w:szCs w:val="22"/>
                <w:color w:val="auto"/>
              </w:rPr>
              <w:t>0.0%</w:t>
            </w:r>
          </w:p>
        </w:tc>
      </w:tr>
      <w:tr>
        <w:trPr>
          <w:trHeight w:val="486"/>
        </w:trPr>
        <w:tc>
          <w:tcPr>
            <w:tcW w:w="3240" w:type="dxa"/>
            <w:vAlign w:val="bottom"/>
          </w:tcPr>
          <w:p>
            <w:pPr>
              <w:spacing w:after="0"/>
              <w:rPr>
                <w:sz w:val="20"/>
                <w:szCs w:val="20"/>
                <w:color w:val="auto"/>
              </w:rPr>
            </w:pPr>
            <w:r>
              <w:rPr>
                <w:rFonts w:ascii="Arial" w:cs="Arial" w:eastAsia="Arial" w:hAnsi="Arial"/>
                <w:sz w:val="22"/>
                <w:szCs w:val="22"/>
                <w:color w:val="auto"/>
              </w:rPr>
              <w:t>Expected average term</w:t>
            </w:r>
          </w:p>
        </w:tc>
        <w:tc>
          <w:tcPr>
            <w:tcW w:w="2040" w:type="dxa"/>
            <w:vAlign w:val="bottom"/>
          </w:tcPr>
          <w:p>
            <w:pPr>
              <w:ind w:left="1260"/>
              <w:spacing w:after="0"/>
              <w:rPr>
                <w:sz w:val="20"/>
                <w:szCs w:val="20"/>
                <w:color w:val="auto"/>
              </w:rPr>
            </w:pPr>
            <w:r>
              <w:rPr>
                <w:rFonts w:ascii="Arial" w:cs="Arial" w:eastAsia="Arial" w:hAnsi="Arial"/>
                <w:sz w:val="22"/>
                <w:szCs w:val="22"/>
                <w:color w:val="auto"/>
                <w:w w:val="83"/>
              </w:rPr>
              <w:t>4.7 years</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summary of option awards under the plan as of February 1, 2009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Weighted</w:t>
            </w:r>
          </w:p>
        </w:tc>
        <w:tc>
          <w:tcPr>
            <w:tcW w:w="16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16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160" w:type="dxa"/>
            <w:vAlign w:val="bottom"/>
          </w:tcPr>
          <w:p>
            <w:pPr>
              <w:spacing w:after="0"/>
              <w:rPr>
                <w:sz w:val="21"/>
                <w:szCs w:val="21"/>
                <w:color w:val="auto"/>
              </w:rPr>
            </w:pPr>
          </w:p>
        </w:tc>
        <w:tc>
          <w:tcPr>
            <w:tcW w:w="120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r>
      <w:tr>
        <w:trPr>
          <w:trHeight w:val="243"/>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Exercise</w:t>
            </w:r>
          </w:p>
        </w:tc>
        <w:tc>
          <w:tcPr>
            <w:tcW w:w="16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160" w:type="dxa"/>
            <w:vAlign w:val="bottom"/>
          </w:tcPr>
          <w:p>
            <w:pPr>
              <w:spacing w:after="0"/>
              <w:rPr>
                <w:sz w:val="21"/>
                <w:szCs w:val="21"/>
                <w:color w:val="auto"/>
              </w:rPr>
            </w:pPr>
          </w:p>
        </w:tc>
        <w:tc>
          <w:tcPr>
            <w:tcW w:w="120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1"/>
              </w:rPr>
              <w:t>Intrinsic</w:t>
            </w:r>
          </w:p>
        </w:tc>
      </w:tr>
      <w:tr>
        <w:trPr>
          <w:trHeight w:val="281"/>
        </w:trPr>
        <w:tc>
          <w:tcPr>
            <w:tcW w:w="3460" w:type="dxa"/>
            <w:vAlign w:val="bottom"/>
          </w:tcPr>
          <w:p>
            <w:pPr>
              <w:ind w:left="1360"/>
              <w:spacing w:after="0"/>
              <w:rPr>
                <w:sz w:val="20"/>
                <w:szCs w:val="20"/>
                <w:color w:val="auto"/>
              </w:rPr>
            </w:pPr>
            <w:r>
              <w:rPr>
                <w:rFonts w:ascii="Arial" w:cs="Arial" w:eastAsia="Arial" w:hAnsi="Arial"/>
                <w:sz w:val="22"/>
                <w:szCs w:val="22"/>
                <w:b w:val="1"/>
                <w:bCs w:val="1"/>
                <w:color w:val="auto"/>
              </w:rPr>
              <w:t>Options</w:t>
            </w:r>
          </w:p>
        </w:tc>
        <w:tc>
          <w:tcPr>
            <w:tcW w:w="28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22"/>
                <w:szCs w:val="22"/>
                <w:b w:val="1"/>
                <w:bCs w:val="1"/>
                <w:color w:val="auto"/>
              </w:rPr>
              <w:t>Shares</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22"/>
                <w:szCs w:val="22"/>
                <w:b w:val="1"/>
                <w:bCs w:val="1"/>
                <w:color w:val="auto"/>
                <w:w w:val="89"/>
              </w:rPr>
              <w:t>Price</w:t>
            </w: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91"/>
              </w:rPr>
              <w:t>Life</w:t>
            </w:r>
          </w:p>
        </w:tc>
        <w:tc>
          <w:tcPr>
            <w:tcW w:w="16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Value</w:t>
            </w:r>
          </w:p>
        </w:tc>
      </w:tr>
      <w:tr>
        <w:trPr>
          <w:trHeight w:val="98"/>
        </w:trPr>
        <w:tc>
          <w:tcPr>
            <w:tcW w:w="3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611"/>
        </w:trPr>
        <w:tc>
          <w:tcPr>
            <w:tcW w:w="3460" w:type="dxa"/>
            <w:vAlign w:val="bottom"/>
          </w:tcPr>
          <w:p>
            <w:pPr>
              <w:spacing w:after="0"/>
              <w:rPr>
                <w:sz w:val="20"/>
                <w:szCs w:val="20"/>
                <w:color w:val="auto"/>
              </w:rPr>
            </w:pPr>
            <w:r>
              <w:rPr>
                <w:rFonts w:ascii="Arial" w:cs="Arial" w:eastAsia="Arial" w:hAnsi="Arial"/>
                <w:sz w:val="22"/>
                <w:szCs w:val="22"/>
                <w:color w:val="auto"/>
              </w:rPr>
              <w:t>Outstanding at February 1, 2009</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3,500,557</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$11.55</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7.1</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w w:val="83"/>
              </w:rPr>
              <w:t>1,110</w:t>
            </w:r>
          </w:p>
        </w:tc>
      </w:tr>
      <w:tr>
        <w:trPr>
          <w:trHeight w:val="486"/>
        </w:trPr>
        <w:tc>
          <w:tcPr>
            <w:tcW w:w="3460" w:type="dxa"/>
            <w:vAlign w:val="bottom"/>
          </w:tcPr>
          <w:p>
            <w:pPr>
              <w:spacing w:after="0"/>
              <w:rPr>
                <w:sz w:val="20"/>
                <w:szCs w:val="20"/>
                <w:color w:val="auto"/>
              </w:rPr>
            </w:pPr>
            <w:r>
              <w:rPr>
                <w:rFonts w:ascii="Arial" w:cs="Arial" w:eastAsia="Arial" w:hAnsi="Arial"/>
                <w:sz w:val="22"/>
                <w:szCs w:val="22"/>
                <w:color w:val="auto"/>
              </w:rPr>
              <w:t>Exercisable at February 1, 2009</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1,752,331</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$19.21</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4.8</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266"/>
        <w:spacing w:after="0" w:line="287" w:lineRule="auto"/>
        <w:rPr>
          <w:sz w:val="20"/>
          <w:szCs w:val="20"/>
          <w:color w:val="auto"/>
        </w:rPr>
      </w:pPr>
      <w:r>
        <w:rPr>
          <w:rFonts w:ascii="Arial" w:cs="Arial" w:eastAsia="Arial" w:hAnsi="Arial"/>
          <w:sz w:val="19"/>
          <w:szCs w:val="19"/>
          <w:color w:val="auto"/>
        </w:rPr>
        <w:t>There were 1,343,250 share options granted during the three months ended February 1, 2009 with a weighted average grant date fair value of $0.44 per share. No share options were granted during the three months ended January 27, 2008. As of February 1, 2009, the total compensation cost related to non-vested option awards not yet recognized was approximately $2.5 million. That cost is expected to be recognized over a weighted average amortization period of 3.5 years.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w:t>
      </w:r>
    </w:p>
    <w:p>
      <w:pPr>
        <w:spacing w:after="0" w:line="212" w:lineRule="exact"/>
        <w:rPr>
          <w:sz w:val="20"/>
          <w:szCs w:val="20"/>
          <w:color w:val="auto"/>
        </w:rPr>
      </w:pPr>
    </w:p>
    <w:p>
      <w:pPr>
        <w:ind w:right="60" w:firstLine="266"/>
        <w:spacing w:after="0" w:line="247" w:lineRule="auto"/>
        <w:rPr>
          <w:sz w:val="20"/>
          <w:szCs w:val="20"/>
          <w:color w:val="auto"/>
        </w:rPr>
      </w:pPr>
      <w:r>
        <w:rPr>
          <w:rFonts w:ascii="Arial" w:cs="Arial" w:eastAsia="Arial" w:hAnsi="Arial"/>
          <w:sz w:val="21"/>
          <w:szCs w:val="21"/>
          <w:color w:val="auto"/>
        </w:rPr>
        <w:t>The Company periodically grants restricted stock awards. The restrictions on these awards lapse over a service period that has ranged from less than one to eight years. During the three months ended February 1, 2009, 75,000 shares were granted with a weighted average grant date fair value of $0.76 per share. During the three month period ended January 27, 2008, 148,300 shares were granted with a weighted average grant date fair value of $11.79 per share. As of February 1, 2009, the total compensation cost related to non-vested restricted stock awards not yet recognized was approximately $3.5 million. That cost is expected to be recognized over a weighted average amortization period of 3.7 years. A summary of the status of the Company's nonvested restricted shares as of February 1, 2009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4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4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20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c>
          <w:tcPr>
            <w:tcW w:w="5080" w:type="dxa"/>
            <w:vAlign w:val="bottom"/>
          </w:tcPr>
          <w:p>
            <w:pPr>
              <w:spacing w:after="0"/>
              <w:rPr>
                <w:sz w:val="21"/>
                <w:szCs w:val="21"/>
                <w:color w:val="auto"/>
              </w:rPr>
            </w:pPr>
          </w:p>
        </w:tc>
      </w:tr>
      <w:tr>
        <w:trPr>
          <w:trHeight w:val="24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20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Intrinsic</w:t>
            </w:r>
          </w:p>
        </w:tc>
        <w:tc>
          <w:tcPr>
            <w:tcW w:w="5080" w:type="dxa"/>
            <w:vAlign w:val="bottom"/>
          </w:tcPr>
          <w:p>
            <w:pPr>
              <w:spacing w:after="0"/>
              <w:rPr>
                <w:sz w:val="21"/>
                <w:szCs w:val="21"/>
                <w:color w:val="auto"/>
              </w:rPr>
            </w:pPr>
          </w:p>
        </w:tc>
      </w:tr>
      <w:tr>
        <w:trPr>
          <w:trHeight w:val="281"/>
        </w:trPr>
        <w:tc>
          <w:tcPr>
            <w:tcW w:w="2840" w:type="dxa"/>
            <w:vAlign w:val="bottom"/>
          </w:tcPr>
          <w:p>
            <w:pPr>
              <w:jc w:val="center"/>
              <w:spacing w:after="0"/>
              <w:rPr>
                <w:sz w:val="20"/>
                <w:szCs w:val="20"/>
                <w:color w:val="auto"/>
              </w:rPr>
            </w:pPr>
            <w:r>
              <w:rPr>
                <w:rFonts w:ascii="Arial" w:cs="Arial" w:eastAsia="Arial" w:hAnsi="Arial"/>
                <w:sz w:val="22"/>
                <w:szCs w:val="22"/>
                <w:b w:val="1"/>
                <w:bCs w:val="1"/>
                <w:color w:val="auto"/>
                <w:w w:val="87"/>
              </w:rPr>
              <w:t>Restricted Stock</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1"/>
              </w:rPr>
              <w:t>Life</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c>
          <w:tcPr>
            <w:tcW w:w="5080" w:type="dxa"/>
            <w:vAlign w:val="bottom"/>
          </w:tcPr>
          <w:p>
            <w:pPr>
              <w:spacing w:after="0"/>
              <w:rPr>
                <w:sz w:val="24"/>
                <w:szCs w:val="24"/>
                <w:color w:val="auto"/>
              </w:rPr>
            </w:pPr>
          </w:p>
        </w:tc>
      </w:tr>
      <w:tr>
        <w:trPr>
          <w:trHeight w:val="98"/>
        </w:trPr>
        <w:tc>
          <w:tcPr>
            <w:tcW w:w="2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r>
      <w:tr>
        <w:trPr>
          <w:trHeight w:val="611"/>
        </w:trPr>
        <w:tc>
          <w:tcPr>
            <w:tcW w:w="2840" w:type="dxa"/>
            <w:vAlign w:val="bottom"/>
          </w:tcPr>
          <w:p>
            <w:pPr>
              <w:jc w:val="center"/>
              <w:spacing w:after="0"/>
              <w:rPr>
                <w:sz w:val="20"/>
                <w:szCs w:val="20"/>
                <w:color w:val="auto"/>
              </w:rPr>
            </w:pPr>
            <w:r>
              <w:rPr>
                <w:rFonts w:ascii="Arial" w:cs="Arial" w:eastAsia="Arial" w:hAnsi="Arial"/>
                <w:sz w:val="22"/>
                <w:szCs w:val="22"/>
                <w:color w:val="auto"/>
                <w:w w:val="89"/>
              </w:rPr>
              <w:t>Outstanding at February 1, 2009</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321,168</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$511</w:t>
            </w:r>
          </w:p>
        </w:tc>
        <w:tc>
          <w:tcPr>
            <w:tcW w:w="5080" w:type="dxa"/>
            <w:vAlign w:val="bottom"/>
          </w:tcPr>
          <w:p>
            <w:pPr>
              <w:spacing w:after="0"/>
              <w:rPr>
                <w:sz w:val="24"/>
                <w:szCs w:val="24"/>
                <w:color w:val="auto"/>
              </w:rPr>
            </w:pPr>
          </w:p>
        </w:tc>
      </w:tr>
      <w:tr>
        <w:trPr>
          <w:trHeight w:val="918"/>
        </w:trPr>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gridSpan w:val="2"/>
          </w:tcPr>
          <w:p>
            <w:pPr>
              <w:jc w:val="right"/>
              <w:ind w:right="412"/>
              <w:spacing w:after="0"/>
              <w:rPr>
                <w:sz w:val="20"/>
                <w:szCs w:val="20"/>
                <w:color w:val="auto"/>
              </w:rPr>
            </w:pPr>
            <w:r>
              <w:rPr>
                <w:rFonts w:ascii="Arial" w:cs="Arial" w:eastAsia="Arial" w:hAnsi="Arial"/>
                <w:sz w:val="22"/>
                <w:szCs w:val="22"/>
                <w:color w:val="auto"/>
              </w:rPr>
              <w:t>-9-</w:t>
            </w:r>
          </w:p>
        </w:tc>
        <w:tc>
          <w:tcPr>
            <w:tcW w:w="5080" w:type="dxa"/>
            <w:vAlign w:val="bottom"/>
          </w:tcPr>
          <w:p>
            <w:pPr>
              <w:spacing w:after="0"/>
              <w:rPr>
                <w:sz w:val="24"/>
                <w:szCs w:val="24"/>
                <w:color w:val="auto"/>
              </w:rPr>
            </w:pPr>
          </w:p>
        </w:tc>
      </w:tr>
      <w:tr>
        <w:trPr>
          <w:trHeight w:val="213"/>
        </w:trPr>
        <w:tc>
          <w:tcPr>
            <w:tcW w:w="28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50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900"/>
        <w:spacing w:after="0" w:line="438" w:lineRule="auto"/>
        <w:rPr>
          <w:sz w:val="20"/>
          <w:szCs w:val="20"/>
          <w:color w:val="auto"/>
        </w:rPr>
      </w:pPr>
      <w:r>
        <w:rPr>
          <w:rFonts w:ascii="Arial" w:cs="Arial" w:eastAsia="Arial" w:hAnsi="Arial"/>
          <w:sz w:val="22"/>
          <w:szCs w:val="22"/>
          <w:b w:val="1"/>
          <w:bCs w:val="1"/>
          <w:color w:val="auto"/>
        </w:rPr>
        <w:t>NOTE 5 - CONSOLIDATION, RESTRUCTURING AND RELATED CHARGES 2009 Restructuring</w:t>
      </w:r>
    </w:p>
    <w:p>
      <w:pPr>
        <w:spacing w:after="0" w:line="1"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color w:val="auto"/>
        </w:rPr>
        <w:t>During the three months ended February 1, 2009, the Company implemented its previously announced plan to streamline its infrastructure in Europe by ceasing the manufacture of photomasks at its Manchester U.K. facility. This initiative began with the recording of a $0.5 million charge for the impairment of certain long-lived assets at the facility in the fourth quarter of fiscal 2008, and was designed to enable the Company to realize manufacturing efficiencies while reducing its cost structure. The Company ceased production at the facility in January 2009 and an additional $1.7 million was incurred in the first quarter of fiscal 2009, primarily for employee termination costs and asset write-downs. Approximately 85 employees are expected to be affected by this plan. The Company expects the total after tax cost of this restructure to range between $3 million to $5 million through its expected completion at the end of fiscal 2009 (including the $0.5 million recorded in fiscal 2008). The following table sets forth the Company's 2009 restructuring reserve as of February 1, 2009 and reflects the activity affecting the reserve for the three months then ended.</w:t>
      </w:r>
    </w:p>
    <w:p>
      <w:pPr>
        <w:sectPr>
          <w:pgSz w:w="11900" w:h="16838" w:orient="portrait"/>
          <w:cols w:equalWidth="0" w:num="1">
            <w:col w:w="11440"/>
          </w:cols>
          <w:pgMar w:left="240" w:top="361" w:right="219" w:bottom="0" w:gutter="0" w:footer="0" w:header="0"/>
        </w:sectPr>
      </w:pPr>
    </w:p>
    <w:bookmarkStart w:id="8" w:name="page9"/>
    <w:bookmarkEnd w:id="8"/>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5"/>
          </w:tcPr>
          <w:p>
            <w:pPr>
              <w:jc w:val="center"/>
              <w:ind w:right="120"/>
              <w:spacing w:after="0"/>
              <w:rPr>
                <w:sz w:val="20"/>
                <w:szCs w:val="20"/>
                <w:color w:val="auto"/>
              </w:rPr>
            </w:pPr>
            <w:r>
              <w:rPr>
                <w:rFonts w:ascii="Arial" w:cs="Arial" w:eastAsia="Arial" w:hAnsi="Arial"/>
                <w:sz w:val="22"/>
                <w:szCs w:val="22"/>
                <w:b w:val="1"/>
                <w:bCs w:val="1"/>
                <w:color w:val="auto"/>
                <w:w w:val="90"/>
              </w:rPr>
              <w:t>Three Months Ended</w:t>
            </w:r>
          </w:p>
        </w:tc>
        <w:tc>
          <w:tcPr>
            <w:tcW w:w="1120" w:type="dxa"/>
            <w:vAlign w:val="bottom"/>
          </w:tcPr>
          <w:p>
            <w:pPr>
              <w:spacing w:after="0"/>
              <w:rPr>
                <w:sz w:val="24"/>
                <w:szCs w:val="24"/>
                <w:color w:val="auto"/>
              </w:rPr>
            </w:pPr>
          </w:p>
        </w:tc>
      </w:tr>
      <w:tr>
        <w:trPr>
          <w:trHeight w:val="98"/>
        </w:trPr>
        <w:tc>
          <w:tcPr>
            <w:tcW w:w="20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68"/>
        </w:trPr>
        <w:tc>
          <w:tcPr>
            <w:tcW w:w="2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4"/>
          </w:tcPr>
          <w:p>
            <w:pPr>
              <w:jc w:val="center"/>
              <w:ind w:right="260"/>
              <w:spacing w:after="0"/>
              <w:rPr>
                <w:sz w:val="20"/>
                <w:szCs w:val="20"/>
                <w:color w:val="auto"/>
              </w:rPr>
            </w:pPr>
            <w:r>
              <w:rPr>
                <w:rFonts w:ascii="Arial" w:cs="Arial" w:eastAsia="Arial" w:hAnsi="Arial"/>
                <w:sz w:val="22"/>
                <w:szCs w:val="22"/>
                <w:b w:val="1"/>
                <w:bCs w:val="1"/>
                <w:color w:val="auto"/>
                <w:w w:val="90"/>
              </w:rPr>
              <w:t>February 1, 2009</w:t>
            </w:r>
          </w:p>
        </w:tc>
        <w:tc>
          <w:tcPr>
            <w:tcW w:w="1120" w:type="dxa"/>
            <w:vAlign w:val="bottom"/>
          </w:tcPr>
          <w:p>
            <w:pPr>
              <w:spacing w:after="0"/>
              <w:rPr>
                <w:sz w:val="24"/>
                <w:szCs w:val="24"/>
                <w:color w:val="auto"/>
              </w:rPr>
            </w:pPr>
          </w:p>
        </w:tc>
      </w:tr>
      <w:tr>
        <w:trPr>
          <w:trHeight w:val="98"/>
        </w:trPr>
        <w:tc>
          <w:tcPr>
            <w:tcW w:w="20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31"/>
        </w:trPr>
        <w:tc>
          <w:tcPr>
            <w:tcW w:w="20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b w:val="1"/>
                <w:bCs w:val="1"/>
                <w:color w:val="auto"/>
                <w:w w:val="87"/>
              </w:rPr>
              <w:t>November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91"/>
              </w:rPr>
              <w:t>February 1,</w:t>
            </w:r>
          </w:p>
        </w:tc>
      </w:tr>
      <w:tr>
        <w:trPr>
          <w:trHeight w:val="281"/>
        </w:trPr>
        <w:tc>
          <w:tcPr>
            <w:tcW w:w="2080" w:type="dxa"/>
            <w:vAlign w:val="bottom"/>
          </w:tcPr>
          <w:p>
            <w:pPr>
              <w:spacing w:after="0"/>
              <w:rPr>
                <w:sz w:val="24"/>
                <w:szCs w:val="24"/>
                <w:color w:val="auto"/>
              </w:rPr>
            </w:pPr>
          </w:p>
        </w:tc>
        <w:tc>
          <w:tcPr>
            <w:tcW w:w="1200" w:type="dxa"/>
            <w:vAlign w:val="bottom"/>
          </w:tcPr>
          <w:p>
            <w:pPr>
              <w:jc w:val="right"/>
              <w:ind w:right="29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b w:val="1"/>
                <w:bCs w:val="1"/>
                <w:color w:val="auto"/>
                <w:w w:val="86"/>
              </w:rPr>
              <w:t>Charges</w:t>
            </w:r>
          </w:p>
        </w:tc>
        <w:tc>
          <w:tcPr>
            <w:tcW w:w="24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22"/>
                <w:szCs w:val="22"/>
                <w:b w:val="1"/>
                <w:bCs w:val="1"/>
                <w:color w:val="auto"/>
              </w:rPr>
              <w:t>Utilized</w:t>
            </w:r>
          </w:p>
        </w:tc>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2009</w:t>
            </w:r>
          </w:p>
        </w:tc>
      </w:tr>
      <w:tr>
        <w:trPr>
          <w:trHeight w:val="98"/>
        </w:trPr>
        <w:tc>
          <w:tcPr>
            <w:tcW w:w="20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611"/>
        </w:trPr>
        <w:tc>
          <w:tcPr>
            <w:tcW w:w="2080" w:type="dxa"/>
            <w:vAlign w:val="bottom"/>
          </w:tcPr>
          <w:p>
            <w:pPr>
              <w:spacing w:after="0"/>
              <w:rPr>
                <w:sz w:val="20"/>
                <w:szCs w:val="20"/>
                <w:color w:val="auto"/>
              </w:rPr>
            </w:pPr>
            <w:r>
              <w:rPr>
                <w:rFonts w:ascii="Arial" w:cs="Arial" w:eastAsia="Arial" w:hAnsi="Arial"/>
                <w:sz w:val="22"/>
                <w:szCs w:val="22"/>
                <w:color w:val="auto"/>
                <w:w w:val="92"/>
              </w:rPr>
              <w:t>Employee terminations</w:t>
            </w:r>
          </w:p>
        </w:tc>
        <w:tc>
          <w:tcPr>
            <w:tcW w:w="1200" w:type="dxa"/>
            <w:vAlign w:val="bottom"/>
          </w:tcPr>
          <w:p>
            <w:pPr>
              <w:jc w:val="right"/>
              <w:spacing w:after="0"/>
              <w:rPr>
                <w:sz w:val="20"/>
                <w:szCs w:val="20"/>
                <w:color w:val="auto"/>
              </w:rPr>
            </w:pPr>
            <w:r>
              <w:rPr>
                <w:rFonts w:ascii="Arial" w:cs="Arial" w:eastAsia="Arial" w:hAnsi="Arial"/>
                <w:sz w:val="22"/>
                <w:szCs w:val="22"/>
                <w:color w:val="auto"/>
              </w:rPr>
              <w:t>$ -</w:t>
            </w:r>
          </w:p>
        </w:tc>
        <w:tc>
          <w:tcPr>
            <w:tcW w:w="940" w:type="dxa"/>
            <w:vAlign w:val="bottom"/>
            <w:gridSpan w:val="3"/>
          </w:tcPr>
          <w:p>
            <w:pPr>
              <w:jc w:val="right"/>
              <w:spacing w:after="0"/>
              <w:rPr>
                <w:sz w:val="20"/>
                <w:szCs w:val="20"/>
                <w:color w:val="auto"/>
              </w:rPr>
            </w:pPr>
            <w:r>
              <w:rPr>
                <w:rFonts w:ascii="Arial" w:cs="Arial" w:eastAsia="Arial" w:hAnsi="Arial"/>
                <w:sz w:val="22"/>
                <w:szCs w:val="22"/>
                <w:color w:val="auto"/>
              </w:rPr>
              <w:t>$1,063</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$(1,063)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486"/>
        </w:trPr>
        <w:tc>
          <w:tcPr>
            <w:tcW w:w="2080" w:type="dxa"/>
            <w:vAlign w:val="bottom"/>
          </w:tcPr>
          <w:p>
            <w:pPr>
              <w:spacing w:after="0"/>
              <w:rPr>
                <w:sz w:val="20"/>
                <w:szCs w:val="20"/>
                <w:color w:val="auto"/>
              </w:rPr>
            </w:pPr>
            <w:r>
              <w:rPr>
                <w:rFonts w:ascii="Arial" w:cs="Arial" w:eastAsia="Arial" w:hAnsi="Arial"/>
                <w:sz w:val="22"/>
                <w:szCs w:val="22"/>
                <w:color w:val="auto"/>
              </w:rPr>
              <w:t>Asset write-downs</w:t>
            </w:r>
          </w:p>
        </w:tc>
        <w:tc>
          <w:tcPr>
            <w:tcW w:w="1200" w:type="dxa"/>
            <w:vAlign w:val="bottom"/>
          </w:tcPr>
          <w:p>
            <w:pPr>
              <w:jc w:val="right"/>
              <w:spacing w:after="0"/>
              <w:rPr>
                <w:sz w:val="20"/>
                <w:szCs w:val="20"/>
                <w:color w:val="auto"/>
              </w:rPr>
            </w:pPr>
            <w:r>
              <w:rPr>
                <w:rFonts w:ascii="Arial" w:cs="Arial" w:eastAsia="Arial" w:hAnsi="Arial"/>
                <w:sz w:val="22"/>
                <w:szCs w:val="22"/>
                <w:color w:val="auto"/>
              </w:rPr>
              <w:t>-</w:t>
            </w:r>
          </w:p>
        </w:tc>
        <w:tc>
          <w:tcPr>
            <w:tcW w:w="940" w:type="dxa"/>
            <w:vAlign w:val="bottom"/>
            <w:gridSpan w:val="3"/>
          </w:tcPr>
          <w:p>
            <w:pPr>
              <w:jc w:val="right"/>
              <w:spacing w:after="0"/>
              <w:rPr>
                <w:sz w:val="20"/>
                <w:szCs w:val="20"/>
                <w:color w:val="auto"/>
              </w:rPr>
            </w:pPr>
            <w:r>
              <w:rPr>
                <w:rFonts w:ascii="Arial" w:cs="Arial" w:eastAsia="Arial" w:hAnsi="Arial"/>
                <w:sz w:val="22"/>
                <w:szCs w:val="22"/>
                <w:color w:val="auto"/>
              </w:rPr>
              <w:t>617</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(463)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154</w:t>
            </w:r>
          </w:p>
        </w:tc>
      </w:tr>
      <w:tr>
        <w:trPr>
          <w:trHeight w:val="98"/>
        </w:trPr>
        <w:tc>
          <w:tcPr>
            <w:tcW w:w="2080" w:type="dxa"/>
            <w:vAlign w:val="bottom"/>
          </w:tcPr>
          <w:p>
            <w:pPr>
              <w:spacing w:after="0"/>
              <w:rPr>
                <w:sz w:val="8"/>
                <w:szCs w:val="8"/>
                <w:color w:val="auto"/>
              </w:rPr>
            </w:pPr>
          </w:p>
        </w:tc>
        <w:tc>
          <w:tcPr>
            <w:tcW w:w="12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20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 -</w:t>
            </w:r>
          </w:p>
        </w:tc>
        <w:tc>
          <w:tcPr>
            <w:tcW w:w="940" w:type="dxa"/>
            <w:vAlign w:val="bottom"/>
            <w:gridSpan w:val="3"/>
          </w:tcPr>
          <w:p>
            <w:pPr>
              <w:jc w:val="right"/>
              <w:spacing w:after="0"/>
              <w:rPr>
                <w:sz w:val="20"/>
                <w:szCs w:val="20"/>
                <w:color w:val="auto"/>
              </w:rPr>
            </w:pPr>
            <w:r>
              <w:rPr>
                <w:rFonts w:ascii="Arial" w:cs="Arial" w:eastAsia="Arial" w:hAnsi="Arial"/>
                <w:sz w:val="22"/>
                <w:szCs w:val="22"/>
                <w:color w:val="auto"/>
              </w:rPr>
              <w:t>$1,680</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$(1,526)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$154</w:t>
            </w:r>
          </w:p>
        </w:tc>
      </w:tr>
      <w:tr>
        <w:trPr>
          <w:trHeight w:val="122"/>
        </w:trPr>
        <w:tc>
          <w:tcPr>
            <w:tcW w:w="2080" w:type="dxa"/>
            <w:vAlign w:val="bottom"/>
          </w:tcPr>
          <w:p>
            <w:pPr>
              <w:spacing w:after="0"/>
              <w:rPr>
                <w:sz w:val="10"/>
                <w:szCs w:val="10"/>
                <w:color w:val="auto"/>
              </w:rPr>
            </w:pPr>
          </w:p>
        </w:tc>
        <w:tc>
          <w:tcPr>
            <w:tcW w:w="12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 Restructurings</w:t>
      </w:r>
    </w:p>
    <w:p>
      <w:pPr>
        <w:spacing w:after="0" w:line="212" w:lineRule="exact"/>
        <w:rPr>
          <w:sz w:val="20"/>
          <w:szCs w:val="20"/>
          <w:color w:val="auto"/>
        </w:rPr>
      </w:pPr>
    </w:p>
    <w:p>
      <w:pPr>
        <w:ind w:right="180" w:firstLine="270"/>
        <w:spacing w:after="0" w:line="297" w:lineRule="auto"/>
        <w:rPr>
          <w:sz w:val="20"/>
          <w:szCs w:val="20"/>
          <w:color w:val="auto"/>
        </w:rPr>
      </w:pPr>
      <w:r>
        <w:rPr>
          <w:rFonts w:ascii="Arial" w:cs="Arial" w:eastAsia="Arial" w:hAnsi="Arial"/>
          <w:sz w:val="19"/>
          <w:szCs w:val="19"/>
          <w:color w:val="auto"/>
        </w:rPr>
        <w:t>In May 2006, the Company closed its Austin, Texas manufacturing and research and development facility, and in March 2003 closed its Phoenix, Arizona manufacturing facility. The following tables set forth the Company's restructuring reserves as of February 1, 2009 and January 27, 2008, and reflect the activity affecting the reserves for the three months then ended.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10"/>
          </w:tcPr>
          <w:p>
            <w:pPr>
              <w:jc w:val="center"/>
              <w:ind w:right="160"/>
              <w:spacing w:after="0"/>
              <w:rPr>
                <w:sz w:val="20"/>
                <w:szCs w:val="20"/>
                <w:color w:val="auto"/>
              </w:rPr>
            </w:pPr>
            <w:r>
              <w:rPr>
                <w:rFonts w:ascii="Arial" w:cs="Arial" w:eastAsia="Arial" w:hAnsi="Arial"/>
                <w:sz w:val="22"/>
                <w:szCs w:val="22"/>
                <w:b w:val="1"/>
                <w:bCs w:val="1"/>
                <w:color w:val="auto"/>
                <w:w w:val="90"/>
              </w:rPr>
              <w:t>Three Months Ended</w:t>
            </w:r>
          </w:p>
        </w:tc>
        <w:tc>
          <w:tcPr>
            <w:tcW w:w="1120" w:type="dxa"/>
            <w:vAlign w:val="bottom"/>
          </w:tcPr>
          <w:p>
            <w:pPr>
              <w:spacing w:after="0"/>
              <w:rPr>
                <w:sz w:val="24"/>
                <w:szCs w:val="24"/>
                <w:color w:val="auto"/>
              </w:rPr>
            </w:pPr>
          </w:p>
        </w:tc>
      </w:tr>
      <w:tr>
        <w:trPr>
          <w:trHeight w:val="98"/>
        </w:trPr>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68"/>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8"/>
          </w:tcPr>
          <w:p>
            <w:pPr>
              <w:jc w:val="center"/>
              <w:ind w:right="380"/>
              <w:spacing w:after="0"/>
              <w:rPr>
                <w:sz w:val="20"/>
                <w:szCs w:val="20"/>
                <w:color w:val="auto"/>
              </w:rPr>
            </w:pPr>
            <w:r>
              <w:rPr>
                <w:rFonts w:ascii="Arial" w:cs="Arial" w:eastAsia="Arial" w:hAnsi="Arial"/>
                <w:sz w:val="22"/>
                <w:szCs w:val="22"/>
                <w:b w:val="1"/>
                <w:bCs w:val="1"/>
                <w:color w:val="auto"/>
                <w:w w:val="90"/>
              </w:rPr>
              <w:t>February 1, 2009</w:t>
            </w:r>
          </w:p>
        </w:tc>
        <w:tc>
          <w:tcPr>
            <w:tcW w:w="1120" w:type="dxa"/>
            <w:vAlign w:val="bottom"/>
          </w:tcPr>
          <w:p>
            <w:pPr>
              <w:spacing w:after="0"/>
              <w:rPr>
                <w:sz w:val="24"/>
                <w:szCs w:val="24"/>
                <w:color w:val="auto"/>
              </w:rPr>
            </w:pPr>
          </w:p>
        </w:tc>
      </w:tr>
      <w:tr>
        <w:trPr>
          <w:trHeight w:val="98"/>
        </w:trPr>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31"/>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7"/>
              </w:rPr>
              <w:t>November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91"/>
              </w:rPr>
              <w:t>February 1,</w:t>
            </w:r>
          </w:p>
        </w:tc>
      </w:tr>
      <w:tr>
        <w:trPr>
          <w:trHeight w:val="281"/>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5"/>
              </w:rPr>
              <w:t>2008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22"/>
                <w:szCs w:val="22"/>
                <w:b w:val="1"/>
                <w:bCs w:val="1"/>
                <w:color w:val="auto"/>
                <w:w w:val="86"/>
              </w:rPr>
              <w:t>Charges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22"/>
                <w:szCs w:val="22"/>
                <w:b w:val="1"/>
                <w:bCs w:val="1"/>
                <w:color w:val="auto"/>
              </w:rPr>
              <w:t>Utilized</w:t>
            </w: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9"/>
              </w:rPr>
              <w:t>2009</w:t>
            </w:r>
          </w:p>
        </w:tc>
      </w:tr>
      <w:tr>
        <w:trPr>
          <w:trHeight w:val="98"/>
        </w:trPr>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611"/>
        </w:trPr>
        <w:tc>
          <w:tcPr>
            <w:tcW w:w="1920" w:type="dxa"/>
            <w:vAlign w:val="bottom"/>
            <w:gridSpan w:val="2"/>
          </w:tcPr>
          <w:p>
            <w:pPr>
              <w:spacing w:after="0"/>
              <w:rPr>
                <w:sz w:val="20"/>
                <w:szCs w:val="20"/>
                <w:color w:val="auto"/>
              </w:rPr>
            </w:pPr>
            <w:r>
              <w:rPr>
                <w:rFonts w:ascii="Arial" w:cs="Arial" w:eastAsia="Arial" w:hAnsi="Arial"/>
                <w:sz w:val="22"/>
                <w:szCs w:val="22"/>
                <w:color w:val="auto"/>
              </w:rPr>
              <w:t>Leases and other</w:t>
            </w:r>
          </w:p>
        </w:tc>
        <w:tc>
          <w:tcPr>
            <w:tcW w:w="1200" w:type="dxa"/>
            <w:vAlign w:val="bottom"/>
          </w:tcPr>
          <w:p>
            <w:pPr>
              <w:jc w:val="right"/>
              <w:spacing w:after="0"/>
              <w:rPr>
                <w:sz w:val="20"/>
                <w:szCs w:val="20"/>
                <w:color w:val="auto"/>
              </w:rPr>
            </w:pPr>
            <w:r>
              <w:rPr>
                <w:rFonts w:ascii="Arial" w:cs="Arial" w:eastAsia="Arial" w:hAnsi="Arial"/>
                <w:sz w:val="22"/>
                <w:szCs w:val="22"/>
                <w:color w:val="auto"/>
              </w:rPr>
              <w:t>$1,134</w:t>
            </w:r>
          </w:p>
        </w:tc>
        <w:tc>
          <w:tcPr>
            <w:tcW w:w="1040" w:type="dxa"/>
            <w:vAlign w:val="bottom"/>
            <w:gridSpan w:val="4"/>
          </w:tcPr>
          <w:p>
            <w:pPr>
              <w:jc w:val="right"/>
              <w:spacing w:after="0"/>
              <w:rPr>
                <w:sz w:val="20"/>
                <w:szCs w:val="20"/>
                <w:color w:val="auto"/>
              </w:rPr>
            </w:pPr>
            <w:r>
              <w:rPr>
                <w:rFonts w:ascii="Arial" w:cs="Arial" w:eastAsia="Arial" w:hAnsi="Arial"/>
                <w:sz w:val="22"/>
                <w:szCs w:val="22"/>
                <w:color w:val="auto"/>
              </w:rPr>
              <w:t>$ -</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$(116)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$1,018</w:t>
            </w:r>
          </w:p>
        </w:tc>
      </w:tr>
      <w:tr>
        <w:trPr>
          <w:trHeight w:val="122"/>
        </w:trPr>
        <w:tc>
          <w:tcPr>
            <w:tcW w:w="19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336699"/>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bottom w:val="single" w:sz="8" w:color="336699"/>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r>
        <w:trPr>
          <w:trHeight w:val="601"/>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10"/>
          </w:tcPr>
          <w:p>
            <w:pPr>
              <w:jc w:val="center"/>
              <w:ind w:right="160"/>
              <w:spacing w:after="0"/>
              <w:rPr>
                <w:sz w:val="20"/>
                <w:szCs w:val="20"/>
                <w:color w:val="auto"/>
              </w:rPr>
            </w:pPr>
            <w:r>
              <w:rPr>
                <w:rFonts w:ascii="Arial" w:cs="Arial" w:eastAsia="Arial" w:hAnsi="Arial"/>
                <w:sz w:val="22"/>
                <w:szCs w:val="22"/>
                <w:b w:val="1"/>
                <w:bCs w:val="1"/>
                <w:color w:val="auto"/>
                <w:w w:val="90"/>
              </w:rPr>
              <w:t>Three Months Ended</w:t>
            </w:r>
          </w:p>
        </w:tc>
        <w:tc>
          <w:tcPr>
            <w:tcW w:w="1120" w:type="dxa"/>
            <w:vAlign w:val="bottom"/>
          </w:tcPr>
          <w:p>
            <w:pPr>
              <w:spacing w:after="0"/>
              <w:rPr>
                <w:sz w:val="24"/>
                <w:szCs w:val="24"/>
                <w:color w:val="auto"/>
              </w:rPr>
            </w:pPr>
          </w:p>
        </w:tc>
      </w:tr>
      <w:tr>
        <w:trPr>
          <w:trHeight w:val="98"/>
        </w:trPr>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6"/>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68"/>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8"/>
          </w:tcPr>
          <w:p>
            <w:pPr>
              <w:jc w:val="center"/>
              <w:ind w:right="380"/>
              <w:spacing w:after="0"/>
              <w:rPr>
                <w:sz w:val="20"/>
                <w:szCs w:val="20"/>
                <w:color w:val="auto"/>
              </w:rPr>
            </w:pPr>
            <w:r>
              <w:rPr>
                <w:rFonts w:ascii="Arial" w:cs="Arial" w:eastAsia="Arial" w:hAnsi="Arial"/>
                <w:sz w:val="22"/>
                <w:szCs w:val="22"/>
                <w:b w:val="1"/>
                <w:bCs w:val="1"/>
                <w:color w:val="auto"/>
                <w:w w:val="89"/>
              </w:rPr>
              <w:t>January 27, 2008</w:t>
            </w:r>
          </w:p>
        </w:tc>
        <w:tc>
          <w:tcPr>
            <w:tcW w:w="1120" w:type="dxa"/>
            <w:vAlign w:val="bottom"/>
          </w:tcPr>
          <w:p>
            <w:pPr>
              <w:spacing w:after="0"/>
              <w:rPr>
                <w:sz w:val="24"/>
                <w:szCs w:val="24"/>
                <w:color w:val="auto"/>
              </w:rPr>
            </w:pPr>
          </w:p>
        </w:tc>
      </w:tr>
      <w:tr>
        <w:trPr>
          <w:trHeight w:val="98"/>
        </w:trPr>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31"/>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9"/>
              </w:rPr>
              <w:t>October 28,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9"/>
              </w:rPr>
              <w:t>January 27,</w:t>
            </w:r>
          </w:p>
        </w:tc>
      </w:tr>
      <w:tr>
        <w:trPr>
          <w:trHeight w:val="281"/>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5"/>
              </w:rPr>
              <w:t>2007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22"/>
                <w:szCs w:val="22"/>
                <w:b w:val="1"/>
                <w:bCs w:val="1"/>
                <w:color w:val="auto"/>
                <w:w w:val="86"/>
              </w:rPr>
              <w:t>Charges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22"/>
                <w:szCs w:val="22"/>
                <w:b w:val="1"/>
                <w:bCs w:val="1"/>
                <w:color w:val="auto"/>
              </w:rPr>
              <w:t>Utilized</w:t>
            </w: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9"/>
              </w:rPr>
              <w:t>2008</w:t>
            </w:r>
          </w:p>
        </w:tc>
      </w:tr>
      <w:tr>
        <w:trPr>
          <w:trHeight w:val="98"/>
        </w:trPr>
        <w:tc>
          <w:tcPr>
            <w:tcW w:w="1920" w:type="dxa"/>
            <w:vAlign w:val="bottom"/>
            <w:gridSpan w:val="2"/>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60" w:type="dxa"/>
            <w:vAlign w:val="bottom"/>
            <w:gridSpan w:val="3"/>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611"/>
        </w:trPr>
        <w:tc>
          <w:tcPr>
            <w:tcW w:w="1920" w:type="dxa"/>
            <w:vAlign w:val="bottom"/>
            <w:gridSpan w:val="2"/>
          </w:tcPr>
          <w:p>
            <w:pPr>
              <w:spacing w:after="0"/>
              <w:rPr>
                <w:sz w:val="20"/>
                <w:szCs w:val="20"/>
                <w:color w:val="auto"/>
              </w:rPr>
            </w:pPr>
            <w:r>
              <w:rPr>
                <w:rFonts w:ascii="Arial" w:cs="Arial" w:eastAsia="Arial" w:hAnsi="Arial"/>
                <w:sz w:val="22"/>
                <w:szCs w:val="22"/>
                <w:color w:val="auto"/>
              </w:rPr>
              <w:t>Leases and other</w:t>
            </w:r>
          </w:p>
        </w:tc>
        <w:tc>
          <w:tcPr>
            <w:tcW w:w="1200" w:type="dxa"/>
            <w:vAlign w:val="bottom"/>
          </w:tcPr>
          <w:p>
            <w:pPr>
              <w:jc w:val="right"/>
              <w:spacing w:after="0"/>
              <w:rPr>
                <w:sz w:val="20"/>
                <w:szCs w:val="20"/>
                <w:color w:val="auto"/>
              </w:rPr>
            </w:pPr>
            <w:r>
              <w:rPr>
                <w:rFonts w:ascii="Arial" w:cs="Arial" w:eastAsia="Arial" w:hAnsi="Arial"/>
                <w:sz w:val="22"/>
                <w:szCs w:val="22"/>
                <w:color w:val="auto"/>
              </w:rPr>
              <w:t>$1,687</w:t>
            </w:r>
          </w:p>
        </w:tc>
        <w:tc>
          <w:tcPr>
            <w:tcW w:w="1040" w:type="dxa"/>
            <w:vAlign w:val="bottom"/>
            <w:gridSpan w:val="4"/>
          </w:tcPr>
          <w:p>
            <w:pPr>
              <w:jc w:val="right"/>
              <w:spacing w:after="0"/>
              <w:rPr>
                <w:sz w:val="20"/>
                <w:szCs w:val="20"/>
                <w:color w:val="auto"/>
              </w:rPr>
            </w:pPr>
            <w:r>
              <w:rPr>
                <w:rFonts w:ascii="Arial" w:cs="Arial" w:eastAsia="Arial" w:hAnsi="Arial"/>
                <w:sz w:val="22"/>
                <w:szCs w:val="22"/>
                <w:color w:val="auto"/>
              </w:rPr>
              <w:t>$ -</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rPr>
              <w:t>$(136)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$1,551</w:t>
            </w:r>
          </w:p>
        </w:tc>
      </w:tr>
      <w:tr>
        <w:trPr>
          <w:trHeight w:val="122"/>
        </w:trPr>
        <w:tc>
          <w:tcPr>
            <w:tcW w:w="19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-1736090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-1736090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-1736090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-1736090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-1736090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-1736090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-1736090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-1736090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GEOGRAPHIC AND SIGNIFICANT CUSTOMER INFORMATION</w:t>
      </w:r>
    </w:p>
    <w:p>
      <w:pPr>
        <w:spacing w:after="0" w:line="212" w:lineRule="exact"/>
        <w:rPr>
          <w:sz w:val="20"/>
          <w:szCs w:val="20"/>
          <w:color w:val="auto"/>
        </w:rPr>
      </w:pPr>
    </w:p>
    <w:p>
      <w:pPr>
        <w:ind w:firstLine="266"/>
        <w:spacing w:after="0" w:line="236" w:lineRule="auto"/>
        <w:rPr>
          <w:sz w:val="20"/>
          <w:szCs w:val="20"/>
          <w:color w:val="auto"/>
        </w:rPr>
      </w:pPr>
      <w:r>
        <w:rPr>
          <w:rFonts w:ascii="Arial" w:cs="Arial" w:eastAsia="Arial" w:hAnsi="Arial"/>
          <w:sz w:val="22"/>
          <w:szCs w:val="22"/>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selling facility is located. The Company's net sales for the three months ended February 1, 2009 and January 27, 2008 and its long-lived assets by geographic area as of February 1, 2009 and November 2, 2008 are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60" w:type="dxa"/>
            <w:vAlign w:val="bottom"/>
          </w:tcPr>
          <w:p>
            <w:pPr>
              <w:spacing w:after="0"/>
              <w:rPr>
                <w:sz w:val="24"/>
                <w:szCs w:val="24"/>
                <w:color w:val="auto"/>
              </w:rPr>
            </w:pPr>
          </w:p>
        </w:tc>
        <w:tc>
          <w:tcPr>
            <w:tcW w:w="3340" w:type="dxa"/>
            <w:vAlign w:val="bottom"/>
            <w:gridSpan w:val="3"/>
          </w:tcPr>
          <w:p>
            <w:pPr>
              <w:jc w:val="right"/>
              <w:ind w:right="592"/>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360" w:type="dxa"/>
            <w:vAlign w:val="bottom"/>
          </w:tcPr>
          <w:p>
            <w:pPr>
              <w:spacing w:after="0"/>
              <w:rPr>
                <w:sz w:val="24"/>
                <w:szCs w:val="24"/>
                <w:color w:val="auto"/>
              </w:rPr>
            </w:pPr>
          </w:p>
        </w:tc>
        <w:tc>
          <w:tcPr>
            <w:tcW w:w="1520" w:type="dxa"/>
            <w:vAlign w:val="bottom"/>
          </w:tcPr>
          <w:p>
            <w:pPr>
              <w:jc w:val="right"/>
              <w:ind w:right="132"/>
              <w:spacing w:after="0"/>
              <w:rPr>
                <w:sz w:val="20"/>
                <w:szCs w:val="20"/>
                <w:color w:val="auto"/>
              </w:rPr>
            </w:pPr>
            <w:r>
              <w:rPr>
                <w:rFonts w:ascii="Arial" w:cs="Arial" w:eastAsia="Arial" w:hAnsi="Arial"/>
                <w:sz w:val="22"/>
                <w:szCs w:val="22"/>
                <w:b w:val="1"/>
                <w:bCs w:val="1"/>
                <w:color w:val="auto"/>
              </w:rPr>
              <w:t>February 1,</w:t>
            </w:r>
          </w:p>
        </w:tc>
        <w:tc>
          <w:tcPr>
            <w:tcW w:w="18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Arial" w:cs="Arial" w:eastAsia="Arial" w:hAnsi="Arial"/>
                <w:sz w:val="22"/>
                <w:szCs w:val="22"/>
                <w:b w:val="1"/>
                <w:bCs w:val="1"/>
                <w:color w:val="auto"/>
              </w:rPr>
              <w:t>January 27,</w:t>
            </w:r>
          </w:p>
        </w:tc>
        <w:tc>
          <w:tcPr>
            <w:tcW w:w="0" w:type="dxa"/>
            <w:vAlign w:val="bottom"/>
          </w:tcPr>
          <w:p>
            <w:pPr>
              <w:spacing w:after="0"/>
              <w:rPr>
                <w:sz w:val="1"/>
                <w:szCs w:val="1"/>
                <w:color w:val="auto"/>
              </w:rPr>
            </w:pPr>
          </w:p>
        </w:tc>
      </w:tr>
      <w:tr>
        <w:trPr>
          <w:trHeight w:val="281"/>
        </w:trPr>
        <w:tc>
          <w:tcPr>
            <w:tcW w:w="2360" w:type="dxa"/>
            <w:vAlign w:val="bottom"/>
          </w:tcPr>
          <w:p>
            <w:pPr>
              <w:spacing w:after="0"/>
              <w:rPr>
                <w:sz w:val="24"/>
                <w:szCs w:val="24"/>
                <w:color w:val="auto"/>
              </w:rPr>
            </w:pPr>
          </w:p>
        </w:tc>
        <w:tc>
          <w:tcPr>
            <w:tcW w:w="1520" w:type="dxa"/>
            <w:vAlign w:val="bottom"/>
          </w:tcPr>
          <w:p>
            <w:pPr>
              <w:jc w:val="right"/>
              <w:ind w:right="452"/>
              <w:spacing w:after="0"/>
              <w:rPr>
                <w:sz w:val="20"/>
                <w:szCs w:val="20"/>
                <w:color w:val="auto"/>
              </w:rPr>
            </w:pPr>
            <w:r>
              <w:rPr>
                <w:rFonts w:ascii="Arial" w:cs="Arial" w:eastAsia="Arial" w:hAnsi="Arial"/>
                <w:sz w:val="22"/>
                <w:szCs w:val="22"/>
                <w:b w:val="1"/>
                <w:bCs w:val="1"/>
                <w:color w:val="auto"/>
              </w:rPr>
              <w:t>2009</w:t>
            </w:r>
          </w:p>
        </w:tc>
        <w:tc>
          <w:tcPr>
            <w:tcW w:w="1820" w:type="dxa"/>
            <w:vAlign w:val="bottom"/>
            <w:gridSpan w:val="2"/>
          </w:tcPr>
          <w:p>
            <w:pPr>
              <w:jc w:val="right"/>
              <w:ind w:right="512"/>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2360" w:type="dxa"/>
            <w:vAlign w:val="bottom"/>
            <w:vMerge w:val="restart"/>
          </w:tcPr>
          <w:p>
            <w:pPr>
              <w:spacing w:after="0"/>
              <w:rPr>
                <w:sz w:val="20"/>
                <w:szCs w:val="20"/>
                <w:color w:val="auto"/>
              </w:rPr>
            </w:pPr>
            <w:r>
              <w:rPr>
                <w:rFonts w:ascii="Arial" w:cs="Arial" w:eastAsia="Arial" w:hAnsi="Arial"/>
                <w:sz w:val="22"/>
                <w:szCs w:val="22"/>
                <w:b w:val="1"/>
                <w:bCs w:val="1"/>
                <w:color w:val="auto"/>
              </w:rPr>
              <w:t>Net sales</w:t>
            </w:r>
          </w:p>
        </w:tc>
        <w:tc>
          <w:tcPr>
            <w:tcW w:w="1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3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160"/>
              <w:spacing w:after="0" w:line="243" w:lineRule="exact"/>
              <w:rPr>
                <w:sz w:val="20"/>
                <w:szCs w:val="20"/>
                <w:color w:val="auto"/>
              </w:rPr>
            </w:pPr>
            <w:r>
              <w:rPr>
                <w:rFonts w:ascii="Arial" w:cs="Arial" w:eastAsia="Arial" w:hAnsi="Arial"/>
                <w:sz w:val="22"/>
                <w:szCs w:val="22"/>
                <w:color w:val="auto"/>
              </w:rPr>
              <w:t>Asia</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$56,240</w:t>
            </w:r>
          </w:p>
        </w:tc>
        <w:tc>
          <w:tcPr>
            <w:tcW w:w="1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$ 63,900</w:t>
            </w:r>
          </w:p>
        </w:tc>
        <w:tc>
          <w:tcPr>
            <w:tcW w:w="0" w:type="dxa"/>
            <w:vAlign w:val="bottom"/>
          </w:tcPr>
          <w:p>
            <w:pPr>
              <w:spacing w:after="0"/>
              <w:rPr>
                <w:sz w:val="1"/>
                <w:szCs w:val="1"/>
                <w:color w:val="auto"/>
              </w:rPr>
            </w:pPr>
          </w:p>
        </w:tc>
      </w:tr>
      <w:tr>
        <w:trPr>
          <w:trHeight w:val="243"/>
        </w:trPr>
        <w:tc>
          <w:tcPr>
            <w:tcW w:w="2360" w:type="dxa"/>
            <w:vAlign w:val="bottom"/>
          </w:tcPr>
          <w:p>
            <w:pPr>
              <w:ind w:left="180"/>
              <w:spacing w:after="0" w:line="243" w:lineRule="exact"/>
              <w:rPr>
                <w:sz w:val="20"/>
                <w:szCs w:val="20"/>
                <w:color w:val="auto"/>
              </w:rPr>
            </w:pPr>
            <w:r>
              <w:rPr>
                <w:rFonts w:ascii="Arial" w:cs="Arial" w:eastAsia="Arial" w:hAnsi="Arial"/>
                <w:sz w:val="22"/>
                <w:szCs w:val="22"/>
                <w:color w:val="auto"/>
              </w:rPr>
              <w:t>Europe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8,750</w:t>
            </w:r>
          </w:p>
        </w:tc>
        <w:tc>
          <w:tcPr>
            <w:tcW w:w="1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17,705</w:t>
            </w:r>
          </w:p>
        </w:tc>
        <w:tc>
          <w:tcPr>
            <w:tcW w:w="0" w:type="dxa"/>
            <w:vAlign w:val="bottom"/>
          </w:tcPr>
          <w:p>
            <w:pPr>
              <w:spacing w:after="0"/>
              <w:rPr>
                <w:sz w:val="1"/>
                <w:szCs w:val="1"/>
                <w:color w:val="auto"/>
              </w:rPr>
            </w:pPr>
          </w:p>
        </w:tc>
      </w:tr>
      <w:tr>
        <w:trPr>
          <w:trHeight w:val="275"/>
        </w:trPr>
        <w:tc>
          <w:tcPr>
            <w:tcW w:w="2360" w:type="dxa"/>
            <w:vAlign w:val="bottom"/>
          </w:tcPr>
          <w:p>
            <w:pPr>
              <w:ind w:left="180"/>
              <w:spacing w:after="0"/>
              <w:rPr>
                <w:sz w:val="20"/>
                <w:szCs w:val="20"/>
                <w:color w:val="auto"/>
              </w:rPr>
            </w:pPr>
            <w:r>
              <w:rPr>
                <w:rFonts w:ascii="Arial" w:cs="Arial" w:eastAsia="Arial" w:hAnsi="Arial"/>
                <w:sz w:val="22"/>
                <w:szCs w:val="22"/>
                <w:color w:val="auto"/>
              </w:rPr>
              <w:t>North America</w:t>
            </w:r>
          </w:p>
        </w:tc>
        <w:tc>
          <w:tcPr>
            <w:tcW w:w="1520" w:type="dxa"/>
            <w:vAlign w:val="bottom"/>
          </w:tcPr>
          <w:p>
            <w:pPr>
              <w:jc w:val="right"/>
              <w:spacing w:after="0"/>
              <w:rPr>
                <w:sz w:val="20"/>
                <w:szCs w:val="20"/>
                <w:color w:val="auto"/>
              </w:rPr>
            </w:pPr>
            <w:r>
              <w:rPr>
                <w:rFonts w:ascii="Arial" w:cs="Arial" w:eastAsia="Arial" w:hAnsi="Arial"/>
                <w:sz w:val="22"/>
                <w:szCs w:val="22"/>
                <w:color w:val="auto"/>
              </w:rPr>
              <w:t>23,052</w:t>
            </w:r>
          </w:p>
        </w:tc>
        <w:tc>
          <w:tcPr>
            <w:tcW w:w="1820" w:type="dxa"/>
            <w:vAlign w:val="bottom"/>
            <w:gridSpan w:val="2"/>
          </w:tcPr>
          <w:p>
            <w:pPr>
              <w:jc w:val="right"/>
              <w:spacing w:after="0"/>
              <w:rPr>
                <w:sz w:val="20"/>
                <w:szCs w:val="20"/>
                <w:color w:val="auto"/>
              </w:rPr>
            </w:pPr>
            <w:r>
              <w:rPr>
                <w:rFonts w:ascii="Arial" w:cs="Arial" w:eastAsia="Arial" w:hAnsi="Arial"/>
                <w:sz w:val="22"/>
                <w:szCs w:val="22"/>
                <w:color w:val="auto"/>
              </w:rPr>
              <w:t>21,610</w:t>
            </w:r>
          </w:p>
        </w:tc>
        <w:tc>
          <w:tcPr>
            <w:tcW w:w="0" w:type="dxa"/>
            <w:vAlign w:val="bottom"/>
          </w:tcPr>
          <w:p>
            <w:pPr>
              <w:spacing w:after="0"/>
              <w:rPr>
                <w:sz w:val="1"/>
                <w:szCs w:val="1"/>
                <w:color w:val="auto"/>
              </w:rPr>
            </w:pPr>
          </w:p>
        </w:tc>
      </w:tr>
    </w:tbl>
    <w:p>
      <w:pPr>
        <w:sectPr>
          <w:pgSz w:w="11900" w:h="16894" w:orient="portrait"/>
          <w:cols w:equalWidth="0" w:num="1">
            <w:col w:w="11340"/>
          </w:cols>
          <w:pgMar w:left="240" w:top="111" w:right="31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1649730</wp:posOffset>
            </wp:positionH>
            <wp:positionV relativeFrom="page">
              <wp:posOffset>88900</wp:posOffset>
            </wp:positionV>
            <wp:extent cx="21266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23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$88,042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$103,215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52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336699"/>
            </w:tcBorders>
          </w:tcPr>
          <w:p>
            <w:pPr>
              <w:spacing w:after="0"/>
              <w:rPr>
                <w:sz w:val="10"/>
                <w:szCs w:val="10"/>
                <w:color w:val="auto"/>
              </w:rPr>
            </w:pPr>
          </w:p>
        </w:tc>
        <w:tc>
          <w:tcPr>
            <w:tcW w:w="14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2360" w:type="dxa"/>
            <w:vAlign w:val="bottom"/>
          </w:tcPr>
          <w:p>
            <w:pPr>
              <w:spacing w:after="0"/>
              <w:rPr>
                <w:sz w:val="24"/>
                <w:szCs w:val="24"/>
                <w:color w:val="auto"/>
              </w:rPr>
            </w:pPr>
          </w:p>
        </w:tc>
        <w:tc>
          <w:tcPr>
            <w:tcW w:w="1900" w:type="dxa"/>
            <w:vAlign w:val="bottom"/>
            <w:gridSpan w:val="3"/>
          </w:tcPr>
          <w:p>
            <w:pPr>
              <w:ind w:left="1420"/>
              <w:spacing w:after="0"/>
              <w:rPr>
                <w:sz w:val="20"/>
                <w:szCs w:val="20"/>
                <w:color w:val="auto"/>
              </w:rPr>
            </w:pPr>
            <w:r>
              <w:rPr>
                <w:rFonts w:ascii="Arial" w:cs="Arial" w:eastAsia="Arial" w:hAnsi="Arial"/>
                <w:sz w:val="22"/>
                <w:szCs w:val="22"/>
                <w:b w:val="1"/>
                <w:bCs w:val="1"/>
                <w:color w:val="auto"/>
                <w:w w:val="83"/>
              </w:rPr>
              <w:t>As of</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360" w:type="dxa"/>
            <w:vAlign w:val="bottom"/>
          </w:tcPr>
          <w:p>
            <w:pPr>
              <w:spacing w:after="0"/>
              <w:rPr>
                <w:sz w:val="24"/>
                <w:szCs w:val="24"/>
                <w:color w:val="auto"/>
              </w:rPr>
            </w:pPr>
          </w:p>
        </w:tc>
        <w:tc>
          <w:tcPr>
            <w:tcW w:w="1900" w:type="dxa"/>
            <w:vAlign w:val="bottom"/>
            <w:gridSpan w:val="3"/>
          </w:tcPr>
          <w:p>
            <w:pPr>
              <w:ind w:left="200"/>
              <w:spacing w:after="0"/>
              <w:rPr>
                <w:sz w:val="20"/>
                <w:szCs w:val="20"/>
                <w:color w:val="auto"/>
              </w:rPr>
            </w:pPr>
            <w:r>
              <w:rPr>
                <w:rFonts w:ascii="Arial" w:cs="Arial" w:eastAsia="Arial" w:hAnsi="Arial"/>
                <w:sz w:val="22"/>
                <w:szCs w:val="22"/>
                <w:b w:val="1"/>
                <w:bCs w:val="1"/>
                <w:color w:val="auto"/>
              </w:rPr>
              <w:t>February 1,</w:t>
            </w: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November 2,</w:t>
            </w:r>
          </w:p>
        </w:tc>
        <w:tc>
          <w:tcPr>
            <w:tcW w:w="0" w:type="dxa"/>
            <w:vAlign w:val="bottom"/>
          </w:tcPr>
          <w:p>
            <w:pPr>
              <w:spacing w:after="0"/>
              <w:rPr>
                <w:sz w:val="1"/>
                <w:szCs w:val="1"/>
                <w:color w:val="auto"/>
              </w:rPr>
            </w:pPr>
          </w:p>
        </w:tc>
      </w:tr>
      <w:tr>
        <w:trPr>
          <w:trHeight w:val="281"/>
        </w:trPr>
        <w:tc>
          <w:tcPr>
            <w:tcW w:w="2360" w:type="dxa"/>
            <w:vAlign w:val="bottom"/>
          </w:tcPr>
          <w:p>
            <w:pPr>
              <w:spacing w:after="0"/>
              <w:rPr>
                <w:sz w:val="24"/>
                <w:szCs w:val="24"/>
                <w:color w:val="auto"/>
              </w:rPr>
            </w:pPr>
          </w:p>
        </w:tc>
        <w:tc>
          <w:tcPr>
            <w:tcW w:w="1520" w:type="dxa"/>
            <w:vAlign w:val="bottom"/>
          </w:tcPr>
          <w:p>
            <w:pPr>
              <w:jc w:val="right"/>
              <w:ind w:right="452"/>
              <w:spacing w:after="0"/>
              <w:rPr>
                <w:sz w:val="20"/>
                <w:szCs w:val="20"/>
                <w:color w:val="auto"/>
              </w:rPr>
            </w:pPr>
            <w:r>
              <w:rPr>
                <w:rFonts w:ascii="Arial" w:cs="Arial" w:eastAsia="Arial" w:hAnsi="Arial"/>
                <w:sz w:val="22"/>
                <w:szCs w:val="22"/>
                <w:b w:val="1"/>
                <w:bCs w:val="1"/>
                <w:color w:val="auto"/>
              </w:rPr>
              <w:t>2009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51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360" w:type="dxa"/>
            <w:vAlign w:val="bottom"/>
            <w:vMerge w:val="restart"/>
          </w:tcPr>
          <w:p>
            <w:pPr>
              <w:spacing w:after="0"/>
              <w:rPr>
                <w:sz w:val="20"/>
                <w:szCs w:val="20"/>
                <w:color w:val="auto"/>
              </w:rPr>
            </w:pPr>
            <w:r>
              <w:rPr>
                <w:rFonts w:ascii="Arial" w:cs="Arial" w:eastAsia="Arial" w:hAnsi="Arial"/>
                <w:sz w:val="22"/>
                <w:szCs w:val="22"/>
                <w:b w:val="1"/>
                <w:bCs w:val="1"/>
                <w:color w:val="auto"/>
              </w:rPr>
              <w:t>Long-lived assets</w:t>
            </w:r>
          </w:p>
        </w:tc>
        <w:tc>
          <w:tcPr>
            <w:tcW w:w="1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3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160"/>
              <w:spacing w:after="0" w:line="243" w:lineRule="exact"/>
              <w:rPr>
                <w:sz w:val="20"/>
                <w:szCs w:val="20"/>
                <w:color w:val="auto"/>
              </w:rPr>
            </w:pPr>
            <w:r>
              <w:rPr>
                <w:rFonts w:ascii="Arial" w:cs="Arial" w:eastAsia="Arial" w:hAnsi="Arial"/>
                <w:sz w:val="22"/>
                <w:szCs w:val="22"/>
                <w:color w:val="auto"/>
              </w:rPr>
              <w:t>Asia</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$205,069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$228,009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180"/>
              <w:spacing w:after="0" w:line="243" w:lineRule="exact"/>
              <w:rPr>
                <w:sz w:val="20"/>
                <w:szCs w:val="20"/>
                <w:color w:val="auto"/>
              </w:rPr>
            </w:pPr>
            <w:r>
              <w:rPr>
                <w:rFonts w:ascii="Arial" w:cs="Arial" w:eastAsia="Arial" w:hAnsi="Arial"/>
                <w:sz w:val="22"/>
                <w:szCs w:val="22"/>
                <w:color w:val="auto"/>
              </w:rPr>
              <w:t>Europe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15,486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14,134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360" w:type="dxa"/>
            <w:vAlign w:val="bottom"/>
          </w:tcPr>
          <w:p>
            <w:pPr>
              <w:ind w:left="180"/>
              <w:spacing w:after="0"/>
              <w:rPr>
                <w:sz w:val="20"/>
                <w:szCs w:val="20"/>
                <w:color w:val="auto"/>
              </w:rPr>
            </w:pPr>
            <w:r>
              <w:rPr>
                <w:rFonts w:ascii="Arial" w:cs="Arial" w:eastAsia="Arial" w:hAnsi="Arial"/>
                <w:sz w:val="22"/>
                <w:szCs w:val="22"/>
                <w:color w:val="auto"/>
              </w:rPr>
              <w:t>North America</w:t>
            </w:r>
          </w:p>
        </w:tc>
        <w:tc>
          <w:tcPr>
            <w:tcW w:w="1520" w:type="dxa"/>
            <w:vAlign w:val="bottom"/>
          </w:tcPr>
          <w:p>
            <w:pPr>
              <w:jc w:val="right"/>
              <w:spacing w:after="0"/>
              <w:rPr>
                <w:sz w:val="20"/>
                <w:szCs w:val="20"/>
                <w:color w:val="auto"/>
              </w:rPr>
            </w:pPr>
            <w:r>
              <w:rPr>
                <w:rFonts w:ascii="Arial" w:cs="Arial" w:eastAsia="Arial" w:hAnsi="Arial"/>
                <w:sz w:val="22"/>
                <w:szCs w:val="22"/>
                <w:color w:val="auto"/>
              </w:rPr>
              <w:t>186,360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194,385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52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336699"/>
            </w:tcBorders>
          </w:tcPr>
          <w:p>
            <w:pPr>
              <w:spacing w:after="0"/>
              <w:rPr>
                <w:sz w:val="8"/>
                <w:szCs w:val="8"/>
                <w:color w:val="auto"/>
              </w:rPr>
            </w:pPr>
          </w:p>
        </w:tc>
        <w:tc>
          <w:tcPr>
            <w:tcW w:w="144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3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$406,915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$436,528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52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336699"/>
            </w:tcBorders>
          </w:tcPr>
          <w:p>
            <w:pPr>
              <w:spacing w:after="0"/>
              <w:rPr>
                <w:sz w:val="10"/>
                <w:szCs w:val="10"/>
                <w:color w:val="auto"/>
              </w:rPr>
            </w:pPr>
          </w:p>
        </w:tc>
        <w:tc>
          <w:tcPr>
            <w:tcW w:w="14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-2044700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-2044700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-2044700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-2044700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firstLine="266"/>
        <w:spacing w:after="0" w:line="251" w:lineRule="auto"/>
        <w:rPr>
          <w:sz w:val="20"/>
          <w:szCs w:val="20"/>
          <w:color w:val="auto"/>
        </w:rPr>
      </w:pPr>
      <w:r>
        <w:rPr>
          <w:rFonts w:ascii="Arial" w:cs="Arial" w:eastAsia="Arial" w:hAnsi="Arial"/>
          <w:sz w:val="22"/>
          <w:szCs w:val="22"/>
          <w:color w:val="auto"/>
        </w:rPr>
        <w:t>The Company is typically impacted during its first fiscal quarter by the North American and European holiday periods as some customers reduce their effective workdays and orders during this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INCOME TAXES</w:t>
      </w:r>
    </w:p>
    <w:p>
      <w:pPr>
        <w:spacing w:after="0" w:line="212" w:lineRule="exact"/>
        <w:rPr>
          <w:sz w:val="20"/>
          <w:szCs w:val="20"/>
          <w:color w:val="auto"/>
        </w:rPr>
      </w:pPr>
    </w:p>
    <w:p>
      <w:pPr>
        <w:ind w:right="80" w:firstLine="266"/>
        <w:spacing w:after="0" w:line="238" w:lineRule="auto"/>
        <w:rPr>
          <w:sz w:val="20"/>
          <w:szCs w:val="20"/>
          <w:color w:val="auto"/>
        </w:rPr>
      </w:pPr>
      <w:r>
        <w:rPr>
          <w:rFonts w:ascii="Arial" w:cs="Arial" w:eastAsia="Arial" w:hAnsi="Arial"/>
          <w:sz w:val="22"/>
          <w:szCs w:val="22"/>
          <w:color w:val="auto"/>
        </w:rPr>
        <w:t>The effective income tax rate differs from the amount computed by applying the U.S. statutory rate of 35% to the loss before income taxes primarily because income tax provisions incurred in jurisdictions where the Company generated income before income taxes were, due to valuation allowances, not significantly offset by income tax benefits in jurisdictions where the Company incurred losses before income taxes.</w:t>
      </w:r>
    </w:p>
    <w:p>
      <w:pPr>
        <w:spacing w:after="0" w:line="185" w:lineRule="exact"/>
        <w:rPr>
          <w:sz w:val="20"/>
          <w:szCs w:val="20"/>
          <w:color w:val="auto"/>
        </w:rPr>
      </w:pPr>
    </w:p>
    <w:p>
      <w:pPr>
        <w:ind w:firstLine="266"/>
        <w:spacing w:after="0" w:line="246" w:lineRule="auto"/>
        <w:rPr>
          <w:sz w:val="20"/>
          <w:szCs w:val="20"/>
          <w:color w:val="auto"/>
        </w:rPr>
      </w:pPr>
      <w:r>
        <w:rPr>
          <w:rFonts w:ascii="Arial" w:cs="Arial" w:eastAsia="Arial" w:hAnsi="Arial"/>
          <w:sz w:val="21"/>
          <w:szCs w:val="21"/>
          <w:color w:val="auto"/>
        </w:rPr>
        <w:t>The Company adopted FASB Interpretation Number 48 ("FIN 48"), "Accounting for Uncertainty in Income Taxes - an Interpretation of FASB Statement No. 109"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w:t>
      </w:r>
    </w:p>
    <w:p>
      <w:pPr>
        <w:spacing w:after="0" w:line="181" w:lineRule="exact"/>
        <w:rPr>
          <w:sz w:val="20"/>
          <w:szCs w:val="20"/>
          <w:color w:val="auto"/>
        </w:rPr>
      </w:pPr>
    </w:p>
    <w:p>
      <w:pPr>
        <w:ind w:right="80" w:firstLine="258"/>
        <w:spacing w:after="0" w:line="235" w:lineRule="auto"/>
        <w:rPr>
          <w:sz w:val="20"/>
          <w:szCs w:val="20"/>
          <w:color w:val="auto"/>
        </w:rPr>
      </w:pPr>
      <w:r>
        <w:rPr>
          <w:rFonts w:ascii="Arial" w:cs="Arial" w:eastAsia="Arial" w:hAnsi="Arial"/>
          <w:sz w:val="22"/>
          <w:szCs w:val="22"/>
          <w:color w:val="auto"/>
        </w:rPr>
        <w:t>As of February 1, 2009 the gross unrecognized tax benefits for income taxes associated with uncertain tax positions totaled approximately $3.1 million. If recognized, the benefits would favorably affect the Company's effective rate in future periods. It is possible that material changes to the gross unrecognized tax benefits may be required during fiscal year 2009. These changes relate to possible settlements in the U.K. and Germany during fiscal year 2009. Though the Company expects these items may result in a net reduction of its unrecognized tax benefits, an estimate of the expected reduction and related income tax benefit cannot be made at this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6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2004 in the U.S., 2002 in the U.K., 2006 in Germany and 2004 in Korea.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800" w:type="dxa"/>
            <w:vAlign w:val="bottom"/>
          </w:tcPr>
          <w:p>
            <w:pPr>
              <w:spacing w:after="0"/>
              <w:rPr>
                <w:sz w:val="20"/>
                <w:szCs w:val="20"/>
                <w:color w:val="auto"/>
              </w:rPr>
            </w:pPr>
            <w:r>
              <w:rPr>
                <w:rFonts w:ascii="Arial" w:cs="Arial" w:eastAsia="Arial" w:hAnsi="Arial"/>
                <w:sz w:val="22"/>
                <w:szCs w:val="22"/>
                <w:b w:val="1"/>
                <w:bCs w:val="1"/>
                <w:color w:val="auto"/>
              </w:rPr>
              <w:t>NOTE 8 - LONG-TERM BORROWINGS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00" w:type="dxa"/>
            <w:vAlign w:val="bottom"/>
          </w:tcPr>
          <w:p>
            <w:pPr>
              <w:ind w:left="280"/>
              <w:spacing w:after="0"/>
              <w:rPr>
                <w:sz w:val="20"/>
                <w:szCs w:val="20"/>
                <w:color w:val="auto"/>
              </w:rPr>
            </w:pPr>
            <w:r>
              <w:rPr>
                <w:rFonts w:ascii="Arial" w:cs="Arial" w:eastAsia="Arial" w:hAnsi="Arial"/>
                <w:sz w:val="22"/>
                <w:szCs w:val="22"/>
                <w:color w:val="auto"/>
              </w:rPr>
              <w:t>Long-term borrowings consist of the following:</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b w:val="1"/>
                <w:bCs w:val="1"/>
                <w:color w:val="auto"/>
                <w:w w:val="92"/>
              </w:rPr>
              <w:t>February 1,</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b w:val="1"/>
                <w:bCs w:val="1"/>
                <w:color w:val="auto"/>
                <w:w w:val="90"/>
              </w:rPr>
              <w:t>November 2,</w:t>
            </w:r>
          </w:p>
        </w:tc>
        <w:tc>
          <w:tcPr>
            <w:tcW w:w="0" w:type="dxa"/>
            <w:vAlign w:val="bottom"/>
          </w:tcPr>
          <w:p>
            <w:pPr>
              <w:spacing w:after="0"/>
              <w:rPr>
                <w:sz w:val="1"/>
                <w:szCs w:val="1"/>
                <w:color w:val="auto"/>
              </w:rPr>
            </w:pPr>
          </w:p>
        </w:tc>
      </w:tr>
      <w:tr>
        <w:trPr>
          <w:trHeight w:val="281"/>
        </w:trPr>
        <w:tc>
          <w:tcPr>
            <w:tcW w:w="48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Arial" w:cs="Arial" w:eastAsia="Arial" w:hAnsi="Arial"/>
                <w:sz w:val="22"/>
                <w:szCs w:val="22"/>
                <w:b w:val="1"/>
                <w:bCs w:val="1"/>
                <w:color w:val="auto"/>
              </w:rPr>
              <w:t>2009</w:t>
            </w:r>
          </w:p>
        </w:tc>
        <w:tc>
          <w:tcPr>
            <w:tcW w:w="1520" w:type="dxa"/>
            <w:vAlign w:val="bottom"/>
            <w:gridSpan w:val="2"/>
          </w:tcPr>
          <w:p>
            <w:pPr>
              <w:jc w:val="right"/>
              <w:ind w:right="332"/>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4800" w:type="dxa"/>
            <w:vAlign w:val="bottom"/>
            <w:vMerge w:val="restart"/>
          </w:tcPr>
          <w:p>
            <w:pPr>
              <w:spacing w:after="0"/>
              <w:rPr>
                <w:sz w:val="20"/>
                <w:szCs w:val="20"/>
                <w:color w:val="auto"/>
              </w:rPr>
            </w:pPr>
            <w:r>
              <w:rPr>
                <w:rFonts w:ascii="Arial" w:cs="Arial" w:eastAsia="Arial" w:hAnsi="Arial"/>
                <w:sz w:val="22"/>
                <w:szCs w:val="22"/>
                <w:color w:val="auto"/>
              </w:rPr>
              <w:t>Borrowings under revolving credit facility, which</w:t>
            </w:r>
          </w:p>
        </w:tc>
        <w:tc>
          <w:tcPr>
            <w:tcW w:w="1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48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60"/>
              <w:spacing w:after="0" w:line="243" w:lineRule="exact"/>
              <w:rPr>
                <w:sz w:val="20"/>
                <w:szCs w:val="20"/>
                <w:color w:val="auto"/>
              </w:rPr>
            </w:pPr>
            <w:r>
              <w:rPr>
                <w:rFonts w:ascii="Arial" w:cs="Arial" w:eastAsia="Arial" w:hAnsi="Arial"/>
                <w:sz w:val="22"/>
                <w:szCs w:val="22"/>
                <w:color w:val="auto"/>
                <w:w w:val="91"/>
              </w:rPr>
              <w:t>bears interest at a variable rate, as defined (6.50% at</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00" w:type="dxa"/>
            <w:vAlign w:val="bottom"/>
          </w:tcPr>
          <w:p>
            <w:pPr>
              <w:ind w:left="120"/>
              <w:spacing w:after="0"/>
              <w:rPr>
                <w:sz w:val="20"/>
                <w:szCs w:val="20"/>
                <w:color w:val="auto"/>
              </w:rPr>
            </w:pPr>
            <w:r>
              <w:rPr>
                <w:rFonts w:ascii="Arial" w:cs="Arial" w:eastAsia="Arial" w:hAnsi="Arial"/>
                <w:sz w:val="22"/>
                <w:szCs w:val="22"/>
                <w:color w:val="auto"/>
              </w:rPr>
              <w:t>February 1, 2009; 6.36% at November 2, 2008)</w:t>
            </w:r>
          </w:p>
        </w:tc>
        <w:tc>
          <w:tcPr>
            <w:tcW w:w="1160" w:type="dxa"/>
            <w:vAlign w:val="bottom"/>
          </w:tcPr>
          <w:p>
            <w:pPr>
              <w:jc w:val="right"/>
              <w:spacing w:after="0"/>
              <w:rPr>
                <w:sz w:val="20"/>
                <w:szCs w:val="20"/>
                <w:color w:val="auto"/>
              </w:rPr>
            </w:pPr>
            <w:r>
              <w:rPr>
                <w:rFonts w:ascii="Arial" w:cs="Arial" w:eastAsia="Arial" w:hAnsi="Arial"/>
                <w:sz w:val="22"/>
                <w:szCs w:val="22"/>
                <w:color w:val="auto"/>
              </w:rPr>
              <w:t>$122,500</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$122,500</w:t>
            </w:r>
          </w:p>
        </w:tc>
        <w:tc>
          <w:tcPr>
            <w:tcW w:w="0" w:type="dxa"/>
            <w:vAlign w:val="bottom"/>
          </w:tcPr>
          <w:p>
            <w:pPr>
              <w:spacing w:after="0"/>
              <w:rPr>
                <w:sz w:val="1"/>
                <w:szCs w:val="1"/>
                <w:color w:val="auto"/>
              </w:rPr>
            </w:pPr>
          </w:p>
        </w:tc>
      </w:tr>
      <w:tr>
        <w:trPr>
          <w:trHeight w:val="455"/>
        </w:trPr>
        <w:tc>
          <w:tcPr>
            <w:tcW w:w="4800" w:type="dxa"/>
            <w:vAlign w:val="bottom"/>
          </w:tcPr>
          <w:p>
            <w:pPr>
              <w:spacing w:after="0"/>
              <w:rPr>
                <w:sz w:val="20"/>
                <w:szCs w:val="20"/>
                <w:color w:val="auto"/>
              </w:rPr>
            </w:pPr>
            <w:r>
              <w:rPr>
                <w:rFonts w:ascii="Arial" w:cs="Arial" w:eastAsia="Arial" w:hAnsi="Arial"/>
                <w:sz w:val="22"/>
                <w:szCs w:val="22"/>
                <w:color w:val="auto"/>
              </w:rPr>
              <w:t>8.0% capital lease obligation payable through</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800" w:type="dxa"/>
            <w:vAlign w:val="bottom"/>
          </w:tcPr>
          <w:p>
            <w:pPr>
              <w:ind w:left="60"/>
              <w:spacing w:after="0"/>
              <w:rPr>
                <w:sz w:val="20"/>
                <w:szCs w:val="20"/>
                <w:color w:val="auto"/>
              </w:rPr>
            </w:pPr>
            <w:r>
              <w:rPr>
                <w:rFonts w:ascii="Arial" w:cs="Arial" w:eastAsia="Arial" w:hAnsi="Arial"/>
                <w:sz w:val="22"/>
                <w:szCs w:val="22"/>
                <w:color w:val="auto"/>
              </w:rPr>
              <w:t>January 2013</w:t>
            </w:r>
          </w:p>
        </w:tc>
        <w:tc>
          <w:tcPr>
            <w:tcW w:w="1160" w:type="dxa"/>
            <w:vAlign w:val="bottom"/>
          </w:tcPr>
          <w:p>
            <w:pPr>
              <w:jc w:val="right"/>
              <w:spacing w:after="0"/>
              <w:rPr>
                <w:sz w:val="20"/>
                <w:szCs w:val="20"/>
                <w:color w:val="auto"/>
              </w:rPr>
            </w:pPr>
            <w:r>
              <w:rPr>
                <w:rFonts w:ascii="Arial" w:cs="Arial" w:eastAsia="Arial" w:hAnsi="Arial"/>
                <w:sz w:val="22"/>
                <w:szCs w:val="22"/>
                <w:color w:val="auto"/>
              </w:rPr>
              <w:t>51,202</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53,895</w:t>
            </w:r>
          </w:p>
        </w:tc>
        <w:tc>
          <w:tcPr>
            <w:tcW w:w="0" w:type="dxa"/>
            <w:vAlign w:val="bottom"/>
          </w:tcPr>
          <w:p>
            <w:pPr>
              <w:spacing w:after="0"/>
              <w:rPr>
                <w:sz w:val="1"/>
                <w:szCs w:val="1"/>
                <w:color w:val="auto"/>
              </w:rPr>
            </w:pPr>
          </w:p>
        </w:tc>
      </w:tr>
      <w:tr>
        <w:trPr>
          <w:trHeight w:val="486"/>
        </w:trPr>
        <w:tc>
          <w:tcPr>
            <w:tcW w:w="4800" w:type="dxa"/>
            <w:vAlign w:val="bottom"/>
          </w:tcPr>
          <w:p>
            <w:pPr>
              <w:spacing w:after="0"/>
              <w:rPr>
                <w:sz w:val="20"/>
                <w:szCs w:val="20"/>
                <w:color w:val="auto"/>
              </w:rPr>
            </w:pPr>
            <w:r>
              <w:rPr>
                <w:rFonts w:ascii="Arial" w:cs="Arial" w:eastAsia="Arial" w:hAnsi="Arial"/>
                <w:sz w:val="22"/>
                <w:szCs w:val="22"/>
                <w:color w:val="auto"/>
              </w:rPr>
              <w:t>5.6% capital lease obligation payable through</w:t>
            </w:r>
          </w:p>
        </w:tc>
        <w:tc>
          <w:tcPr>
            <w:tcW w:w="11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16,669</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800" w:type="dxa"/>
            <w:vAlign w:val="bottom"/>
          </w:tcPr>
          <w:p>
            <w:pPr>
              <w:ind w:left="60"/>
              <w:spacing w:after="0"/>
              <w:rPr>
                <w:sz w:val="20"/>
                <w:szCs w:val="20"/>
                <w:color w:val="auto"/>
              </w:rPr>
            </w:pPr>
            <w:r>
              <w:rPr>
                <w:rFonts w:ascii="Arial" w:cs="Arial" w:eastAsia="Arial" w:hAnsi="Arial"/>
                <w:sz w:val="22"/>
                <w:szCs w:val="22"/>
                <w:color w:val="auto"/>
              </w:rPr>
              <w:t>October 2012</w:t>
            </w:r>
          </w:p>
        </w:tc>
        <w:tc>
          <w:tcPr>
            <w:tcW w:w="1160" w:type="dxa"/>
            <w:vAlign w:val="bottom"/>
          </w:tcPr>
          <w:p>
            <w:pPr>
              <w:jc w:val="right"/>
              <w:spacing w:after="0"/>
              <w:rPr>
                <w:sz w:val="20"/>
                <w:szCs w:val="20"/>
                <w:color w:val="auto"/>
              </w:rPr>
            </w:pPr>
            <w:r>
              <w:rPr>
                <w:rFonts w:ascii="Arial" w:cs="Arial" w:eastAsia="Arial" w:hAnsi="Arial"/>
                <w:sz w:val="22"/>
                <w:szCs w:val="22"/>
                <w:color w:val="auto"/>
              </w:rPr>
              <w:t>15,756</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486"/>
        </w:trPr>
        <w:tc>
          <w:tcPr>
            <w:tcW w:w="4800" w:type="dxa"/>
            <w:vAlign w:val="bottom"/>
          </w:tcPr>
          <w:p>
            <w:pPr>
              <w:spacing w:after="0"/>
              <w:rPr>
                <w:sz w:val="20"/>
                <w:szCs w:val="20"/>
                <w:color w:val="auto"/>
              </w:rPr>
            </w:pPr>
            <w:r>
              <w:rPr>
                <w:rFonts w:ascii="Arial" w:cs="Arial" w:eastAsia="Arial" w:hAnsi="Arial"/>
                <w:sz w:val="22"/>
                <w:szCs w:val="22"/>
                <w:color w:val="auto"/>
              </w:rPr>
              <w:t>Foreign loans:</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5"/>
        </w:trPr>
        <w:tc>
          <w:tcPr>
            <w:tcW w:w="4800" w:type="dxa"/>
            <w:vAlign w:val="bottom"/>
          </w:tcPr>
          <w:p>
            <w:pPr>
              <w:ind w:left="220"/>
              <w:spacing w:after="0"/>
              <w:rPr>
                <w:sz w:val="20"/>
                <w:szCs w:val="20"/>
                <w:color w:val="auto"/>
              </w:rPr>
            </w:pPr>
            <w:r>
              <w:rPr>
                <w:rFonts w:ascii="Arial" w:cs="Arial" w:eastAsia="Arial" w:hAnsi="Arial"/>
                <w:sz w:val="22"/>
                <w:szCs w:val="22"/>
                <w:color w:val="auto"/>
              </w:rPr>
              <w:t>Revolving loan, which bears interest at</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4800" w:type="dxa"/>
            <w:vAlign w:val="bottom"/>
          </w:tcPr>
          <w:p>
            <w:pPr>
              <w:ind w:left="220"/>
              <w:spacing w:after="0" w:line="243" w:lineRule="exact"/>
              <w:rPr>
                <w:sz w:val="20"/>
                <w:szCs w:val="20"/>
                <w:color w:val="auto"/>
              </w:rPr>
            </w:pPr>
            <w:r>
              <w:rPr>
                <w:rFonts w:ascii="Arial" w:cs="Arial" w:eastAsia="Arial" w:hAnsi="Arial"/>
                <w:sz w:val="22"/>
                <w:szCs w:val="22"/>
                <w:color w:val="auto"/>
              </w:rPr>
              <w:t>a variable rate (7.81% at February 1, 2009;</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5"/>
        </w:trPr>
        <w:tc>
          <w:tcPr>
            <w:tcW w:w="4800" w:type="dxa"/>
            <w:vAlign w:val="bottom"/>
          </w:tcPr>
          <w:p>
            <w:pPr>
              <w:ind w:left="220"/>
              <w:spacing w:after="0"/>
              <w:rPr>
                <w:sz w:val="20"/>
                <w:szCs w:val="20"/>
                <w:color w:val="auto"/>
              </w:rPr>
            </w:pPr>
            <w:r>
              <w:rPr>
                <w:rFonts w:ascii="Arial" w:cs="Arial" w:eastAsia="Arial" w:hAnsi="Arial"/>
                <w:sz w:val="22"/>
                <w:szCs w:val="22"/>
                <w:color w:val="auto"/>
              </w:rPr>
              <w:t>7.47% at November 2, 2008)</w:t>
            </w:r>
          </w:p>
        </w:tc>
        <w:tc>
          <w:tcPr>
            <w:tcW w:w="1160" w:type="dxa"/>
            <w:vAlign w:val="bottom"/>
          </w:tcPr>
          <w:p>
            <w:pPr>
              <w:jc w:val="right"/>
              <w:spacing w:after="0"/>
              <w:rPr>
                <w:sz w:val="20"/>
                <w:szCs w:val="20"/>
                <w:color w:val="auto"/>
              </w:rPr>
            </w:pPr>
            <w:r>
              <w:rPr>
                <w:rFonts w:ascii="Arial" w:cs="Arial" w:eastAsia="Arial" w:hAnsi="Arial"/>
                <w:sz w:val="22"/>
                <w:szCs w:val="22"/>
                <w:color w:val="auto"/>
              </w:rPr>
              <w:t>19,032</w:t>
            </w:r>
          </w:p>
        </w:tc>
        <w:tc>
          <w:tcPr>
            <w:tcW w:w="1520" w:type="dxa"/>
            <w:vAlign w:val="bottom"/>
            <w:gridSpan w:val="2"/>
          </w:tcPr>
          <w:p>
            <w:pPr>
              <w:jc w:val="right"/>
              <w:ind w:right="40"/>
              <w:spacing w:after="0"/>
              <w:rPr>
                <w:sz w:val="20"/>
                <w:szCs w:val="20"/>
                <w:color w:val="auto"/>
              </w:rPr>
            </w:pPr>
            <w:r>
              <w:rPr>
                <w:rFonts w:ascii="Arial" w:cs="Arial" w:eastAsia="Arial" w:hAnsi="Arial"/>
                <w:sz w:val="22"/>
                <w:szCs w:val="22"/>
                <w:color w:val="auto"/>
              </w:rPr>
              <w:t>19,045</w:t>
            </w:r>
          </w:p>
        </w:tc>
      </w:tr>
      <w:tr>
        <w:trPr>
          <w:trHeight w:val="455"/>
        </w:trPr>
        <w:tc>
          <w:tcPr>
            <w:tcW w:w="4800" w:type="dxa"/>
            <w:vAlign w:val="bottom"/>
          </w:tcPr>
          <w:p>
            <w:pPr>
              <w:ind w:left="220"/>
              <w:spacing w:after="0"/>
              <w:rPr>
                <w:sz w:val="20"/>
                <w:szCs w:val="20"/>
                <w:color w:val="auto"/>
              </w:rPr>
            </w:pPr>
            <w:r>
              <w:rPr>
                <w:rFonts w:ascii="Arial" w:cs="Arial" w:eastAsia="Arial" w:hAnsi="Arial"/>
                <w:sz w:val="22"/>
                <w:szCs w:val="22"/>
                <w:color w:val="auto"/>
              </w:rPr>
              <w:t>Term loan, which bears interest at</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4800" w:type="dxa"/>
            <w:vAlign w:val="bottom"/>
          </w:tcPr>
          <w:p>
            <w:pPr>
              <w:ind w:left="220"/>
              <w:spacing w:after="0" w:line="243" w:lineRule="exact"/>
              <w:rPr>
                <w:sz w:val="20"/>
                <w:szCs w:val="20"/>
                <w:color w:val="auto"/>
              </w:rPr>
            </w:pPr>
            <w:r>
              <w:rPr>
                <w:rFonts w:ascii="Arial" w:cs="Arial" w:eastAsia="Arial" w:hAnsi="Arial"/>
                <w:sz w:val="22"/>
                <w:szCs w:val="22"/>
                <w:color w:val="auto"/>
              </w:rPr>
              <w:t>a variable rate (8.32% at February 1, 2009;</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5"/>
        </w:trPr>
        <w:tc>
          <w:tcPr>
            <w:tcW w:w="4800" w:type="dxa"/>
            <w:vAlign w:val="bottom"/>
          </w:tcPr>
          <w:p>
            <w:pPr>
              <w:ind w:left="220"/>
              <w:spacing w:after="0"/>
              <w:rPr>
                <w:sz w:val="20"/>
                <w:szCs w:val="20"/>
                <w:color w:val="auto"/>
              </w:rPr>
            </w:pPr>
            <w:r>
              <w:rPr>
                <w:rFonts w:ascii="Arial" w:cs="Arial" w:eastAsia="Arial" w:hAnsi="Arial"/>
                <w:sz w:val="22"/>
                <w:szCs w:val="22"/>
                <w:color w:val="auto"/>
              </w:rPr>
              <w:t>7.74% at November 2, 2008)</w:t>
            </w:r>
          </w:p>
        </w:tc>
        <w:tc>
          <w:tcPr>
            <w:tcW w:w="1160" w:type="dxa"/>
            <w:vAlign w:val="bottom"/>
          </w:tcPr>
          <w:p>
            <w:pPr>
              <w:jc w:val="right"/>
              <w:spacing w:after="0"/>
              <w:rPr>
                <w:sz w:val="20"/>
                <w:szCs w:val="20"/>
                <w:color w:val="auto"/>
              </w:rPr>
            </w:pPr>
            <w:r>
              <w:rPr>
                <w:rFonts w:ascii="Arial" w:cs="Arial" w:eastAsia="Arial" w:hAnsi="Arial"/>
                <w:sz w:val="22"/>
                <w:szCs w:val="22"/>
                <w:color w:val="auto"/>
              </w:rPr>
              <w:t>8,198</w:t>
            </w:r>
          </w:p>
        </w:tc>
        <w:tc>
          <w:tcPr>
            <w:tcW w:w="1520" w:type="dxa"/>
            <w:vAlign w:val="bottom"/>
            <w:gridSpan w:val="2"/>
          </w:tcPr>
          <w:p>
            <w:pPr>
              <w:jc w:val="right"/>
              <w:ind w:right="40"/>
              <w:spacing w:after="0"/>
              <w:rPr>
                <w:sz w:val="20"/>
                <w:szCs w:val="20"/>
                <w:color w:val="auto"/>
              </w:rPr>
            </w:pPr>
            <w:r>
              <w:rPr>
                <w:rFonts w:ascii="Arial" w:cs="Arial" w:eastAsia="Arial" w:hAnsi="Arial"/>
                <w:sz w:val="22"/>
                <w:szCs w:val="22"/>
                <w:color w:val="auto"/>
              </w:rPr>
              <w:t>8,204</w:t>
            </w:r>
          </w:p>
        </w:tc>
      </w:tr>
      <w:tr>
        <w:trPr>
          <w:trHeight w:val="455"/>
        </w:trPr>
        <w:tc>
          <w:tcPr>
            <w:tcW w:w="4800" w:type="dxa"/>
            <w:vAlign w:val="bottom"/>
          </w:tcPr>
          <w:p>
            <w:pPr>
              <w:ind w:left="220"/>
              <w:spacing w:after="0"/>
              <w:rPr>
                <w:sz w:val="20"/>
                <w:szCs w:val="20"/>
                <w:color w:val="auto"/>
              </w:rPr>
            </w:pPr>
            <w:r>
              <w:rPr>
                <w:rFonts w:ascii="Arial" w:cs="Arial" w:eastAsia="Arial" w:hAnsi="Arial"/>
                <w:sz w:val="22"/>
                <w:szCs w:val="22"/>
                <w:color w:val="auto"/>
              </w:rPr>
              <w:t>Short-term loan, which bears interest</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4800" w:type="dxa"/>
            <w:vAlign w:val="bottom"/>
          </w:tcPr>
          <w:p>
            <w:pPr>
              <w:ind w:left="220"/>
              <w:spacing w:after="0" w:line="243" w:lineRule="exact"/>
              <w:rPr>
                <w:sz w:val="20"/>
                <w:szCs w:val="20"/>
                <w:color w:val="auto"/>
              </w:rPr>
            </w:pPr>
            <w:r>
              <w:rPr>
                <w:rFonts w:ascii="Arial" w:cs="Arial" w:eastAsia="Arial" w:hAnsi="Arial"/>
                <w:sz w:val="22"/>
                <w:szCs w:val="22"/>
                <w:color w:val="auto"/>
              </w:rPr>
              <w:t>at a variable rate (6.72% at February 1, 2009</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5"/>
        </w:trPr>
        <w:tc>
          <w:tcPr>
            <w:tcW w:w="4800" w:type="dxa"/>
            <w:vAlign w:val="bottom"/>
          </w:tcPr>
          <w:p>
            <w:pPr>
              <w:ind w:left="220"/>
              <w:spacing w:after="0"/>
              <w:rPr>
                <w:sz w:val="20"/>
                <w:szCs w:val="20"/>
                <w:color w:val="auto"/>
              </w:rPr>
            </w:pPr>
            <w:r>
              <w:rPr>
                <w:rFonts w:ascii="Arial" w:cs="Arial" w:eastAsia="Arial" w:hAnsi="Arial"/>
                <w:sz w:val="22"/>
                <w:szCs w:val="22"/>
                <w:color w:val="auto"/>
              </w:rPr>
              <w:t>and November 2, 2008)</w:t>
            </w:r>
          </w:p>
        </w:tc>
        <w:tc>
          <w:tcPr>
            <w:tcW w:w="1160" w:type="dxa"/>
            <w:vAlign w:val="bottom"/>
          </w:tcPr>
          <w:p>
            <w:pPr>
              <w:jc w:val="right"/>
              <w:spacing w:after="0"/>
              <w:rPr>
                <w:sz w:val="20"/>
                <w:szCs w:val="20"/>
                <w:color w:val="auto"/>
              </w:rPr>
            </w:pPr>
            <w:r>
              <w:rPr>
                <w:rFonts w:ascii="Arial" w:cs="Arial" w:eastAsia="Arial" w:hAnsi="Arial"/>
                <w:sz w:val="22"/>
                <w:szCs w:val="22"/>
                <w:color w:val="auto"/>
              </w:rPr>
              <w:t>3,294</w:t>
            </w:r>
          </w:p>
        </w:tc>
        <w:tc>
          <w:tcPr>
            <w:tcW w:w="1520" w:type="dxa"/>
            <w:vAlign w:val="bottom"/>
            <w:gridSpan w:val="2"/>
          </w:tcPr>
          <w:p>
            <w:pPr>
              <w:jc w:val="right"/>
              <w:ind w:right="40"/>
              <w:spacing w:after="0"/>
              <w:rPr>
                <w:sz w:val="20"/>
                <w:szCs w:val="20"/>
                <w:color w:val="auto"/>
              </w:rPr>
            </w:pPr>
            <w:r>
              <w:rPr>
                <w:rFonts w:ascii="Arial" w:cs="Arial" w:eastAsia="Arial" w:hAnsi="Arial"/>
                <w:sz w:val="22"/>
                <w:szCs w:val="22"/>
                <w:color w:val="auto"/>
              </w:rPr>
              <w:t>3,296</w:t>
            </w:r>
          </w:p>
        </w:tc>
      </w:tr>
      <w:tr>
        <w:trPr>
          <w:trHeight w:val="98"/>
        </w:trPr>
        <w:tc>
          <w:tcPr>
            <w:tcW w:w="480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r>
      <w:tr>
        <w:trPr>
          <w:trHeight w:val="337"/>
        </w:trPr>
        <w:tc>
          <w:tcPr>
            <w:tcW w:w="4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219,982</w:t>
            </w:r>
          </w:p>
        </w:tc>
        <w:tc>
          <w:tcPr>
            <w:tcW w:w="1520" w:type="dxa"/>
            <w:vAlign w:val="bottom"/>
            <w:gridSpan w:val="2"/>
          </w:tcPr>
          <w:p>
            <w:pPr>
              <w:jc w:val="right"/>
              <w:ind w:right="40"/>
              <w:spacing w:after="0"/>
              <w:rPr>
                <w:sz w:val="20"/>
                <w:szCs w:val="20"/>
                <w:color w:val="auto"/>
              </w:rPr>
            </w:pPr>
            <w:r>
              <w:rPr>
                <w:rFonts w:ascii="Arial" w:cs="Arial" w:eastAsia="Arial" w:hAnsi="Arial"/>
                <w:sz w:val="22"/>
                <w:szCs w:val="22"/>
                <w:color w:val="auto"/>
              </w:rPr>
              <w:t>223,609</w:t>
            </w:r>
          </w:p>
        </w:tc>
      </w:tr>
      <w:tr>
        <w:trPr>
          <w:trHeight w:val="275"/>
        </w:trPr>
        <w:tc>
          <w:tcPr>
            <w:tcW w:w="4800" w:type="dxa"/>
            <w:vAlign w:val="bottom"/>
          </w:tcPr>
          <w:p>
            <w:pPr>
              <w:spacing w:after="0"/>
              <w:rPr>
                <w:sz w:val="20"/>
                <w:szCs w:val="20"/>
                <w:color w:val="auto"/>
              </w:rPr>
            </w:pPr>
            <w:r>
              <w:rPr>
                <w:rFonts w:ascii="Arial" w:cs="Arial" w:eastAsia="Arial" w:hAnsi="Arial"/>
                <w:sz w:val="22"/>
                <w:szCs w:val="22"/>
                <w:color w:val="auto"/>
              </w:rPr>
              <w:t>Less current portion</w:t>
            </w:r>
          </w:p>
        </w:tc>
        <w:tc>
          <w:tcPr>
            <w:tcW w:w="1160" w:type="dxa"/>
            <w:vAlign w:val="bottom"/>
          </w:tcPr>
          <w:p>
            <w:pPr>
              <w:jc w:val="right"/>
              <w:spacing w:after="0"/>
              <w:rPr>
                <w:sz w:val="20"/>
                <w:szCs w:val="20"/>
                <w:color w:val="auto"/>
              </w:rPr>
            </w:pPr>
            <w:r>
              <w:rPr>
                <w:rFonts w:ascii="Arial" w:cs="Arial" w:eastAsia="Arial" w:hAnsi="Arial"/>
                <w:sz w:val="22"/>
                <w:szCs w:val="22"/>
                <w:color w:val="auto"/>
              </w:rPr>
              <w:t>68,134</w:t>
            </w:r>
          </w:p>
        </w:tc>
        <w:tc>
          <w:tcPr>
            <w:tcW w:w="1520" w:type="dxa"/>
            <w:vAlign w:val="bottom"/>
            <w:gridSpan w:val="2"/>
          </w:tcPr>
          <w:p>
            <w:pPr>
              <w:jc w:val="right"/>
              <w:ind w:right="40"/>
              <w:spacing w:after="0"/>
              <w:rPr>
                <w:sz w:val="20"/>
                <w:szCs w:val="20"/>
                <w:color w:val="auto"/>
              </w:rPr>
            </w:pPr>
            <w:r>
              <w:rPr>
                <w:rFonts w:ascii="Arial" w:cs="Arial" w:eastAsia="Arial" w:hAnsi="Arial"/>
                <w:sz w:val="22"/>
                <w:szCs w:val="22"/>
                <w:color w:val="auto"/>
              </w:rPr>
              <w:t>20,630</w:t>
            </w:r>
          </w:p>
        </w:tc>
      </w:tr>
      <w:tr>
        <w:trPr>
          <w:trHeight w:val="98"/>
        </w:trPr>
        <w:tc>
          <w:tcPr>
            <w:tcW w:w="480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336699"/>
            </w:tcBorders>
          </w:tcPr>
          <w:p>
            <w:pPr>
              <w:spacing w:after="0"/>
              <w:rPr>
                <w:sz w:val="8"/>
                <w:szCs w:val="8"/>
                <w:color w:val="auto"/>
              </w:rPr>
            </w:pPr>
          </w:p>
        </w:tc>
      </w:tr>
      <w:tr>
        <w:trPr>
          <w:trHeight w:val="368"/>
        </w:trPr>
        <w:tc>
          <w:tcPr>
            <w:tcW w:w="4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$151,848</w:t>
            </w:r>
          </w:p>
        </w:tc>
        <w:tc>
          <w:tcPr>
            <w:tcW w:w="1520" w:type="dxa"/>
            <w:vAlign w:val="bottom"/>
            <w:gridSpan w:val="2"/>
          </w:tcPr>
          <w:p>
            <w:pPr>
              <w:jc w:val="right"/>
              <w:ind w:right="40"/>
              <w:spacing w:after="0"/>
              <w:rPr>
                <w:sz w:val="20"/>
                <w:szCs w:val="20"/>
                <w:color w:val="auto"/>
              </w:rPr>
            </w:pPr>
            <w:r>
              <w:rPr>
                <w:rFonts w:ascii="Arial" w:cs="Arial" w:eastAsia="Arial" w:hAnsi="Arial"/>
                <w:sz w:val="22"/>
                <w:szCs w:val="22"/>
                <w:color w:val="auto"/>
              </w:rPr>
              <w:t>$202,979</w:t>
            </w:r>
          </w:p>
        </w:tc>
      </w:tr>
      <w:tr>
        <w:trPr>
          <w:trHeight w:val="122"/>
        </w:trPr>
        <w:tc>
          <w:tcPr>
            <w:tcW w:w="4800" w:type="dxa"/>
            <w:vAlign w:val="bottom"/>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270"/>
        <w:spacing w:after="0" w:line="270" w:lineRule="auto"/>
        <w:rPr>
          <w:sz w:val="20"/>
          <w:szCs w:val="20"/>
          <w:color w:val="auto"/>
        </w:rPr>
      </w:pPr>
      <w:r>
        <w:rPr>
          <w:rFonts w:ascii="Arial" w:cs="Arial" w:eastAsia="Arial" w:hAnsi="Arial"/>
          <w:sz w:val="19"/>
          <w:szCs w:val="19"/>
          <w:color w:val="auto"/>
        </w:rPr>
        <w:t>On June 6, 2007, the Company and a group of financial institutions entered into a credit agreement which allows for borrowings under various currencies. On October 31, 2008, the Company's credit agreement was amended to change the minimum Senior Leverage Ratio covenant, as defined, and to extend the date it was required to obtain at least $75 million in permanent long-term capital from November 2, 2008 to December 5, 2008. The credit agreement was further amended on December 5, 2008 to extend the date to obtain at least $75 million in permanent long-term capital to December 12, 2008, at which date the credit agreement was last amended. Among other items, the last amendment on December 12, 2008 provided for the following: the requirement to obtain additional long-term capital was eliminated; the maturity date of the credit agreement was changed from June 6, 2012 to July 30, 2010; the aggregate commitment was reduced from $155 million to $135 million, and is further reduced to $120 million on October 31, 2009 and $100 million on January 31, 2010; substantially all of the Company's assets in the United States were pledged as collateral; financial covenants were modified and include, among other items as defined, a Senior Leverage Ratio, Total Leverage Ratio, Minimum Fixed Charge Ratio, and a quarterly minimum EBITDA covenant, as defined. Additionally, cash received as a result of certain events is required to be used to pay down the outstanding loan balance and reduce the available credit facility by the same amount and the Company is also subject to capital expenditure limitations. The credit agreement continues to provide for Minimum Unrestricted Cash Balances, as defined, of $50 million, and to limit the amounts of both secured and unsecured debt the Company can incur. The credit facility is also secured by a pledge of the Company's stock in certain of its subsidiaries. As of February 1, 2009, $122.5 million was outstanding under the credit facility, $3.6 million was utilized for a standby letter of credit, and the remaining balance of $8.9 million was available to the Company based upon the amended aggregate commitment of $135 million.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In addition to the credit agreement discussed above, on December 12, 2008, the maturity date of the foreign revolving loan and term loan was amended from October 11, 2010 to January 31, 2010. Further, the interest rate on these foreign loans was amended and is currently based on the Peoples Bank of China base rate, plus a spread (as defined), and the lenders have the right to secure the Company's assets in China. In connection with the December 12, 2008 amendment to the foreign revolving loan and term loan, and to the credit agreement discussed in the preceding paragraph, $47.2 million was reclassified to current liabilities.</w:t>
      </w:r>
    </w:p>
    <w:p>
      <w:pPr>
        <w:spacing w:after="0" w:line="148" w:lineRule="exact"/>
        <w:rPr>
          <w:sz w:val="20"/>
          <w:szCs w:val="20"/>
          <w:color w:val="auto"/>
        </w:rPr>
      </w:pPr>
    </w:p>
    <w:p>
      <w:pPr>
        <w:ind w:firstLine="266"/>
        <w:spacing w:after="0" w:line="245" w:lineRule="auto"/>
        <w:rPr>
          <w:sz w:val="20"/>
          <w:szCs w:val="20"/>
          <w:color w:val="auto"/>
        </w:rPr>
      </w:pPr>
      <w:r>
        <w:rPr>
          <w:rFonts w:ascii="Arial" w:cs="Arial" w:eastAsia="Arial" w:hAnsi="Arial"/>
          <w:sz w:val="21"/>
          <w:szCs w:val="21"/>
          <w:color w:val="auto"/>
        </w:rPr>
        <w:t>The Company's liquidity is highly dependent on its ability to receive orders as it operates in a high fixed cost environment and the timing of capital expenditures, both of which can vary significantly from period to period. Depending on conditions in the IC semiconductor and FPD market, the Company's cash flows from operations and current holdings of cash and investments may not be adequate to meet the Company's current and long-term needs for capital expenditures and operations. Historically, in certain years the Company has used external financing to fund these needs. Due to conditions in the credit markets, some financing instruments used by the Company in the past are currently not available to the Company. The Company is evaluating alternatives to increase its capital, delaying capital expenditures and evaluating further cost reduction initiatives. However, the Company cannot assure that additional sources of financing would be available to the Company on commercially favorable terms should the Company's capital requirements exceed cash available from operations and existing cash, short-term investments and cash available under its credit facility.</w:t>
      </w:r>
    </w:p>
    <w:p>
      <w:pPr>
        <w:spacing w:after="0" w:line="182" w:lineRule="exact"/>
        <w:rPr>
          <w:sz w:val="20"/>
          <w:szCs w:val="20"/>
          <w:color w:val="auto"/>
        </w:rPr>
      </w:pPr>
    </w:p>
    <w:p>
      <w:pPr>
        <w:ind w:right="140" w:firstLine="258"/>
        <w:spacing w:after="0" w:line="297" w:lineRule="auto"/>
        <w:rPr>
          <w:sz w:val="20"/>
          <w:szCs w:val="20"/>
          <w:color w:val="auto"/>
        </w:rPr>
      </w:pPr>
      <w:r>
        <w:rPr>
          <w:rFonts w:ascii="Arial" w:cs="Arial" w:eastAsia="Arial" w:hAnsi="Arial"/>
          <w:sz w:val="19"/>
          <w:szCs w:val="19"/>
          <w:color w:val="auto"/>
        </w:rPr>
        <w:t>As of February 1, 2009, foreign loans were in China, and consist of a term loan and revolving loan credit facility and a short-term loan, which were fully outstanding, and amount to RMB 186 million ($27.2 million) and RMB 22.5 million ($3.3 million), respectively. Interest rates are subject to change based on the People's Bank of China base rate, plus a spread, as defined. The term</w:t>
      </w:r>
    </w:p>
    <w:p>
      <w:pPr>
        <w:sectPr>
          <w:pgSz w:w="11900" w:h="16838" w:orient="portrait"/>
          <w:cols w:equalWidth="0" w:num="1">
            <w:col w:w="11420"/>
          </w:cols>
          <w:pgMar w:left="240" w:top="118" w:right="239" w:bottom="0" w:gutter="0" w:footer="0" w:header="0"/>
        </w:sectPr>
      </w:pPr>
    </w:p>
    <w:bookmarkStart w:id="11" w:name="page12"/>
    <w:bookmarkEnd w:id="11"/>
    <w:p>
      <w:pPr>
        <w:spacing w:after="0" w:line="18" w:lineRule="exact"/>
        <w:rPr>
          <w:sz w:val="20"/>
          <w:szCs w:val="20"/>
          <w:color w:val="auto"/>
        </w:rPr>
      </w:pPr>
    </w:p>
    <w:p>
      <w:pPr>
        <w:ind w:right="580"/>
        <w:spacing w:after="0" w:line="274" w:lineRule="auto"/>
        <w:rPr>
          <w:sz w:val="20"/>
          <w:szCs w:val="20"/>
          <w:color w:val="auto"/>
        </w:rPr>
      </w:pPr>
      <w:r>
        <w:rPr>
          <w:rFonts w:ascii="Arial" w:cs="Arial" w:eastAsia="Arial" w:hAnsi="Arial"/>
          <w:sz w:val="21"/>
          <w:szCs w:val="21"/>
          <w:color w:val="auto"/>
        </w:rPr>
        <w:t>loan and revolving loan credit facility is due in January 2010, and the short-term loan is due in March 2009. The Company is subject to certain financial and other covenants similar to those of its credit facility described above.</w:t>
      </w:r>
    </w:p>
    <w:p>
      <w:pPr>
        <w:spacing w:after="0" w:line="151"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In January 2008, a capital lease agreement commenced for the U.S. Nanofab. Quarterly lease payments, which bear interest at 8%, are $3.8 million through January 2013. As of February 1, 2009 total capital lease amounts payable for this property were $60.3 million of which $51.2 million represents principal and $9.1 million represents interest. At the end of the 5-year lease term, ownership of the property transfers to the Company.</w:t>
      </w:r>
    </w:p>
    <w:p>
      <w:pPr>
        <w:spacing w:after="0" w:line="185" w:lineRule="exact"/>
        <w:rPr>
          <w:sz w:val="20"/>
          <w:szCs w:val="20"/>
          <w:color w:val="auto"/>
        </w:rPr>
      </w:pPr>
    </w:p>
    <w:p>
      <w:pPr>
        <w:ind w:right="240" w:firstLine="270"/>
        <w:spacing w:after="0" w:line="238" w:lineRule="auto"/>
        <w:rPr>
          <w:sz w:val="20"/>
          <w:szCs w:val="20"/>
          <w:color w:val="auto"/>
        </w:rPr>
      </w:pPr>
      <w:r>
        <w:rPr>
          <w:rFonts w:ascii="Arial" w:cs="Arial" w:eastAsia="Arial" w:hAnsi="Arial"/>
          <w:sz w:val="22"/>
          <w:szCs w:val="22"/>
          <w:color w:val="auto"/>
        </w:rPr>
        <w:t>In October 2007, the Company entered into a capital lease agreement in the principal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 MEASUREMENTS</w:t>
      </w:r>
    </w:p>
    <w:p>
      <w:pPr>
        <w:spacing w:after="0" w:line="212" w:lineRule="exact"/>
        <w:rPr>
          <w:sz w:val="20"/>
          <w:szCs w:val="20"/>
          <w:color w:val="auto"/>
        </w:rPr>
      </w:pPr>
    </w:p>
    <w:p>
      <w:pPr>
        <w:ind w:right="40" w:firstLine="266"/>
        <w:spacing w:after="0" w:line="245" w:lineRule="auto"/>
        <w:rPr>
          <w:sz w:val="20"/>
          <w:szCs w:val="20"/>
          <w:color w:val="auto"/>
        </w:rPr>
      </w:pPr>
      <w:r>
        <w:rPr>
          <w:rFonts w:ascii="Arial" w:cs="Arial" w:eastAsia="Arial" w:hAnsi="Arial"/>
          <w:sz w:val="21"/>
          <w:szCs w:val="21"/>
          <w:color w:val="auto"/>
        </w:rPr>
        <w:t>The Company adopted Statement of Financial Accounting Standards (SFAS) No. 157 "Fair Value Measurements" as of November 3, 2008 for all financial assets and liabilities measured on both a recurring and non-recurring basis and for non-financial assets and liabilities measured on a recurring basis. SFAS No. 157 defines fair value as the price that would be received to sell an asset or transfer a liability in an orderly transaction between market participants at the measurement date. It further prescribes that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the asset or transfer the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182" w:lineRule="exact"/>
        <w:rPr>
          <w:sz w:val="20"/>
          <w:szCs w:val="20"/>
          <w:color w:val="auto"/>
        </w:rPr>
      </w:pPr>
    </w:p>
    <w:p>
      <w:pPr>
        <w:ind w:right="180" w:firstLine="258"/>
        <w:spacing w:after="0" w:line="252" w:lineRule="auto"/>
        <w:rPr>
          <w:sz w:val="20"/>
          <w:szCs w:val="20"/>
          <w:color w:val="auto"/>
        </w:rPr>
      </w:pPr>
      <w:r>
        <w:rPr>
          <w:rFonts w:ascii="Arial" w:cs="Arial" w:eastAsia="Arial" w:hAnsi="Arial"/>
          <w:sz w:val="21"/>
          <w:szCs w:val="21"/>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or non-performance risk.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70"/>
        <w:spacing w:after="0" w:line="245" w:lineRule="auto"/>
        <w:rPr>
          <w:sz w:val="20"/>
          <w:szCs w:val="20"/>
          <w:color w:val="auto"/>
        </w:rPr>
      </w:pPr>
      <w:r>
        <w:rPr>
          <w:rFonts w:ascii="Arial" w:cs="Arial" w:eastAsia="Arial" w:hAnsi="Arial"/>
          <w:sz w:val="21"/>
          <w:szCs w:val="21"/>
          <w:color w:val="auto"/>
        </w:rPr>
        <w:t>SFAS No. 157 establishes a fair value hierarchy that prioritizes the inputs to valuation techniques used to measure fair value into three broad levels. The fair value hierarchy gives the highest priority to unadjusted, quoted market prices in active markets for identical assets or liabilities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Assessing the significance of a particular input to the fair value measurement in its entirety requires judgment, including the consideration of factors specific to the asset or liability. The hierarchy consists of the following three levels:</w:t>
      </w:r>
    </w:p>
    <w:p>
      <w:pPr>
        <w:spacing w:after="0" w:line="185" w:lineRule="exact"/>
        <w:rPr>
          <w:sz w:val="20"/>
          <w:szCs w:val="20"/>
          <w:color w:val="auto"/>
        </w:rPr>
      </w:pPr>
    </w:p>
    <w:p>
      <w:pPr>
        <w:ind w:right="180" w:firstLine="270"/>
        <w:spacing w:after="0" w:line="251" w:lineRule="auto"/>
        <w:rPr>
          <w:sz w:val="20"/>
          <w:szCs w:val="20"/>
          <w:color w:val="auto"/>
        </w:rPr>
      </w:pPr>
      <w:r>
        <w:rPr>
          <w:rFonts w:ascii="Arial" w:cs="Arial" w:eastAsia="Arial" w:hAnsi="Arial"/>
          <w:sz w:val="22"/>
          <w:szCs w:val="22"/>
          <w:u w:val="single" w:color="auto"/>
          <w:color w:val="auto"/>
        </w:rPr>
        <w:t>Level 1</w:t>
      </w:r>
      <w:r>
        <w:rPr>
          <w:rFonts w:ascii="Arial" w:cs="Arial" w:eastAsia="Arial" w:hAnsi="Arial"/>
          <w:sz w:val="22"/>
          <w:szCs w:val="22"/>
          <w:color w:val="auto"/>
        </w:rPr>
        <w:t xml:space="preserve"> - Inputs are prices in active markets that are accessible at the measurement date. The Company's Level 1 assets consist of available for sale equity securities that are reported in other assets.</w:t>
      </w:r>
    </w:p>
    <w:p>
      <w:pPr>
        <w:spacing w:after="0" w:line="173"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u w:val="single" w:color="auto"/>
          <w:color w:val="auto"/>
        </w:rPr>
        <w:t>Level 2</w:t>
      </w:r>
      <w:r>
        <w:rPr>
          <w:rFonts w:ascii="Arial" w:cs="Arial" w:eastAsia="Arial" w:hAnsi="Arial"/>
          <w:sz w:val="22"/>
          <w:szCs w:val="22"/>
          <w:color w:val="auto"/>
        </w:rPr>
        <w:t xml:space="preserve"> - Inputs other than quoted prices included within Level 1 are observable for the asset or liability, either directly or indirectly. The Company's Level 2 assets and liabilities consist of derivative instruments entered into to economically hedge the fair values of intercompany loans denominated in currencies other than their functional currency. They are reported in other current assets or accrued liabilities</w:t>
      </w:r>
    </w:p>
    <w:p>
      <w:pPr>
        <w:spacing w:after="0" w:line="185"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u w:val="single" w:color="auto"/>
          <w:color w:val="auto"/>
        </w:rPr>
        <w:t>Level 3</w:t>
      </w:r>
      <w:r>
        <w:rPr>
          <w:rFonts w:ascii="Arial" w:cs="Arial" w:eastAsia="Arial" w:hAnsi="Arial"/>
          <w:sz w:val="22"/>
          <w:szCs w:val="22"/>
          <w:color w:val="auto"/>
        </w:rPr>
        <w:t xml:space="preserve"> - Inputs are unobservable inputs for the asset or liability. The Company's Level 3 assets consist of a foreign bond fund that is reported in short-term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Assets and Liabilities Measured at Fair Value on a Recurring Basis</w:t>
      </w:r>
    </w:p>
    <w:p>
      <w:pPr>
        <w:spacing w:after="0" w:line="206" w:lineRule="exact"/>
        <w:rPr>
          <w:sz w:val="20"/>
          <w:szCs w:val="20"/>
          <w:color w:val="auto"/>
        </w:rPr>
      </w:pPr>
    </w:p>
    <w:p>
      <w:pPr>
        <w:ind w:right="280" w:firstLine="266"/>
        <w:spacing w:after="0" w:line="328" w:lineRule="auto"/>
        <w:rPr>
          <w:sz w:val="20"/>
          <w:szCs w:val="20"/>
          <w:color w:val="auto"/>
        </w:rPr>
      </w:pPr>
      <w:r>
        <w:rPr>
          <w:rFonts w:ascii="Arial" w:cs="Arial" w:eastAsia="Arial" w:hAnsi="Arial"/>
          <w:sz w:val="19"/>
          <w:szCs w:val="19"/>
          <w:color w:val="auto"/>
        </w:rPr>
        <w:t>The carrying value of cash equivalents and short-term investments, which are highly liquid investments with short maturities, approximates their fair value. The table below presents assets and liabilities measured at fair value on a recurring basis.</w:t>
      </w:r>
    </w:p>
    <w:p>
      <w:pPr>
        <w:spacing w:after="0" w:line="89" w:lineRule="exact"/>
        <w:rPr>
          <w:sz w:val="20"/>
          <w:szCs w:val="20"/>
          <w:color w:val="auto"/>
        </w:rPr>
      </w:pPr>
    </w:p>
    <w:tbl>
      <w:tblPr>
        <w:tblLayout w:type="fixed"/>
        <w:tblInd w:w="220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8"/>
              </w:rPr>
              <w:t>Quoted</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14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4"/>
              </w:rPr>
              <w:t>Prices</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14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in Active</w:t>
            </w:r>
          </w:p>
        </w:tc>
        <w:tc>
          <w:tcPr>
            <w:tcW w:w="20" w:type="dxa"/>
            <w:vAlign w:val="bottom"/>
          </w:tcPr>
          <w:p>
            <w:pPr>
              <w:spacing w:after="0"/>
              <w:rPr>
                <w:sz w:val="21"/>
                <w:szCs w:val="21"/>
                <w:color w:val="auto"/>
              </w:rPr>
            </w:pPr>
          </w:p>
        </w:tc>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Significant</w:t>
            </w: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14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Markets</w:t>
            </w:r>
          </w:p>
        </w:tc>
        <w:tc>
          <w:tcPr>
            <w:tcW w:w="20" w:type="dxa"/>
            <w:vAlign w:val="bottom"/>
          </w:tcPr>
          <w:p>
            <w:pPr>
              <w:spacing w:after="0"/>
              <w:rPr>
                <w:sz w:val="21"/>
                <w:szCs w:val="21"/>
                <w:color w:val="auto"/>
              </w:rPr>
            </w:pPr>
          </w:p>
        </w:tc>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w:t>
            </w:r>
          </w:p>
        </w:tc>
        <w:tc>
          <w:tcPr>
            <w:tcW w:w="20" w:type="dxa"/>
            <w:vAlign w:val="bottom"/>
          </w:tcPr>
          <w:p>
            <w:pPr>
              <w:spacing w:after="0"/>
              <w:rPr>
                <w:sz w:val="21"/>
                <w:szCs w:val="21"/>
                <w:color w:val="auto"/>
              </w:rPr>
            </w:pPr>
          </w:p>
        </w:tc>
        <w:tc>
          <w:tcPr>
            <w:tcW w:w="1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Significant</w:t>
            </w: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14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for Identical</w:t>
            </w:r>
          </w:p>
        </w:tc>
        <w:tc>
          <w:tcPr>
            <w:tcW w:w="20" w:type="dxa"/>
            <w:vAlign w:val="bottom"/>
          </w:tcPr>
          <w:p>
            <w:pPr>
              <w:spacing w:after="0"/>
              <w:rPr>
                <w:sz w:val="21"/>
                <w:szCs w:val="21"/>
                <w:color w:val="auto"/>
              </w:rPr>
            </w:pPr>
          </w:p>
        </w:tc>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Observable</w:t>
            </w:r>
          </w:p>
        </w:tc>
        <w:tc>
          <w:tcPr>
            <w:tcW w:w="20" w:type="dxa"/>
            <w:vAlign w:val="bottom"/>
          </w:tcPr>
          <w:p>
            <w:pPr>
              <w:spacing w:after="0"/>
              <w:rPr>
                <w:sz w:val="21"/>
                <w:szCs w:val="21"/>
                <w:color w:val="auto"/>
              </w:rPr>
            </w:pPr>
          </w:p>
        </w:tc>
        <w:tc>
          <w:tcPr>
            <w:tcW w:w="1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Unobservable</w:t>
            </w: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14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Instruments</w:t>
            </w:r>
          </w:p>
        </w:tc>
        <w:tc>
          <w:tcPr>
            <w:tcW w:w="20" w:type="dxa"/>
            <w:vAlign w:val="bottom"/>
          </w:tcPr>
          <w:p>
            <w:pPr>
              <w:spacing w:after="0"/>
              <w:rPr>
                <w:sz w:val="21"/>
                <w:szCs w:val="21"/>
                <w:color w:val="auto"/>
              </w:rPr>
            </w:pPr>
          </w:p>
        </w:tc>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Inputs</w:t>
            </w:r>
          </w:p>
        </w:tc>
        <w:tc>
          <w:tcPr>
            <w:tcW w:w="20" w:type="dxa"/>
            <w:vAlign w:val="bottom"/>
          </w:tcPr>
          <w:p>
            <w:pPr>
              <w:spacing w:after="0"/>
              <w:rPr>
                <w:sz w:val="21"/>
                <w:szCs w:val="21"/>
                <w:color w:val="auto"/>
              </w:rPr>
            </w:pPr>
          </w:p>
        </w:tc>
        <w:tc>
          <w:tcPr>
            <w:tcW w:w="1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Inputs</w:t>
            </w: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81"/>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(Level 1)</w:t>
            </w:r>
          </w:p>
        </w:tc>
        <w:tc>
          <w:tcPr>
            <w:tcW w:w="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1"/>
              </w:rPr>
              <w:t>(Level 2)</w:t>
            </w: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91"/>
              </w:rPr>
              <w:t>(Level 3)</w:t>
            </w:r>
          </w:p>
        </w:tc>
        <w:tc>
          <w:tcPr>
            <w:tcW w:w="2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Arial" w:cs="Arial" w:eastAsia="Arial" w:hAnsi="Arial"/>
                <w:sz w:val="22"/>
                <w:szCs w:val="22"/>
                <w:b w:val="1"/>
                <w:bCs w:val="1"/>
                <w:color w:val="auto"/>
              </w:rPr>
              <w:t>Total</w:t>
            </w:r>
          </w:p>
        </w:tc>
      </w:tr>
      <w:tr>
        <w:trPr>
          <w:trHeight w:val="98"/>
        </w:trPr>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bl>
    <w:p>
      <w:pPr>
        <w:sectPr>
          <w:pgSz w:w="11900" w:h="16857" w:orient="portrait"/>
          <w:cols w:equalWidth="0" w:num="1">
            <w:col w:w="11400"/>
          </w:cols>
          <w:pgMar w:left="240" w:top="118" w:right="25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Arial" w:cs="Arial" w:eastAsia="Arial" w:hAnsi="Arial"/>
                <w:sz w:val="22"/>
                <w:szCs w:val="22"/>
                <w:color w:val="auto"/>
              </w:rPr>
              <w:t>Available for sale</w:t>
            </w: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2200" w:type="dxa"/>
            <w:vAlign w:val="bottom"/>
          </w:tcPr>
          <w:p>
            <w:pPr>
              <w:ind w:left="60"/>
              <w:spacing w:after="0"/>
              <w:rPr>
                <w:sz w:val="20"/>
                <w:szCs w:val="20"/>
                <w:color w:val="auto"/>
              </w:rPr>
            </w:pPr>
            <w:r>
              <w:rPr>
                <w:rFonts w:ascii="Arial" w:cs="Arial" w:eastAsia="Arial" w:hAnsi="Arial"/>
                <w:sz w:val="22"/>
                <w:szCs w:val="22"/>
                <w:color w:val="auto"/>
              </w:rPr>
              <w:t>equity securities</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26</w:t>
            </w:r>
          </w:p>
        </w:tc>
        <w:tc>
          <w:tcPr>
            <w:tcW w:w="104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rPr>
              <w:t>$  26</w:t>
            </w:r>
          </w:p>
        </w:tc>
        <w:tc>
          <w:tcPr>
            <w:tcW w:w="20" w:type="dxa"/>
            <w:vAlign w:val="bottom"/>
          </w:tcPr>
          <w:p>
            <w:pPr>
              <w:spacing w:after="0"/>
              <w:rPr>
                <w:sz w:val="23"/>
                <w:szCs w:val="23"/>
                <w:color w:val="auto"/>
              </w:rPr>
            </w:pPr>
          </w:p>
        </w:tc>
      </w:tr>
      <w:tr>
        <w:trPr>
          <w:trHeight w:val="486"/>
        </w:trPr>
        <w:tc>
          <w:tcPr>
            <w:tcW w:w="2200" w:type="dxa"/>
            <w:vAlign w:val="bottom"/>
          </w:tcPr>
          <w:p>
            <w:pPr>
              <w:spacing w:after="0"/>
              <w:rPr>
                <w:sz w:val="20"/>
                <w:szCs w:val="20"/>
                <w:color w:val="auto"/>
              </w:rPr>
            </w:pPr>
            <w:r>
              <w:rPr>
                <w:rFonts w:ascii="Arial" w:cs="Arial" w:eastAsia="Arial" w:hAnsi="Arial"/>
                <w:sz w:val="22"/>
                <w:szCs w:val="22"/>
                <w:color w:val="auto"/>
              </w:rPr>
              <w:t>Foreign bond fund</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w w:val="81"/>
              </w:rPr>
              <w:t>144</w:t>
            </w: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rPr>
              <w:t>144</w:t>
            </w:r>
          </w:p>
        </w:tc>
        <w:tc>
          <w:tcPr>
            <w:tcW w:w="20" w:type="dxa"/>
            <w:vAlign w:val="bottom"/>
          </w:tcPr>
          <w:p>
            <w:pPr>
              <w:spacing w:after="0"/>
              <w:rPr>
                <w:sz w:val="24"/>
                <w:szCs w:val="24"/>
                <w:color w:val="auto"/>
              </w:rPr>
            </w:pPr>
          </w:p>
        </w:tc>
      </w:tr>
      <w:tr>
        <w:trPr>
          <w:trHeight w:val="486"/>
        </w:trPr>
        <w:tc>
          <w:tcPr>
            <w:tcW w:w="2200" w:type="dxa"/>
            <w:vAlign w:val="bottom"/>
          </w:tcPr>
          <w:p>
            <w:pPr>
              <w:spacing w:after="0"/>
              <w:rPr>
                <w:sz w:val="20"/>
                <w:szCs w:val="20"/>
                <w:color w:val="auto"/>
              </w:rPr>
            </w:pPr>
            <w:r>
              <w:rPr>
                <w:rFonts w:ascii="Arial" w:cs="Arial" w:eastAsia="Arial" w:hAnsi="Arial"/>
                <w:sz w:val="22"/>
                <w:szCs w:val="22"/>
                <w:color w:val="auto"/>
              </w:rPr>
              <w:t>Derivative assets</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3,268</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rPr>
              <w:t>3,268</w:t>
            </w:r>
          </w:p>
        </w:tc>
        <w:tc>
          <w:tcPr>
            <w:tcW w:w="20" w:type="dxa"/>
            <w:vAlign w:val="bottom"/>
          </w:tcPr>
          <w:p>
            <w:pPr>
              <w:spacing w:after="0"/>
              <w:rPr>
                <w:sz w:val="24"/>
                <w:szCs w:val="24"/>
                <w:color w:val="auto"/>
              </w:rPr>
            </w:pPr>
          </w:p>
        </w:tc>
      </w:tr>
      <w:tr>
        <w:trPr>
          <w:trHeight w:val="98"/>
        </w:trPr>
        <w:tc>
          <w:tcPr>
            <w:tcW w:w="2200" w:type="dxa"/>
            <w:vAlign w:val="bottom"/>
          </w:tcPr>
          <w:p>
            <w:pPr>
              <w:spacing w:after="0"/>
              <w:rPr>
                <w:sz w:val="8"/>
                <w:szCs w:val="8"/>
                <w:color w:val="auto"/>
              </w:rPr>
            </w:pPr>
          </w:p>
        </w:tc>
        <w:tc>
          <w:tcPr>
            <w:tcW w:w="1040" w:type="dxa"/>
            <w:vAlign w:val="bottom"/>
            <w:tcBorders>
              <w:bottom w:val="single" w:sz="8" w:color="336699"/>
            </w:tcBorders>
          </w:tcPr>
          <w:p>
            <w:pPr>
              <w:spacing w:after="0"/>
              <w:rPr>
                <w:sz w:val="8"/>
                <w:szCs w:val="8"/>
                <w:color w:val="auto"/>
              </w:rPr>
            </w:pPr>
          </w:p>
        </w:tc>
        <w:tc>
          <w:tcPr>
            <w:tcW w:w="3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bottom w:val="single" w:sz="8" w:color="336699"/>
            </w:tcBorders>
            <w:gridSpan w:val="2"/>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3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2200" w:type="dxa"/>
            <w:vAlign w:val="bottom"/>
          </w:tcPr>
          <w:p>
            <w:pPr>
              <w:spacing w:after="0"/>
              <w:rPr>
                <w:sz w:val="20"/>
                <w:szCs w:val="20"/>
                <w:color w:val="auto"/>
              </w:rPr>
            </w:pPr>
            <w:r>
              <w:rPr>
                <w:rFonts w:ascii="Arial" w:cs="Arial" w:eastAsia="Arial" w:hAnsi="Arial"/>
                <w:sz w:val="22"/>
                <w:szCs w:val="22"/>
                <w:color w:val="auto"/>
              </w:rPr>
              <w:t>Total assets</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26</w:t>
            </w: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$3,268</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w w:val="81"/>
              </w:rPr>
              <w:t>144</w:t>
            </w: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rPr>
              <w:t>$3,438</w:t>
            </w:r>
          </w:p>
        </w:tc>
        <w:tc>
          <w:tcPr>
            <w:tcW w:w="20" w:type="dxa"/>
            <w:vAlign w:val="bottom"/>
          </w:tcPr>
          <w:p>
            <w:pPr>
              <w:spacing w:after="0"/>
              <w:rPr>
                <w:sz w:val="24"/>
                <w:szCs w:val="24"/>
                <w:color w:val="auto"/>
              </w:rPr>
            </w:pPr>
          </w:p>
        </w:tc>
      </w:tr>
      <w:tr>
        <w:trPr>
          <w:trHeight w:val="122"/>
        </w:trPr>
        <w:tc>
          <w:tcPr>
            <w:tcW w:w="2200" w:type="dxa"/>
            <w:vAlign w:val="bottom"/>
          </w:tcPr>
          <w:p>
            <w:pPr>
              <w:spacing w:after="0"/>
              <w:rPr>
                <w:sz w:val="10"/>
                <w:szCs w:val="10"/>
                <w:color w:val="auto"/>
              </w:rPr>
            </w:pPr>
          </w:p>
        </w:tc>
        <w:tc>
          <w:tcPr>
            <w:tcW w:w="1040" w:type="dxa"/>
            <w:vAlign w:val="bottom"/>
            <w:tcBorders>
              <w:bottom w:val="single" w:sz="8" w:color="336699"/>
            </w:tcBorders>
          </w:tcPr>
          <w:p>
            <w:pPr>
              <w:spacing w:after="0"/>
              <w:rPr>
                <w:sz w:val="10"/>
                <w:szCs w:val="10"/>
                <w:color w:val="auto"/>
              </w:rPr>
            </w:pPr>
          </w:p>
        </w:tc>
        <w:tc>
          <w:tcPr>
            <w:tcW w:w="3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bottom w:val="single" w:sz="8" w:color="336699"/>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3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601"/>
        </w:trPr>
        <w:tc>
          <w:tcPr>
            <w:tcW w:w="2200" w:type="dxa"/>
            <w:vAlign w:val="bottom"/>
          </w:tcPr>
          <w:p>
            <w:pPr>
              <w:spacing w:after="0"/>
              <w:rPr>
                <w:sz w:val="20"/>
                <w:szCs w:val="20"/>
                <w:color w:val="auto"/>
              </w:rPr>
            </w:pPr>
            <w:r>
              <w:rPr>
                <w:rFonts w:ascii="Arial" w:cs="Arial" w:eastAsia="Arial" w:hAnsi="Arial"/>
                <w:sz w:val="22"/>
                <w:szCs w:val="22"/>
                <w:color w:val="auto"/>
              </w:rPr>
              <w:t>Derivative liabilities</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$1,185</w:t>
            </w:r>
          </w:p>
        </w:tc>
        <w:tc>
          <w:tcPr>
            <w:tcW w:w="1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rPr>
              <w:t>$1,185</w:t>
            </w:r>
          </w:p>
        </w:tc>
        <w:tc>
          <w:tcPr>
            <w:tcW w:w="20" w:type="dxa"/>
            <w:vAlign w:val="bottom"/>
          </w:tcPr>
          <w:p>
            <w:pPr>
              <w:spacing w:after="0"/>
              <w:rPr>
                <w:sz w:val="24"/>
                <w:szCs w:val="24"/>
                <w:color w:val="auto"/>
              </w:rPr>
            </w:pPr>
          </w:p>
        </w:tc>
      </w:tr>
      <w:tr>
        <w:trPr>
          <w:trHeight w:val="122"/>
        </w:trPr>
        <w:tc>
          <w:tcPr>
            <w:tcW w:w="2200" w:type="dxa"/>
            <w:vAlign w:val="bottom"/>
          </w:tcPr>
          <w:p>
            <w:pPr>
              <w:spacing w:after="0"/>
              <w:rPr>
                <w:sz w:val="10"/>
                <w:szCs w:val="10"/>
                <w:color w:val="auto"/>
              </w:rPr>
            </w:pPr>
          </w:p>
        </w:tc>
        <w:tc>
          <w:tcPr>
            <w:tcW w:w="1040" w:type="dxa"/>
            <w:vAlign w:val="bottom"/>
            <w:tcBorders>
              <w:bottom w:val="single" w:sz="8" w:color="336699"/>
            </w:tcBorders>
          </w:tcPr>
          <w:p>
            <w:pPr>
              <w:spacing w:after="0"/>
              <w:rPr>
                <w:sz w:val="10"/>
                <w:szCs w:val="10"/>
                <w:color w:val="auto"/>
              </w:rPr>
            </w:pPr>
          </w:p>
        </w:tc>
        <w:tc>
          <w:tcPr>
            <w:tcW w:w="3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bottom w:val="single" w:sz="8" w:color="336699"/>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3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601"/>
        </w:trPr>
        <w:tc>
          <w:tcPr>
            <w:tcW w:w="2200" w:type="dxa"/>
            <w:vAlign w:val="bottom"/>
          </w:tcPr>
          <w:p>
            <w:pPr>
              <w:spacing w:after="0"/>
              <w:rPr>
                <w:sz w:val="20"/>
                <w:szCs w:val="20"/>
                <w:color w:val="auto"/>
              </w:rPr>
            </w:pPr>
            <w:r>
              <w:rPr>
                <w:rFonts w:ascii="Arial" w:cs="Arial" w:eastAsia="Arial" w:hAnsi="Arial"/>
                <w:sz w:val="22"/>
                <w:szCs w:val="22"/>
                <w:color w:val="auto"/>
              </w:rPr>
              <w:t>Total liabilities</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$1,185</w:t>
            </w:r>
          </w:p>
        </w:tc>
        <w:tc>
          <w:tcPr>
            <w:tcW w:w="1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22"/>
                <w:szCs w:val="22"/>
                <w:color w:val="auto"/>
              </w:rPr>
              <w:t>$1,185</w:t>
            </w:r>
          </w:p>
        </w:tc>
        <w:tc>
          <w:tcPr>
            <w:tcW w:w="20" w:type="dxa"/>
            <w:vAlign w:val="bottom"/>
          </w:tcPr>
          <w:p>
            <w:pPr>
              <w:spacing w:after="0"/>
              <w:rPr>
                <w:sz w:val="24"/>
                <w:szCs w:val="24"/>
                <w:color w:val="auto"/>
              </w:rPr>
            </w:pPr>
          </w:p>
        </w:tc>
      </w:tr>
      <w:tr>
        <w:trPr>
          <w:trHeight w:val="122"/>
        </w:trPr>
        <w:tc>
          <w:tcPr>
            <w:tcW w:w="2200" w:type="dxa"/>
            <w:vAlign w:val="bottom"/>
          </w:tcPr>
          <w:p>
            <w:pPr>
              <w:spacing w:after="0"/>
              <w:rPr>
                <w:sz w:val="10"/>
                <w:szCs w:val="10"/>
                <w:color w:val="auto"/>
              </w:rPr>
            </w:pPr>
          </w:p>
        </w:tc>
        <w:tc>
          <w:tcPr>
            <w:tcW w:w="1040" w:type="dxa"/>
            <w:vAlign w:val="bottom"/>
            <w:tcBorders>
              <w:bottom w:val="single" w:sz="8" w:color="336699"/>
            </w:tcBorders>
          </w:tcPr>
          <w:p>
            <w:pPr>
              <w:spacing w:after="0"/>
              <w:rPr>
                <w:sz w:val="10"/>
                <w:szCs w:val="10"/>
                <w:color w:val="auto"/>
              </w:rPr>
            </w:pPr>
          </w:p>
        </w:tc>
        <w:tc>
          <w:tcPr>
            <w:tcW w:w="3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3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3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-972820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-972820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-972820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-972820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-972820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-972820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-972820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-972820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-501015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-501015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-501015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-501015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-501015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-501015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-501015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-501015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Assets and Liabilities Measured on a Non-recurring Basis</w:t>
      </w:r>
    </w:p>
    <w:p>
      <w:pPr>
        <w:spacing w:after="0" w:line="206" w:lineRule="exact"/>
        <w:rPr>
          <w:sz w:val="20"/>
          <w:szCs w:val="20"/>
          <w:color w:val="auto"/>
        </w:rPr>
      </w:pPr>
    </w:p>
    <w:p>
      <w:pPr>
        <w:ind w:right="80" w:firstLine="266"/>
        <w:spacing w:after="0" w:line="235" w:lineRule="auto"/>
        <w:rPr>
          <w:sz w:val="20"/>
          <w:szCs w:val="20"/>
          <w:color w:val="auto"/>
        </w:rPr>
      </w:pPr>
      <w:r>
        <w:rPr>
          <w:rFonts w:ascii="Arial" w:cs="Arial" w:eastAsia="Arial" w:hAnsi="Arial"/>
          <w:sz w:val="22"/>
          <w:szCs w:val="22"/>
          <w:color w:val="auto"/>
        </w:rPr>
        <w:t>The Company did not have any financial assets or liabilities that were measured on a non-recurring basis (at least annually) during the quarter ended February 1, 2009. The Company, as allowed under FSP FAS 157-2, has elected to defer the effective date for applying SFAS No. 157 to non-financial assets and liabilities that are recognized or disclosed at fair value on a nonrecurring basis. This deferral applies to such items as non-financial assets initially measured at fair value in a business combination and non-financial long-lived asset groups measured at fair value for an impairment assessment that were not measured at fair value in subsequent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CONTINGENCIES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As of February 1, 2009, the Company had commitments outstanding for capital expenditures of approximately $29 million.</w:t>
      </w:r>
    </w:p>
    <w:p>
      <w:pPr>
        <w:spacing w:after="0" w:line="241" w:lineRule="exact"/>
        <w:rPr>
          <w:sz w:val="20"/>
          <w:szCs w:val="20"/>
          <w:color w:val="auto"/>
        </w:rPr>
      </w:pPr>
    </w:p>
    <w:p>
      <w:pPr>
        <w:ind w:right="480" w:firstLine="266"/>
        <w:spacing w:after="0" w:line="274" w:lineRule="auto"/>
        <w:rPr>
          <w:sz w:val="20"/>
          <w:szCs w:val="20"/>
          <w:color w:val="auto"/>
        </w:rPr>
      </w:pPr>
      <w:r>
        <w:rPr>
          <w:rFonts w:ascii="Arial" w:cs="Arial" w:eastAsia="Arial" w:hAnsi="Arial"/>
          <w:sz w:val="21"/>
          <w:szCs w:val="21"/>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RECENT ACCOUNTING PRONOUNCEMENTS</w:t>
      </w:r>
    </w:p>
    <w:p>
      <w:pPr>
        <w:spacing w:after="0" w:line="212"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May 2008, the Financial Accounting Standards Board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if any, that the adoption of FSP No. APB 14-1 will have on its consolidated financial statements.</w:t>
      </w:r>
    </w:p>
    <w:p>
      <w:pPr>
        <w:spacing w:after="0" w:line="153" w:lineRule="exact"/>
        <w:rPr>
          <w:sz w:val="20"/>
          <w:szCs w:val="20"/>
          <w:color w:val="auto"/>
        </w:rPr>
      </w:pPr>
    </w:p>
    <w:p>
      <w:pPr>
        <w:ind w:right="260" w:firstLine="270"/>
        <w:spacing w:after="0" w:line="236" w:lineRule="auto"/>
        <w:rPr>
          <w:sz w:val="20"/>
          <w:szCs w:val="20"/>
          <w:color w:val="auto"/>
        </w:rPr>
      </w:pPr>
      <w:r>
        <w:rPr>
          <w:rFonts w:ascii="Arial" w:cs="Arial" w:eastAsia="Arial" w:hAnsi="Arial"/>
          <w:sz w:val="22"/>
          <w:szCs w:val="22"/>
          <w:color w:val="auto"/>
        </w:rPr>
        <w:t>In May 2008, the FASB issued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became effective in November 2008. Its adoption had no impact on the Company's consolidated financial statements.</w:t>
      </w:r>
    </w:p>
    <w:p>
      <w:pPr>
        <w:spacing w:after="0" w:line="188" w:lineRule="exact"/>
        <w:rPr>
          <w:sz w:val="20"/>
          <w:szCs w:val="20"/>
          <w:color w:val="auto"/>
        </w:rPr>
      </w:pPr>
    </w:p>
    <w:p>
      <w:pPr>
        <w:ind w:right="220" w:firstLine="270"/>
        <w:spacing w:after="0" w:line="277"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is effective for financial statements issued for fiscal years and interim periods beginning after November 15, 2008. The Company is evaluating the impact, if any, SFAS No. 161 will have on its consolidated financial statements.</w:t>
      </w:r>
    </w:p>
    <w:p>
      <w:pPr>
        <w:spacing w:after="0" w:line="153" w:lineRule="exact"/>
        <w:rPr>
          <w:sz w:val="20"/>
          <w:szCs w:val="20"/>
          <w:color w:val="auto"/>
        </w:rPr>
      </w:pPr>
    </w:p>
    <w:p>
      <w:pPr>
        <w:ind w:right="320" w:firstLine="324"/>
        <w:spacing w:after="0" w:line="297"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for the deconsolidation of a subsidiary. SFAS No. 160 is effective for financial statements</w:t>
      </w:r>
    </w:p>
    <w:p>
      <w:pPr>
        <w:sectPr>
          <w:pgSz w:w="11900" w:h="16838" w:orient="portrait"/>
          <w:cols w:equalWidth="0" w:num="1">
            <w:col w:w="11400"/>
          </w:cols>
          <w:pgMar w:left="240" w:top="594" w:right="259" w:bottom="0" w:gutter="0" w:footer="0" w:header="0"/>
        </w:sectPr>
      </w:pPr>
    </w:p>
    <w:bookmarkStart w:id="13" w:name="page14"/>
    <w:bookmarkEnd w:id="13"/>
    <w:p>
      <w:pPr>
        <w:spacing w:after="0" w:line="65" w:lineRule="exact"/>
        <w:rPr>
          <w:sz w:val="20"/>
          <w:szCs w:val="20"/>
          <w:color w:val="auto"/>
        </w:rPr>
      </w:pPr>
    </w:p>
    <w:p>
      <w:pPr>
        <w:ind w:right="660"/>
        <w:spacing w:after="0" w:line="274" w:lineRule="auto"/>
        <w:rPr>
          <w:sz w:val="20"/>
          <w:szCs w:val="20"/>
          <w:color w:val="auto"/>
        </w:rPr>
      </w:pPr>
      <w:r>
        <w:rPr>
          <w:rFonts w:ascii="Arial" w:cs="Arial" w:eastAsia="Arial" w:hAnsi="Arial"/>
          <w:sz w:val="21"/>
          <w:szCs w:val="21"/>
          <w:color w:val="auto"/>
        </w:rPr>
        <w:t>issued for fiscal years beginning after December 15, 2008, and interim statements within those fiscal years. The Company is currently evaluating the impact, if any, SFAS No. 160 will have on its consolidated financial statements.</w:t>
      </w:r>
    </w:p>
    <w:p>
      <w:pPr>
        <w:spacing w:after="0" w:line="151"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270"/>
        <w:spacing w:after="0" w:line="235"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and is effective as of the beginning of an entity's first fiscal year that begins after November 15, 2007. The Company adopted SFAS No. 159 effective November 3, 2008 but has chosen not to elect the fair value option for any items that were not previously required to be measured at fair value in accordance with accounting principles generally accepted in the United States.</w:t>
      </w:r>
    </w:p>
    <w:p>
      <w:pPr>
        <w:spacing w:after="0" w:line="188"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that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has deferred adoption of SFAS No. 157 for one year for nonfinancial assets and nonfinancial liabilities that are recognized or disclosed at fair value in the financial statements on a nonrecurring basis. The Company adopted SFAS No. 157 for its financial assets and liabilities and its non-financial assets and liabilities measured on a recurring basis in its first fiscal quarter of 2009.</w:t>
      </w:r>
    </w:p>
    <w:p>
      <w:pPr>
        <w:spacing w:after="0" w:line="39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MANAGEMENT'S DISCUSSION AND ANALYSIS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OF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280" w:firstLine="270"/>
        <w:spacing w:after="0" w:line="282" w:lineRule="auto"/>
        <w:rPr>
          <w:sz w:val="20"/>
          <w:szCs w:val="20"/>
          <w:color w:val="auto"/>
        </w:rPr>
      </w:pPr>
      <w:r>
        <w:rPr>
          <w:rFonts w:ascii="Arial" w:cs="Arial" w:eastAsia="Arial" w:hAnsi="Arial"/>
          <w:sz w:val="19"/>
          <w:szCs w:val="19"/>
          <w:color w:val="auto"/>
        </w:rPr>
        <w:t>Management's discussion and analysis (MD&amp;A) of the Company's financial condition, business results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2008 year), that may cause actual results to materially differ from these expectations.</w:t>
      </w:r>
    </w:p>
    <w:p>
      <w:pPr>
        <w:spacing w:after="0" w:line="148" w:lineRule="exact"/>
        <w:rPr>
          <w:sz w:val="20"/>
          <w:szCs w:val="20"/>
          <w:color w:val="auto"/>
        </w:rPr>
      </w:pPr>
    </w:p>
    <w:p>
      <w:pPr>
        <w:ind w:right="60" w:firstLine="266"/>
        <w:spacing w:after="0" w:line="271" w:lineRule="auto"/>
        <w:rPr>
          <w:sz w:val="20"/>
          <w:szCs w:val="20"/>
          <w:color w:val="auto"/>
        </w:rPr>
      </w:pPr>
      <w:r>
        <w:rPr>
          <w:rFonts w:ascii="Arial" w:cs="Arial" w:eastAsia="Arial" w:hAnsi="Arial"/>
          <w:sz w:val="19"/>
          <w:szCs w:val="19"/>
          <w:color w:val="auto"/>
        </w:rPr>
        <w:t>The Company sells substantially all of its photomasks to semiconductor designers and manufacturers, and manufacturers of flat panel displays (FPDs). Photomask technology is also being applied to the fabrication of other higher performance electronic products such as photonics, micro-electronic mechanical systems and certain nanotechnology applications.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integrated circuits (ICs), reductions in design complexity or other changes in the technology or methods of manufacturing semiconductors, or a slowdown in the introduction of new semiconductor or FPD designs could reduce demand for photomasks. Such a reduction in demand could occur even if demand for semiconductors and FPDs increases. Advances in semiconductor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65" w:lineRule="exact"/>
        <w:rPr>
          <w:sz w:val="20"/>
          <w:szCs w:val="20"/>
          <w:color w:val="auto"/>
        </w:rPr>
      </w:pPr>
    </w:p>
    <w:p>
      <w:pPr>
        <w:ind w:right="160" w:firstLine="266"/>
        <w:spacing w:after="0" w:line="297" w:lineRule="auto"/>
        <w:rPr>
          <w:sz w:val="20"/>
          <w:szCs w:val="20"/>
          <w:color w:val="auto"/>
        </w:rPr>
      </w:pPr>
      <w:r>
        <w:rPr>
          <w:rFonts w:ascii="Arial" w:cs="Arial" w:eastAsia="Arial" w:hAnsi="Arial"/>
          <w:sz w:val="19"/>
          <w:szCs w:val="19"/>
          <w:color w:val="auto"/>
        </w:rPr>
        <w:t>The semiconductor industry is currently experiencing a severe downturn due to a significant oversupply of products, which has been further negatively impacted by worsening global economic conditions. These conditions have resulted in reduced average selling prices (ASPs) and gross margins for the Company and others in the semiconductor industry. In response to these market</w:t>
      </w:r>
    </w:p>
    <w:p>
      <w:pPr>
        <w:sectPr>
          <w:pgSz w:w="11900" w:h="16904" w:orient="portrait"/>
          <w:cols w:equalWidth="0" w:num="1">
            <w:col w:w="11420"/>
          </w:cols>
          <w:pgMar w:left="240" w:top="118" w:right="239" w:bottom="0" w:gutter="0" w:footer="0" w:header="0"/>
        </w:sectPr>
      </w:pPr>
    </w:p>
    <w:bookmarkStart w:id="14" w:name="page15"/>
    <w:bookmarkEnd w:id="14"/>
    <w:p>
      <w:pPr>
        <w:ind w:right="100"/>
        <w:spacing w:after="0" w:line="251" w:lineRule="auto"/>
        <w:rPr>
          <w:sz w:val="20"/>
          <w:szCs w:val="20"/>
          <w:color w:val="auto"/>
        </w:rPr>
      </w:pPr>
      <w:r>
        <w:rPr>
          <w:rFonts w:ascii="Arial" w:cs="Arial" w:eastAsia="Arial" w:hAnsi="Arial"/>
          <w:sz w:val="22"/>
          <w:szCs w:val="22"/>
          <w:color w:val="auto"/>
        </w:rPr>
        <w:t>conditions, in January 2009 the Company ceased production of photomasks at its Manchester, U.K. facility. The Company has also undertaken additional cost saving measures to increase its competitiveness, including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reductions in executive and employee salaries, continued hiring freezes, and reductions of other discretionary costs such as outside services, travel and overtime. Continued unfavorable changes in global economic conditions, including Asia, the U.S. or other geographic areas in which the Company does business, may have the effect of reducing the demand for photomasks and further reducing the Company's ASPs and gross margin. For example, continued unfavorable changes in global economic conditions may lead to a decrease in demand for end products whose manufacturing process involves the use of photomasks, which may result in a reduction in new product design and development by semiconductor manufacturers, which could adversely affect the Company's operations and cash flows.</w:t>
      </w:r>
    </w:p>
    <w:p>
      <w:pPr>
        <w:spacing w:after="0" w:line="178" w:lineRule="exact"/>
        <w:rPr>
          <w:sz w:val="20"/>
          <w:szCs w:val="20"/>
          <w:color w:val="auto"/>
        </w:rPr>
      </w:pPr>
    </w:p>
    <w:p>
      <w:pPr>
        <w:ind w:firstLine="266"/>
        <w:spacing w:after="0" w:line="297" w:lineRule="auto"/>
        <w:rPr>
          <w:sz w:val="20"/>
          <w:szCs w:val="20"/>
          <w:color w:val="auto"/>
        </w:rPr>
      </w:pPr>
      <w:r>
        <w:rPr>
          <w:rFonts w:ascii="Arial" w:cs="Arial" w:eastAsia="Arial" w:hAnsi="Arial"/>
          <w:sz w:val="19"/>
          <w:szCs w:val="19"/>
          <w:color w:val="auto"/>
        </w:rPr>
        <w:t>The effects of the worsening global economy and the tightening credit market are also making it increasingly difficult for the Company and others in the semiconductor industry to obtain external sources of financing to fund their operations. The Company is further pursuing alternatives to increase its capital, delaying capital expenditures and implementing further cost-cutting initiatives.</w:t>
      </w:r>
    </w:p>
    <w:p>
      <w:pPr>
        <w:spacing w:after="0" w:line="134" w:lineRule="exact"/>
        <w:rPr>
          <w:sz w:val="20"/>
          <w:szCs w:val="20"/>
          <w:color w:val="auto"/>
        </w:rPr>
      </w:pPr>
    </w:p>
    <w:p>
      <w:pPr>
        <w:ind w:right="60" w:firstLine="266"/>
        <w:spacing w:after="0" w:line="277" w:lineRule="auto"/>
        <w:rPr>
          <w:sz w:val="20"/>
          <w:szCs w:val="20"/>
          <w:color w:val="auto"/>
        </w:rPr>
      </w:pPr>
      <w:r>
        <w:rPr>
          <w:rFonts w:ascii="Arial" w:cs="Arial" w:eastAsia="Arial" w:hAnsi="Arial"/>
          <w:sz w:val="19"/>
          <w:szCs w:val="19"/>
          <w:color w:val="auto"/>
        </w:rPr>
        <w:t>The Company's ability to comply with the financial and other covenants in its debt agreements may be affected by worsening economic or business conditions, or other events. Existing covenant restrictions limit the Company's ability to obtain additional debt financing and should the Company be unable to meet one or more of these covenants the bank may require the Company to repay its outstanding balances prior to the expiration date of the agreements. The Company cannot assure that additional sources of financing would be available to the Company to pay off the Company's long-term borrowings to avoid default. Should the Company default on any of its long-term borrowings, a cross default would occur on its other long-term borrowings, unless amended or waived. As of February 1, 2009, the Company was in compliance with its debt covenants.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Changes in 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February 1, 2009 versus January 27, 2008</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represents selected operating information expressed as a percentage of net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3"/>
          </w:tcPr>
          <w:p>
            <w:pPr>
              <w:jc w:val="right"/>
              <w:ind w:right="180"/>
              <w:spacing w:after="0"/>
              <w:rPr>
                <w:sz w:val="20"/>
                <w:szCs w:val="20"/>
                <w:color w:val="auto"/>
              </w:rPr>
            </w:pPr>
            <w:r>
              <w:rPr>
                <w:rFonts w:ascii="Arial" w:cs="Arial" w:eastAsia="Arial" w:hAnsi="Arial"/>
                <w:sz w:val="22"/>
                <w:szCs w:val="22"/>
                <w:b w:val="1"/>
                <w:bCs w:val="1"/>
                <w:color w:val="auto"/>
                <w:w w:val="96"/>
              </w:rPr>
              <w:t>Three Months Ended</w:t>
            </w: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3"/>
          </w:tcPr>
          <w:p>
            <w:pPr>
              <w:jc w:val="right"/>
              <w:ind w:right="20"/>
              <w:spacing w:after="0"/>
              <w:rPr>
                <w:sz w:val="20"/>
                <w:szCs w:val="20"/>
                <w:color w:val="auto"/>
              </w:rPr>
            </w:pPr>
            <w:r>
              <w:rPr>
                <w:rFonts w:ascii="Arial" w:cs="Arial" w:eastAsia="Arial" w:hAnsi="Arial"/>
                <w:sz w:val="22"/>
                <w:szCs w:val="22"/>
                <w:b w:val="1"/>
                <w:bCs w:val="1"/>
                <w:color w:val="auto"/>
                <w:w w:val="91"/>
              </w:rPr>
              <w:t>February 1, January 27,</w:t>
            </w:r>
          </w:p>
        </w:tc>
        <w:tc>
          <w:tcPr>
            <w:tcW w:w="0" w:type="dxa"/>
            <w:vAlign w:val="bottom"/>
          </w:tcPr>
          <w:p>
            <w:pPr>
              <w:spacing w:after="0"/>
              <w:rPr>
                <w:sz w:val="1"/>
                <w:szCs w:val="1"/>
                <w:color w:val="auto"/>
              </w:rPr>
            </w:pPr>
          </w:p>
        </w:tc>
      </w:tr>
      <w:tr>
        <w:trPr>
          <w:trHeight w:val="281"/>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20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4280" w:type="dxa"/>
            <w:vAlign w:val="bottom"/>
            <w:gridSpan w:val="2"/>
          </w:tcPr>
          <w:p>
            <w:pPr>
              <w:spacing w:after="0"/>
              <w:rPr>
                <w:sz w:val="20"/>
                <w:szCs w:val="20"/>
                <w:color w:val="auto"/>
              </w:rPr>
            </w:pPr>
            <w:r>
              <w:rPr>
                <w:rFonts w:ascii="Arial" w:cs="Arial" w:eastAsia="Arial" w:hAnsi="Arial"/>
                <w:sz w:val="22"/>
                <w:szCs w:val="22"/>
                <w:color w:val="auto"/>
              </w:rPr>
              <w:t>Net sales</w:t>
            </w:r>
          </w:p>
        </w:tc>
        <w:tc>
          <w:tcPr>
            <w:tcW w:w="1100" w:type="dxa"/>
            <w:vAlign w:val="bottom"/>
          </w:tcPr>
          <w:p>
            <w:pPr>
              <w:jc w:val="right"/>
              <w:spacing w:after="0"/>
              <w:rPr>
                <w:sz w:val="20"/>
                <w:szCs w:val="20"/>
                <w:color w:val="auto"/>
              </w:rPr>
            </w:pPr>
            <w:r>
              <w:rPr>
                <w:rFonts w:ascii="Arial" w:cs="Arial" w:eastAsia="Arial" w:hAnsi="Arial"/>
                <w:sz w:val="22"/>
                <w:szCs w:val="22"/>
                <w:color w:val="auto"/>
              </w:rPr>
              <w:t>100.0%</w:t>
            </w:r>
          </w:p>
        </w:tc>
        <w:tc>
          <w:tcPr>
            <w:tcW w:w="1200" w:type="dxa"/>
            <w:vAlign w:val="bottom"/>
            <w:gridSpan w:val="2"/>
          </w:tcPr>
          <w:p>
            <w:pPr>
              <w:jc w:val="right"/>
              <w:ind w:right="80"/>
              <w:spacing w:after="0"/>
              <w:rPr>
                <w:sz w:val="20"/>
                <w:szCs w:val="20"/>
                <w:color w:val="auto"/>
              </w:rPr>
            </w:pPr>
            <w:r>
              <w:rPr>
                <w:rFonts w:ascii="Arial" w:cs="Arial" w:eastAsia="Arial" w:hAnsi="Arial"/>
                <w:sz w:val="22"/>
                <w:szCs w:val="22"/>
                <w:color w:val="auto"/>
              </w:rPr>
              <w:t>100.0%</w:t>
            </w:r>
          </w:p>
        </w:tc>
        <w:tc>
          <w:tcPr>
            <w:tcW w:w="0" w:type="dxa"/>
            <w:vAlign w:val="bottom"/>
          </w:tcPr>
          <w:p>
            <w:pPr>
              <w:spacing w:after="0"/>
              <w:rPr>
                <w:sz w:val="1"/>
                <w:szCs w:val="1"/>
                <w:color w:val="auto"/>
              </w:rPr>
            </w:pPr>
          </w:p>
        </w:tc>
      </w:tr>
      <w:tr>
        <w:trPr>
          <w:trHeight w:val="275"/>
        </w:trPr>
        <w:tc>
          <w:tcPr>
            <w:tcW w:w="4280" w:type="dxa"/>
            <w:vAlign w:val="bottom"/>
            <w:gridSpan w:val="2"/>
          </w:tcPr>
          <w:p>
            <w:pPr>
              <w:spacing w:after="0"/>
              <w:rPr>
                <w:sz w:val="20"/>
                <w:szCs w:val="20"/>
                <w:color w:val="auto"/>
              </w:rPr>
            </w:pPr>
            <w:r>
              <w:rPr>
                <w:rFonts w:ascii="Arial" w:cs="Arial" w:eastAsia="Arial" w:hAnsi="Arial"/>
                <w:sz w:val="22"/>
                <w:szCs w:val="22"/>
                <w:color w:val="auto"/>
              </w:rPr>
              <w:t>Cost of sales</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(88.0)</w:t>
            </w:r>
          </w:p>
        </w:tc>
        <w:tc>
          <w:tcPr>
            <w:tcW w:w="1200" w:type="dxa"/>
            <w:vAlign w:val="bottom"/>
            <w:gridSpan w:val="2"/>
          </w:tcPr>
          <w:p>
            <w:pPr>
              <w:jc w:val="right"/>
              <w:ind w:right="180"/>
              <w:spacing w:after="0"/>
              <w:rPr>
                <w:sz w:val="20"/>
                <w:szCs w:val="20"/>
                <w:color w:val="auto"/>
              </w:rPr>
            </w:pPr>
            <w:r>
              <w:rPr>
                <w:rFonts w:ascii="Arial" w:cs="Arial" w:eastAsia="Arial" w:hAnsi="Arial"/>
                <w:sz w:val="22"/>
                <w:szCs w:val="22"/>
                <w:color w:val="auto"/>
              </w:rPr>
              <w:t>(80.0)</w:t>
            </w: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280" w:type="dxa"/>
            <w:vAlign w:val="bottom"/>
            <w:gridSpan w:val="2"/>
          </w:tcPr>
          <w:p>
            <w:pPr>
              <w:spacing w:after="0"/>
              <w:rPr>
                <w:sz w:val="20"/>
                <w:szCs w:val="20"/>
                <w:color w:val="auto"/>
              </w:rPr>
            </w:pPr>
            <w:r>
              <w:rPr>
                <w:rFonts w:ascii="Arial" w:cs="Arial" w:eastAsia="Arial" w:hAnsi="Arial"/>
                <w:sz w:val="22"/>
                <w:szCs w:val="22"/>
                <w:color w:val="auto"/>
              </w:rPr>
              <w:t>Gross margin</w:t>
            </w:r>
          </w:p>
        </w:tc>
        <w:tc>
          <w:tcPr>
            <w:tcW w:w="1100" w:type="dxa"/>
            <w:vAlign w:val="bottom"/>
          </w:tcPr>
          <w:p>
            <w:pPr>
              <w:jc w:val="right"/>
              <w:ind w:right="132"/>
              <w:spacing w:after="0"/>
              <w:rPr>
                <w:sz w:val="20"/>
                <w:szCs w:val="20"/>
                <w:color w:val="auto"/>
              </w:rPr>
            </w:pPr>
            <w:r>
              <w:rPr>
                <w:rFonts w:ascii="Arial" w:cs="Arial" w:eastAsia="Arial" w:hAnsi="Arial"/>
                <w:sz w:val="22"/>
                <w:szCs w:val="22"/>
                <w:color w:val="auto"/>
              </w:rPr>
              <w:t>12.0</w:t>
            </w:r>
          </w:p>
        </w:tc>
        <w:tc>
          <w:tcPr>
            <w:tcW w:w="1200" w:type="dxa"/>
            <w:vAlign w:val="bottom"/>
            <w:gridSpan w:val="2"/>
          </w:tcPr>
          <w:p>
            <w:pPr>
              <w:jc w:val="right"/>
              <w:ind w:right="240"/>
              <w:spacing w:after="0"/>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line="243" w:lineRule="exact"/>
              <w:rPr>
                <w:sz w:val="20"/>
                <w:szCs w:val="20"/>
                <w:color w:val="auto"/>
              </w:rPr>
            </w:pPr>
            <w:r>
              <w:rPr>
                <w:rFonts w:ascii="Arial" w:cs="Arial" w:eastAsia="Arial" w:hAnsi="Arial"/>
                <w:sz w:val="22"/>
                <w:szCs w:val="22"/>
                <w:color w:val="auto"/>
                <w:w w:val="97"/>
              </w:rPr>
              <w:t>Selling, general and administrative expenses</w:t>
            </w:r>
          </w:p>
        </w:tc>
        <w:tc>
          <w:tcPr>
            <w:tcW w:w="1100" w:type="dxa"/>
            <w:vAlign w:val="bottom"/>
          </w:tcPr>
          <w:p>
            <w:pPr>
              <w:jc w:val="right"/>
              <w:ind w:right="72"/>
              <w:spacing w:after="0" w:line="243" w:lineRule="exact"/>
              <w:rPr>
                <w:sz w:val="20"/>
                <w:szCs w:val="20"/>
                <w:color w:val="auto"/>
              </w:rPr>
            </w:pPr>
            <w:r>
              <w:rPr>
                <w:rFonts w:ascii="Arial" w:cs="Arial" w:eastAsia="Arial" w:hAnsi="Arial"/>
                <w:sz w:val="22"/>
                <w:szCs w:val="22"/>
                <w:color w:val="auto"/>
              </w:rPr>
              <w:t>(11.8)</w:t>
            </w:r>
          </w:p>
        </w:tc>
        <w:tc>
          <w:tcPr>
            <w:tcW w:w="12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(15.8)</w:t>
            </w: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line="243" w:lineRule="exact"/>
              <w:rPr>
                <w:sz w:val="20"/>
                <w:szCs w:val="20"/>
                <w:color w:val="auto"/>
              </w:rPr>
            </w:pPr>
            <w:r>
              <w:rPr>
                <w:rFonts w:ascii="Arial" w:cs="Arial" w:eastAsia="Arial" w:hAnsi="Arial"/>
                <w:sz w:val="22"/>
                <w:szCs w:val="22"/>
                <w:color w:val="auto"/>
              </w:rPr>
              <w:t>Research and development expenses</w:t>
            </w:r>
          </w:p>
        </w:tc>
        <w:tc>
          <w:tcPr>
            <w:tcW w:w="1100" w:type="dxa"/>
            <w:vAlign w:val="bottom"/>
          </w:tcPr>
          <w:p>
            <w:pPr>
              <w:jc w:val="right"/>
              <w:ind w:right="72"/>
              <w:spacing w:after="0" w:line="243" w:lineRule="exact"/>
              <w:rPr>
                <w:sz w:val="20"/>
                <w:szCs w:val="20"/>
                <w:color w:val="auto"/>
              </w:rPr>
            </w:pPr>
            <w:r>
              <w:rPr>
                <w:rFonts w:ascii="Arial" w:cs="Arial" w:eastAsia="Arial" w:hAnsi="Arial"/>
                <w:sz w:val="22"/>
                <w:szCs w:val="22"/>
                <w:color w:val="auto"/>
              </w:rPr>
              <w:t>(4.1)</w:t>
            </w:r>
          </w:p>
        </w:tc>
        <w:tc>
          <w:tcPr>
            <w:tcW w:w="12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75"/>
        </w:trPr>
        <w:tc>
          <w:tcPr>
            <w:tcW w:w="4280" w:type="dxa"/>
            <w:vAlign w:val="bottom"/>
            <w:gridSpan w:val="2"/>
          </w:tcPr>
          <w:p>
            <w:pPr>
              <w:spacing w:after="0"/>
              <w:rPr>
                <w:sz w:val="20"/>
                <w:szCs w:val="20"/>
                <w:color w:val="auto"/>
              </w:rPr>
            </w:pPr>
            <w:r>
              <w:rPr>
                <w:rFonts w:ascii="Arial" w:cs="Arial" w:eastAsia="Arial" w:hAnsi="Arial"/>
                <w:sz w:val="22"/>
                <w:szCs w:val="22"/>
                <w:color w:val="auto"/>
                <w:w w:val="90"/>
              </w:rPr>
              <w:t>Consolidation, restructuring and related charges</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(1.9)</w:t>
            </w:r>
          </w:p>
        </w:tc>
        <w:tc>
          <w:tcPr>
            <w:tcW w:w="120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280" w:type="dxa"/>
            <w:vAlign w:val="bottom"/>
            <w:gridSpan w:val="2"/>
          </w:tcPr>
          <w:p>
            <w:pPr>
              <w:spacing w:after="0"/>
              <w:rPr>
                <w:sz w:val="20"/>
                <w:szCs w:val="20"/>
                <w:color w:val="auto"/>
              </w:rPr>
            </w:pPr>
            <w:r>
              <w:rPr>
                <w:rFonts w:ascii="Arial" w:cs="Arial" w:eastAsia="Arial" w:hAnsi="Arial"/>
                <w:sz w:val="22"/>
                <w:szCs w:val="22"/>
                <w:color w:val="auto"/>
              </w:rPr>
              <w:t>Operating income (loss)</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(5.8)</w:t>
            </w:r>
          </w:p>
        </w:tc>
        <w:tc>
          <w:tcPr>
            <w:tcW w:w="1200" w:type="dxa"/>
            <w:vAlign w:val="bottom"/>
            <w:gridSpan w:val="2"/>
          </w:tcPr>
          <w:p>
            <w:pPr>
              <w:jc w:val="right"/>
              <w:ind w:right="240"/>
              <w:spacing w:after="0"/>
              <w:rPr>
                <w:sz w:val="20"/>
                <w:szCs w:val="20"/>
                <w:color w:val="auto"/>
              </w:rPr>
            </w:pPr>
            <w:r>
              <w:rPr>
                <w:rFonts w:ascii="Arial" w:cs="Arial" w:eastAsia="Arial" w:hAnsi="Arial"/>
                <w:sz w:val="22"/>
                <w:szCs w:val="22"/>
                <w:color w:val="auto"/>
              </w:rPr>
              <w:t>0.1</w:t>
            </w:r>
          </w:p>
        </w:tc>
        <w:tc>
          <w:tcPr>
            <w:tcW w:w="0" w:type="dxa"/>
            <w:vAlign w:val="bottom"/>
          </w:tcPr>
          <w:p>
            <w:pPr>
              <w:spacing w:after="0"/>
              <w:rPr>
                <w:sz w:val="1"/>
                <w:szCs w:val="1"/>
                <w:color w:val="auto"/>
              </w:rPr>
            </w:pPr>
          </w:p>
        </w:tc>
      </w:tr>
      <w:tr>
        <w:trPr>
          <w:trHeight w:val="275"/>
        </w:trPr>
        <w:tc>
          <w:tcPr>
            <w:tcW w:w="4280" w:type="dxa"/>
            <w:vAlign w:val="bottom"/>
            <w:gridSpan w:val="2"/>
          </w:tcPr>
          <w:p>
            <w:pPr>
              <w:spacing w:after="0"/>
              <w:rPr>
                <w:sz w:val="20"/>
                <w:szCs w:val="20"/>
                <w:color w:val="auto"/>
              </w:rPr>
            </w:pPr>
            <w:r>
              <w:rPr>
                <w:rFonts w:ascii="Arial" w:cs="Arial" w:eastAsia="Arial" w:hAnsi="Arial"/>
                <w:sz w:val="22"/>
                <w:szCs w:val="22"/>
                <w:color w:val="auto"/>
              </w:rPr>
              <w:t>Other expense, net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1200" w:type="dxa"/>
            <w:vAlign w:val="bottom"/>
            <w:gridSpan w:val="2"/>
          </w:tcPr>
          <w:p>
            <w:pPr>
              <w:jc w:val="right"/>
              <w:ind w:right="180"/>
              <w:spacing w:after="0"/>
              <w:rPr>
                <w:sz w:val="20"/>
                <w:szCs w:val="20"/>
                <w:color w:val="auto"/>
              </w:rPr>
            </w:pPr>
            <w:r>
              <w:rPr>
                <w:rFonts w:ascii="Arial" w:cs="Arial" w:eastAsia="Arial" w:hAnsi="Arial"/>
                <w:sz w:val="22"/>
                <w:szCs w:val="22"/>
                <w:color w:val="auto"/>
              </w:rPr>
              <w:t>(0.6)</w:t>
            </w:r>
          </w:p>
        </w:tc>
        <w:tc>
          <w:tcPr>
            <w:tcW w:w="0" w:type="dxa"/>
            <w:vAlign w:val="bottom"/>
          </w:tcPr>
          <w:p>
            <w:pPr>
              <w:spacing w:after="0"/>
              <w:rPr>
                <w:sz w:val="1"/>
                <w:szCs w:val="1"/>
                <w:color w:val="auto"/>
              </w:rPr>
            </w:pPr>
          </w:p>
        </w:tc>
      </w:tr>
      <w:tr>
        <w:trPr>
          <w:trHeight w:val="98"/>
        </w:trPr>
        <w:tc>
          <w:tcPr>
            <w:tcW w:w="4280" w:type="dxa"/>
            <w:vAlign w:val="bottom"/>
            <w:gridSpan w:val="2"/>
            <w:vMerge w:val="restart"/>
          </w:tcPr>
          <w:p>
            <w:pPr>
              <w:spacing w:after="0"/>
              <w:rPr>
                <w:sz w:val="20"/>
                <w:szCs w:val="20"/>
                <w:color w:val="auto"/>
              </w:rPr>
            </w:pPr>
            <w:r>
              <w:rPr>
                <w:rFonts w:ascii="Arial" w:cs="Arial" w:eastAsia="Arial" w:hAnsi="Arial"/>
                <w:sz w:val="22"/>
                <w:szCs w:val="22"/>
                <w:color w:val="auto"/>
              </w:rPr>
              <w:t>Loss before income tax provision and</w:t>
            </w:r>
          </w:p>
        </w:tc>
        <w:tc>
          <w:tcPr>
            <w:tcW w:w="11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2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minority interest</w:t>
            </w:r>
          </w:p>
        </w:tc>
        <w:tc>
          <w:tcPr>
            <w:tcW w:w="1100" w:type="dxa"/>
            <w:vAlign w:val="bottom"/>
          </w:tcPr>
          <w:p>
            <w:pPr>
              <w:jc w:val="right"/>
              <w:ind w:right="72"/>
              <w:spacing w:after="0" w:line="243" w:lineRule="exact"/>
              <w:rPr>
                <w:sz w:val="20"/>
                <w:szCs w:val="20"/>
                <w:color w:val="auto"/>
              </w:rPr>
            </w:pPr>
            <w:r>
              <w:rPr>
                <w:rFonts w:ascii="Arial" w:cs="Arial" w:eastAsia="Arial" w:hAnsi="Arial"/>
                <w:sz w:val="22"/>
                <w:szCs w:val="22"/>
                <w:color w:val="auto"/>
              </w:rPr>
              <w:t>(9.9)</w:t>
            </w:r>
          </w:p>
        </w:tc>
        <w:tc>
          <w:tcPr>
            <w:tcW w:w="12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(0.5)</w:t>
            </w: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line="243" w:lineRule="exact"/>
              <w:rPr>
                <w:sz w:val="20"/>
                <w:szCs w:val="20"/>
                <w:color w:val="auto"/>
              </w:rPr>
            </w:pPr>
            <w:r>
              <w:rPr>
                <w:rFonts w:ascii="Arial" w:cs="Arial" w:eastAsia="Arial" w:hAnsi="Arial"/>
                <w:sz w:val="22"/>
                <w:szCs w:val="22"/>
                <w:color w:val="auto"/>
              </w:rPr>
              <w:t>Income tax provision</w:t>
            </w:r>
          </w:p>
        </w:tc>
        <w:tc>
          <w:tcPr>
            <w:tcW w:w="1100" w:type="dxa"/>
            <w:vAlign w:val="bottom"/>
          </w:tcPr>
          <w:p>
            <w:pPr>
              <w:jc w:val="right"/>
              <w:ind w:right="72"/>
              <w:spacing w:after="0" w:line="243" w:lineRule="exact"/>
              <w:rPr>
                <w:sz w:val="20"/>
                <w:szCs w:val="20"/>
                <w:color w:val="auto"/>
              </w:rPr>
            </w:pPr>
            <w:r>
              <w:rPr>
                <w:rFonts w:ascii="Arial" w:cs="Arial" w:eastAsia="Arial" w:hAnsi="Arial"/>
                <w:sz w:val="22"/>
                <w:szCs w:val="22"/>
                <w:color w:val="auto"/>
              </w:rPr>
              <w:t>(1.4)</w:t>
            </w:r>
          </w:p>
        </w:tc>
        <w:tc>
          <w:tcPr>
            <w:tcW w:w="12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line="243" w:lineRule="exact"/>
              <w:rPr>
                <w:sz w:val="20"/>
                <w:szCs w:val="20"/>
                <w:color w:val="auto"/>
              </w:rPr>
            </w:pPr>
            <w:r>
              <w:rPr>
                <w:rFonts w:ascii="Arial" w:cs="Arial" w:eastAsia="Arial" w:hAnsi="Arial"/>
                <w:sz w:val="22"/>
                <w:szCs w:val="22"/>
                <w:color w:val="auto"/>
              </w:rPr>
              <w:t>Minority interest in income of</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280" w:type="dxa"/>
            <w:vAlign w:val="bottom"/>
            <w:gridSpan w:val="2"/>
          </w:tcPr>
          <w:p>
            <w:pPr>
              <w:ind w:left="60"/>
              <w:spacing w:after="0"/>
              <w:rPr>
                <w:sz w:val="20"/>
                <w:szCs w:val="20"/>
                <w:color w:val="auto"/>
              </w:rPr>
            </w:pPr>
            <w:r>
              <w:rPr>
                <w:rFonts w:ascii="Arial" w:cs="Arial" w:eastAsia="Arial" w:hAnsi="Arial"/>
                <w:sz w:val="22"/>
                <w:szCs w:val="22"/>
                <w:color w:val="auto"/>
              </w:rPr>
              <w:t>consolidated subsidiaries</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(0.3)</w:t>
            </w:r>
          </w:p>
        </w:tc>
        <w:tc>
          <w:tcPr>
            <w:tcW w:w="1200" w:type="dxa"/>
            <w:vAlign w:val="bottom"/>
            <w:gridSpan w:val="2"/>
          </w:tcPr>
          <w:p>
            <w:pPr>
              <w:jc w:val="right"/>
              <w:ind w:right="180"/>
              <w:spacing w:after="0"/>
              <w:rPr>
                <w:sz w:val="20"/>
                <w:szCs w:val="20"/>
                <w:color w:val="auto"/>
              </w:rPr>
            </w:pPr>
            <w:r>
              <w:rPr>
                <w:rFonts w:ascii="Arial" w:cs="Arial" w:eastAsia="Arial" w:hAnsi="Arial"/>
                <w:sz w:val="22"/>
                <w:szCs w:val="22"/>
                <w:color w:val="auto"/>
              </w:rPr>
              <w:t>(0.9)</w:t>
            </w: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280" w:type="dxa"/>
            <w:vAlign w:val="bottom"/>
            <w:gridSpan w:val="2"/>
          </w:tcPr>
          <w:p>
            <w:pPr>
              <w:spacing w:after="0"/>
              <w:rPr>
                <w:sz w:val="20"/>
                <w:szCs w:val="20"/>
                <w:color w:val="auto"/>
              </w:rPr>
            </w:pPr>
            <w:r>
              <w:rPr>
                <w:rFonts w:ascii="Arial" w:cs="Arial" w:eastAsia="Arial" w:hAnsi="Arial"/>
                <w:sz w:val="22"/>
                <w:szCs w:val="22"/>
                <w:color w:val="auto"/>
              </w:rPr>
              <w:t>Net loss</w:t>
            </w:r>
          </w:p>
        </w:tc>
        <w:tc>
          <w:tcPr>
            <w:tcW w:w="1100" w:type="dxa"/>
            <w:vAlign w:val="bottom"/>
          </w:tcPr>
          <w:p>
            <w:pPr>
              <w:jc w:val="right"/>
              <w:spacing w:after="0"/>
              <w:rPr>
                <w:sz w:val="20"/>
                <w:szCs w:val="20"/>
                <w:color w:val="auto"/>
              </w:rPr>
            </w:pPr>
            <w:r>
              <w:rPr>
                <w:rFonts w:ascii="Arial" w:cs="Arial" w:eastAsia="Arial" w:hAnsi="Arial"/>
                <w:sz w:val="22"/>
                <w:szCs w:val="22"/>
                <w:color w:val="auto"/>
              </w:rPr>
              <w:t>(11.6)%</w:t>
            </w: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20" w:firstLine="270"/>
        <w:spacing w:after="0" w:line="251" w:lineRule="auto"/>
        <w:rPr>
          <w:sz w:val="20"/>
          <w:szCs w:val="20"/>
          <w:color w:val="auto"/>
        </w:rPr>
      </w:pPr>
      <w:r>
        <w:rPr>
          <w:rFonts w:ascii="Arial" w:cs="Arial" w:eastAsia="Arial" w:hAnsi="Arial"/>
          <w:sz w:val="22"/>
          <w:szCs w:val="22"/>
          <w:color w:val="auto"/>
        </w:rPr>
        <w:t>Note: All of the following tabular comparisons, unless otherwise indicated, are for the three months ended February 1, 2009 (Q1-09) and January 27, 2008 (Q1-08) in millions of dollars.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628"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i w:val="1"/>
          <w:iCs w:val="1"/>
          <w:color w:val="auto"/>
        </w:rPr>
        <w:t>Net Sales</w:t>
      </w:r>
    </w:p>
    <w:p>
      <w:pPr>
        <w:spacing w:after="0" w:line="201"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80010</wp:posOffset>
            </wp:positionV>
            <wp:extent cx="12693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13"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Percent</w:t>
      </w:r>
    </w:p>
    <w:p>
      <w:pPr>
        <w:spacing w:after="0" w:line="14" w:lineRule="exact"/>
        <w:rPr>
          <w:sz w:val="20"/>
          <w:szCs w:val="20"/>
          <w:color w:val="auto"/>
        </w:rPr>
      </w:pPr>
    </w:p>
    <w:p>
      <w:pPr>
        <w:ind w:left="1520"/>
        <w:spacing w:after="0"/>
        <w:tabs>
          <w:tab w:leader="none" w:pos="2560" w:val="left"/>
          <w:tab w:leader="none" w:pos="3580" w:val="left"/>
        </w:tabs>
        <w:rPr>
          <w:sz w:val="20"/>
          <w:szCs w:val="20"/>
          <w:color w:val="auto"/>
        </w:rPr>
      </w:pPr>
      <w:r>
        <w:rPr>
          <w:rFonts w:ascii="Arial" w:cs="Arial" w:eastAsia="Arial" w:hAnsi="Arial"/>
          <w:sz w:val="22"/>
          <w:szCs w:val="22"/>
          <w:b w:val="1"/>
          <w:bCs w:val="1"/>
          <w:color w:val="auto"/>
        </w:rPr>
        <w:t>Q1-09</w:t>
      </w:r>
      <w:r>
        <w:rPr>
          <w:sz w:val="20"/>
          <w:szCs w:val="20"/>
          <w:color w:val="auto"/>
        </w:rPr>
        <w:tab/>
      </w:r>
      <w:r>
        <w:rPr>
          <w:rFonts w:ascii="Arial" w:cs="Arial" w:eastAsia="Arial" w:hAnsi="Arial"/>
          <w:sz w:val="22"/>
          <w:szCs w:val="22"/>
          <w:b w:val="1"/>
          <w:bCs w:val="1"/>
          <w:color w:val="auto"/>
        </w:rPr>
        <w:t>Q1-08</w:t>
      </w:r>
      <w:r>
        <w:rPr>
          <w:sz w:val="20"/>
          <w:szCs w:val="20"/>
          <w:color w:val="auto"/>
        </w:rPr>
        <w:tab/>
      </w:r>
      <w:r>
        <w:rPr>
          <w:rFonts w:ascii="Arial" w:cs="Arial" w:eastAsia="Arial" w:hAnsi="Arial"/>
          <w:sz w:val="19"/>
          <w:szCs w:val="19"/>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64770</wp:posOffset>
            </wp:positionV>
            <wp:extent cx="19894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Arial" w:cs="Arial" w:eastAsia="Arial" w:hAnsi="Arial"/>
                <w:sz w:val="22"/>
                <w:szCs w:val="22"/>
                <w:color w:val="auto"/>
              </w:rPr>
              <w:t>IC</w:t>
            </w:r>
          </w:p>
        </w:tc>
        <w:tc>
          <w:tcPr>
            <w:tcW w:w="900" w:type="dxa"/>
            <w:vAlign w:val="bottom"/>
          </w:tcPr>
          <w:p>
            <w:pPr>
              <w:jc w:val="right"/>
              <w:spacing w:after="0"/>
              <w:rPr>
                <w:sz w:val="20"/>
                <w:szCs w:val="20"/>
                <w:color w:val="auto"/>
              </w:rPr>
            </w:pPr>
            <w:r>
              <w:rPr>
                <w:rFonts w:ascii="Arial" w:cs="Arial" w:eastAsia="Arial" w:hAnsi="Arial"/>
                <w:sz w:val="22"/>
                <w:szCs w:val="22"/>
                <w:color w:val="auto"/>
              </w:rPr>
              <w:t>$63.6</w:t>
            </w: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$ 80.4</w:t>
            </w:r>
          </w:p>
        </w:tc>
        <w:tc>
          <w:tcPr>
            <w:tcW w:w="1100" w:type="dxa"/>
            <w:vAlign w:val="bottom"/>
          </w:tcPr>
          <w:p>
            <w:pPr>
              <w:jc w:val="right"/>
              <w:spacing w:after="0"/>
              <w:rPr>
                <w:sz w:val="20"/>
                <w:szCs w:val="20"/>
                <w:color w:val="auto"/>
              </w:rPr>
            </w:pPr>
            <w:r>
              <w:rPr>
                <w:rFonts w:ascii="Arial" w:cs="Arial" w:eastAsia="Arial" w:hAnsi="Arial"/>
                <w:sz w:val="22"/>
                <w:szCs w:val="22"/>
                <w:color w:val="auto"/>
              </w:rPr>
              <w:t>(20.9)%</w:t>
            </w:r>
          </w:p>
        </w:tc>
      </w:tr>
      <w:tr>
        <w:trPr>
          <w:trHeight w:val="275"/>
        </w:trPr>
        <w:tc>
          <w:tcPr>
            <w:tcW w:w="1360" w:type="dxa"/>
            <w:vAlign w:val="bottom"/>
          </w:tcPr>
          <w:p>
            <w:pPr>
              <w:spacing w:after="0"/>
              <w:rPr>
                <w:sz w:val="20"/>
                <w:szCs w:val="20"/>
                <w:color w:val="auto"/>
              </w:rPr>
            </w:pPr>
            <w:r>
              <w:rPr>
                <w:rFonts w:ascii="Arial" w:cs="Arial" w:eastAsia="Arial" w:hAnsi="Arial"/>
                <w:sz w:val="22"/>
                <w:szCs w:val="22"/>
                <w:color w:val="auto"/>
              </w:rPr>
              <w:t>FPD</w:t>
            </w:r>
          </w:p>
        </w:tc>
        <w:tc>
          <w:tcPr>
            <w:tcW w:w="900" w:type="dxa"/>
            <w:vAlign w:val="bottom"/>
          </w:tcPr>
          <w:p>
            <w:pPr>
              <w:jc w:val="right"/>
              <w:spacing w:after="0"/>
              <w:rPr>
                <w:sz w:val="20"/>
                <w:szCs w:val="20"/>
                <w:color w:val="auto"/>
              </w:rPr>
            </w:pPr>
            <w:r>
              <w:rPr>
                <w:rFonts w:ascii="Arial" w:cs="Arial" w:eastAsia="Arial" w:hAnsi="Arial"/>
                <w:sz w:val="22"/>
                <w:szCs w:val="22"/>
                <w:color w:val="auto"/>
              </w:rPr>
              <w:t>24.4</w:t>
            </w: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22.8</w:t>
            </w:r>
          </w:p>
        </w:tc>
        <w:tc>
          <w:tcPr>
            <w:tcW w:w="110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98"/>
        </w:trPr>
        <w:tc>
          <w:tcPr>
            <w:tcW w:w="136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1100" w:type="dxa"/>
            <w:vAlign w:val="bottom"/>
          </w:tcPr>
          <w:p>
            <w:pPr>
              <w:spacing w:after="0"/>
              <w:rPr>
                <w:sz w:val="8"/>
                <w:szCs w:val="8"/>
                <w:color w:val="auto"/>
              </w:rPr>
            </w:pPr>
          </w:p>
        </w:tc>
      </w:tr>
      <w:tr>
        <w:trPr>
          <w:trHeight w:val="368"/>
        </w:trPr>
        <w:tc>
          <w:tcPr>
            <w:tcW w:w="1360" w:type="dxa"/>
            <w:vAlign w:val="bottom"/>
          </w:tcPr>
          <w:p>
            <w:pPr>
              <w:spacing w:after="0"/>
              <w:rPr>
                <w:sz w:val="20"/>
                <w:szCs w:val="20"/>
                <w:color w:val="auto"/>
              </w:rPr>
            </w:pPr>
            <w:r>
              <w:rPr>
                <w:rFonts w:ascii="Arial" w:cs="Arial" w:eastAsia="Arial" w:hAnsi="Arial"/>
                <w:sz w:val="22"/>
                <w:szCs w:val="22"/>
                <w:color w:val="auto"/>
                <w:w w:val="93"/>
              </w:rPr>
              <w:t>Total net sales</w:t>
            </w:r>
          </w:p>
        </w:tc>
        <w:tc>
          <w:tcPr>
            <w:tcW w:w="900" w:type="dxa"/>
            <w:vAlign w:val="bottom"/>
          </w:tcPr>
          <w:p>
            <w:pPr>
              <w:jc w:val="right"/>
              <w:spacing w:after="0"/>
              <w:rPr>
                <w:sz w:val="20"/>
                <w:szCs w:val="20"/>
                <w:color w:val="auto"/>
              </w:rPr>
            </w:pPr>
            <w:r>
              <w:rPr>
                <w:rFonts w:ascii="Arial" w:cs="Arial" w:eastAsia="Arial" w:hAnsi="Arial"/>
                <w:sz w:val="22"/>
                <w:szCs w:val="22"/>
                <w:color w:val="auto"/>
              </w:rPr>
              <w:t>$88.0</w:t>
            </w:r>
          </w:p>
        </w:tc>
        <w:tc>
          <w:tcPr>
            <w:tcW w:w="1100" w:type="dxa"/>
            <w:vAlign w:val="bottom"/>
            <w:gridSpan w:val="2"/>
          </w:tcPr>
          <w:p>
            <w:pPr>
              <w:jc w:val="right"/>
              <w:ind w:right="20"/>
              <w:spacing w:after="0"/>
              <w:rPr>
                <w:sz w:val="20"/>
                <w:szCs w:val="20"/>
                <w:color w:val="auto"/>
              </w:rPr>
            </w:pPr>
            <w:r>
              <w:rPr>
                <w:rFonts w:ascii="Arial" w:cs="Arial" w:eastAsia="Arial" w:hAnsi="Arial"/>
                <w:sz w:val="22"/>
                <w:szCs w:val="22"/>
                <w:color w:val="auto"/>
              </w:rPr>
              <w:t>$103.2</w:t>
            </w:r>
          </w:p>
        </w:tc>
        <w:tc>
          <w:tcPr>
            <w:tcW w:w="110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122"/>
        </w:trPr>
        <w:tc>
          <w:tcPr>
            <w:tcW w:w="136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1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270"/>
        <w:spacing w:after="0" w:line="269" w:lineRule="auto"/>
        <w:rPr>
          <w:sz w:val="20"/>
          <w:szCs w:val="20"/>
          <w:color w:val="auto"/>
        </w:rPr>
      </w:pPr>
      <w:r>
        <w:rPr>
          <w:rFonts w:ascii="Arial" w:cs="Arial" w:eastAsia="Arial" w:hAnsi="Arial"/>
          <w:sz w:val="19"/>
          <w:szCs w:val="19"/>
          <w:color w:val="auto"/>
        </w:rPr>
        <w:t>Net sales for Q1-09 decreased 14.7% to $88.0 million as compared to $103.2 million for Q1-08. The decrease is related to reduced IC sales, primarily due to decreased mainstream unit demand in Asia and Europe. Revenues attributable to high-end products were $18.6 million in Q1-09 and $13.7 million in Q1-08. High-end photomask applications, which typically have higher average selling prices (ASPs), include mask sets for G7 and above technologies for FPD products and 65 nanometer and below for IC products. The Company's quarterly revenues can be affected by the seasonal purchasing of its customers. The Company is typically impacted during its first fiscal quarter by the North American and European holiday periods as some customers reduce their effective workdays and orders during this period. This seasonality was experienced to a greater than normal extent during Q1-09 as many of the Company's customers placed their fabs on extended shutdowns. By geographic area, net sales in Asia decreased $7.7 million or 12.0%, North American sales increased $1.4 million or 6.7%, and European sales decreased $8.9 million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50.6%.As a percent of total net sales, net sales in Q1-09 in Asia were 64%, North America 26%, and Europe 10%; and net sales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Q1-08 in Asia were 62%, North America 21%, and Europe 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Gross Margin</w:t>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80010</wp:posOffset>
            </wp:positionV>
            <wp:extent cx="12865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Percent</w:t>
      </w:r>
    </w:p>
    <w:p>
      <w:pPr>
        <w:spacing w:after="0" w:line="14" w:lineRule="exact"/>
        <w:rPr>
          <w:sz w:val="20"/>
          <w:szCs w:val="20"/>
          <w:color w:val="auto"/>
        </w:rPr>
      </w:pPr>
    </w:p>
    <w:p>
      <w:pPr>
        <w:ind w:left="2300"/>
        <w:spacing w:after="0"/>
        <w:tabs>
          <w:tab w:leader="none" w:pos="3380" w:val="left"/>
          <w:tab w:leader="none" w:pos="4400" w:val="left"/>
        </w:tabs>
        <w:rPr>
          <w:sz w:val="20"/>
          <w:szCs w:val="20"/>
          <w:color w:val="auto"/>
        </w:rPr>
      </w:pPr>
      <w:r>
        <w:rPr>
          <w:rFonts w:ascii="Arial" w:cs="Arial" w:eastAsia="Arial" w:hAnsi="Arial"/>
          <w:sz w:val="22"/>
          <w:szCs w:val="22"/>
          <w:b w:val="1"/>
          <w:bCs w:val="1"/>
          <w:color w:val="auto"/>
        </w:rPr>
        <w:t>Q1-09</w:t>
      </w:r>
      <w:r>
        <w:rPr>
          <w:sz w:val="20"/>
          <w:szCs w:val="20"/>
          <w:color w:val="auto"/>
        </w:rPr>
        <w:tab/>
      </w:r>
      <w:r>
        <w:rPr>
          <w:rFonts w:ascii="Arial" w:cs="Arial" w:eastAsia="Arial" w:hAnsi="Arial"/>
          <w:sz w:val="22"/>
          <w:szCs w:val="22"/>
          <w:b w:val="1"/>
          <w:bCs w:val="1"/>
          <w:color w:val="auto"/>
        </w:rPr>
        <w:t>Q1-08</w:t>
      </w:r>
      <w:r>
        <w:rPr>
          <w:sz w:val="20"/>
          <w:szCs w:val="20"/>
          <w:color w:val="auto"/>
        </w:rPr>
        <w:tab/>
      </w:r>
      <w:r>
        <w:rPr>
          <w:rFonts w:ascii="Arial" w:cs="Arial" w:eastAsia="Arial" w:hAnsi="Arial"/>
          <w:sz w:val="19"/>
          <w:szCs w:val="19"/>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64770</wp:posOffset>
            </wp:positionV>
            <wp:extent cx="2040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Arial" w:cs="Arial" w:eastAsia="Arial" w:hAnsi="Arial"/>
                <w:sz w:val="22"/>
                <w:szCs w:val="22"/>
                <w:color w:val="auto"/>
              </w:rPr>
              <w:t>Gross margin</w:t>
            </w:r>
          </w:p>
        </w:tc>
        <w:tc>
          <w:tcPr>
            <w:tcW w:w="1060" w:type="dxa"/>
            <w:vAlign w:val="bottom"/>
          </w:tcPr>
          <w:p>
            <w:pPr>
              <w:jc w:val="right"/>
              <w:ind w:right="272"/>
              <w:spacing w:after="0"/>
              <w:rPr>
                <w:sz w:val="20"/>
                <w:szCs w:val="20"/>
                <w:color w:val="auto"/>
              </w:rPr>
            </w:pPr>
            <w:r>
              <w:rPr>
                <w:rFonts w:ascii="Arial" w:cs="Arial" w:eastAsia="Arial" w:hAnsi="Arial"/>
                <w:sz w:val="22"/>
                <w:szCs w:val="22"/>
                <w:color w:val="auto"/>
              </w:rPr>
              <w:t>$10.6</w:t>
            </w:r>
          </w:p>
        </w:tc>
        <w:tc>
          <w:tcPr>
            <w:tcW w:w="1100" w:type="dxa"/>
            <w:vAlign w:val="bottom"/>
          </w:tcPr>
          <w:p>
            <w:pPr>
              <w:jc w:val="right"/>
              <w:ind w:right="312"/>
              <w:spacing w:after="0"/>
              <w:rPr>
                <w:sz w:val="20"/>
                <w:szCs w:val="20"/>
                <w:color w:val="auto"/>
              </w:rPr>
            </w:pPr>
            <w:r>
              <w:rPr>
                <w:rFonts w:ascii="Arial" w:cs="Arial" w:eastAsia="Arial" w:hAnsi="Arial"/>
                <w:sz w:val="22"/>
                <w:szCs w:val="22"/>
                <w:color w:val="auto"/>
              </w:rPr>
              <w:t>$20.6</w:t>
            </w:r>
          </w:p>
        </w:tc>
        <w:tc>
          <w:tcPr>
            <w:tcW w:w="940" w:type="dxa"/>
            <w:vAlign w:val="bottom"/>
          </w:tcPr>
          <w:p>
            <w:pPr>
              <w:jc w:val="right"/>
              <w:spacing w:after="0"/>
              <w:rPr>
                <w:sz w:val="20"/>
                <w:szCs w:val="20"/>
                <w:color w:val="auto"/>
              </w:rPr>
            </w:pPr>
            <w:r>
              <w:rPr>
                <w:rFonts w:ascii="Arial" w:cs="Arial" w:eastAsia="Arial" w:hAnsi="Arial"/>
                <w:sz w:val="22"/>
                <w:szCs w:val="22"/>
                <w:color w:val="auto"/>
              </w:rPr>
              <w:t>(48.7)%</w:t>
            </w:r>
          </w:p>
        </w:tc>
      </w:tr>
      <w:tr>
        <w:trPr>
          <w:trHeight w:val="275"/>
        </w:trPr>
        <w:tc>
          <w:tcPr>
            <w:tcW w:w="2180" w:type="dxa"/>
            <w:vAlign w:val="bottom"/>
          </w:tcPr>
          <w:p>
            <w:pPr>
              <w:spacing w:after="0"/>
              <w:rPr>
                <w:sz w:val="20"/>
                <w:szCs w:val="20"/>
                <w:color w:val="auto"/>
              </w:rPr>
            </w:pPr>
            <w:r>
              <w:rPr>
                <w:rFonts w:ascii="Arial" w:cs="Arial" w:eastAsia="Arial" w:hAnsi="Arial"/>
                <w:sz w:val="22"/>
                <w:szCs w:val="22"/>
                <w:color w:val="auto"/>
                <w:w w:val="93"/>
              </w:rPr>
              <w:t>Percentage of net sales</w:t>
            </w:r>
          </w:p>
        </w:tc>
        <w:tc>
          <w:tcPr>
            <w:tcW w:w="1060" w:type="dxa"/>
            <w:vAlign w:val="bottom"/>
          </w:tcPr>
          <w:p>
            <w:pPr>
              <w:jc w:val="right"/>
              <w:ind w:right="92"/>
              <w:spacing w:after="0"/>
              <w:rPr>
                <w:sz w:val="20"/>
                <w:szCs w:val="20"/>
                <w:color w:val="auto"/>
              </w:rPr>
            </w:pPr>
            <w:r>
              <w:rPr>
                <w:rFonts w:ascii="Arial" w:cs="Arial" w:eastAsia="Arial" w:hAnsi="Arial"/>
                <w:sz w:val="22"/>
                <w:szCs w:val="22"/>
                <w:color w:val="auto"/>
              </w:rPr>
              <w:t>12.0%</w:t>
            </w:r>
          </w:p>
        </w:tc>
        <w:tc>
          <w:tcPr>
            <w:tcW w:w="1100" w:type="dxa"/>
            <w:vAlign w:val="bottom"/>
          </w:tcPr>
          <w:p>
            <w:pPr>
              <w:jc w:val="right"/>
              <w:ind w:right="132"/>
              <w:spacing w:after="0"/>
              <w:rPr>
                <w:sz w:val="20"/>
                <w:szCs w:val="20"/>
                <w:color w:val="auto"/>
              </w:rPr>
            </w:pPr>
            <w:r>
              <w:rPr>
                <w:rFonts w:ascii="Arial" w:cs="Arial" w:eastAsia="Arial" w:hAnsi="Arial"/>
                <w:sz w:val="22"/>
                <w:szCs w:val="22"/>
                <w:color w:val="auto"/>
              </w:rPr>
              <w:t>20.0%</w:t>
            </w:r>
          </w:p>
        </w:tc>
        <w:tc>
          <w:tcPr>
            <w:tcW w:w="9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Gross margin percentage decreased to 12.0% in Q1-09 as compared to 20.0% in Q1-08 mainly as a result of the Company's reduced global unit volume, and increased manufacturing costs associated with the U.S. Nanofab which commenced operations in the second quarter of 2008. Further, the gross margin was negatively impacted by the 14.7% decrease in Q1-09 sales as compared to Q1-08, as the Company operates in a high fixed cost environment and, to the extent that its sales increase or decrease, gross margin will generally be positively or negatively impacted.</w:t>
      </w:r>
    </w:p>
    <w:p>
      <w:pPr>
        <w:spacing w:after="0" w:line="179" w:lineRule="exact"/>
        <w:rPr>
          <w:sz w:val="20"/>
          <w:szCs w:val="20"/>
          <w:color w:val="auto"/>
        </w:rPr>
      </w:pPr>
    </w:p>
    <w:p>
      <w:pPr>
        <w:jc w:val="right"/>
        <w:ind w:right="7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6" w:lineRule="exact"/>
        <w:rPr>
          <w:sz w:val="20"/>
          <w:szCs w:val="20"/>
          <w:color w:val="auto"/>
        </w:rPr>
      </w:pPr>
    </w:p>
    <w:p>
      <w:pPr>
        <w:jc w:val="right"/>
        <w:ind w:right="726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80010</wp:posOffset>
            </wp:positionV>
            <wp:extent cx="13119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ind w:left="160"/>
              <w:spacing w:after="0"/>
              <w:rPr>
                <w:sz w:val="20"/>
                <w:szCs w:val="20"/>
                <w:color w:val="auto"/>
              </w:rPr>
            </w:pPr>
            <w:r>
              <w:rPr>
                <w:rFonts w:ascii="Arial" w:cs="Arial" w:eastAsia="Arial" w:hAnsi="Arial"/>
                <w:sz w:val="22"/>
                <w:szCs w:val="22"/>
                <w:b w:val="1"/>
                <w:bCs w:val="1"/>
                <w:color w:val="auto"/>
              </w:rPr>
              <w:t>Percent</w:t>
            </w:r>
          </w:p>
        </w:tc>
      </w:tr>
      <w:tr>
        <w:trPr>
          <w:trHeight w:val="281"/>
        </w:trPr>
        <w:tc>
          <w:tcPr>
            <w:tcW w:w="210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b w:val="1"/>
                <w:bCs w:val="1"/>
                <w:color w:val="auto"/>
              </w:rPr>
              <w:t>Q1-09</w:t>
            </w:r>
          </w:p>
        </w:tc>
        <w:tc>
          <w:tcPr>
            <w:tcW w:w="24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b w:val="1"/>
                <w:bCs w:val="1"/>
                <w:color w:val="auto"/>
              </w:rPr>
              <w:t>Q1-08</w:t>
            </w:r>
          </w:p>
        </w:tc>
        <w:tc>
          <w:tcPr>
            <w:tcW w:w="14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Arial" w:cs="Arial" w:eastAsia="Arial" w:hAnsi="Arial"/>
                <w:sz w:val="22"/>
                <w:szCs w:val="22"/>
                <w:b w:val="1"/>
                <w:bCs w:val="1"/>
                <w:color w:val="auto"/>
              </w:rPr>
              <w:t>Change</w:t>
            </w:r>
          </w:p>
        </w:tc>
      </w:tr>
      <w:tr>
        <w:trPr>
          <w:trHeight w:val="98"/>
        </w:trPr>
        <w:tc>
          <w:tcPr>
            <w:tcW w:w="21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580"/>
        </w:trPr>
        <w:tc>
          <w:tcPr>
            <w:tcW w:w="2100" w:type="dxa"/>
            <w:vAlign w:val="bottom"/>
          </w:tcPr>
          <w:p>
            <w:pPr>
              <w:spacing w:after="0"/>
              <w:rPr>
                <w:sz w:val="20"/>
                <w:szCs w:val="20"/>
                <w:color w:val="auto"/>
              </w:rPr>
            </w:pPr>
            <w:r>
              <w:rPr>
                <w:rFonts w:ascii="Arial" w:cs="Arial" w:eastAsia="Arial" w:hAnsi="Arial"/>
                <w:sz w:val="22"/>
                <w:szCs w:val="22"/>
                <w:color w:val="auto"/>
              </w:rPr>
              <w:t>S, G &amp; A expenses</w:t>
            </w:r>
          </w:p>
        </w:tc>
        <w:tc>
          <w:tcPr>
            <w:tcW w:w="960" w:type="dxa"/>
            <w:vAlign w:val="bottom"/>
          </w:tcPr>
          <w:p>
            <w:pPr>
              <w:jc w:val="right"/>
              <w:ind w:right="92"/>
              <w:spacing w:after="0"/>
              <w:rPr>
                <w:sz w:val="20"/>
                <w:szCs w:val="20"/>
                <w:color w:val="auto"/>
              </w:rPr>
            </w:pPr>
            <w:r>
              <w:rPr>
                <w:rFonts w:ascii="Arial" w:cs="Arial" w:eastAsia="Arial" w:hAnsi="Arial"/>
                <w:sz w:val="22"/>
                <w:szCs w:val="22"/>
                <w:color w:val="auto"/>
              </w:rPr>
              <w:t>$10.4</w:t>
            </w:r>
          </w:p>
        </w:tc>
        <w:tc>
          <w:tcPr>
            <w:tcW w:w="1100" w:type="dxa"/>
            <w:vAlign w:val="bottom"/>
            <w:gridSpan w:val="2"/>
          </w:tcPr>
          <w:p>
            <w:pPr>
              <w:jc w:val="right"/>
              <w:ind w:right="92"/>
              <w:spacing w:after="0"/>
              <w:rPr>
                <w:sz w:val="20"/>
                <w:szCs w:val="20"/>
                <w:color w:val="auto"/>
              </w:rPr>
            </w:pPr>
            <w:r>
              <w:rPr>
                <w:rFonts w:ascii="Arial" w:cs="Arial" w:eastAsia="Arial" w:hAnsi="Arial"/>
                <w:sz w:val="22"/>
                <w:szCs w:val="22"/>
                <w:color w:val="auto"/>
              </w:rPr>
              <w:t>$16.3</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(36.2)%</w:t>
            </w:r>
          </w:p>
        </w:tc>
      </w:tr>
      <w:tr>
        <w:trPr>
          <w:trHeight w:val="275"/>
        </w:trPr>
        <w:tc>
          <w:tcPr>
            <w:tcW w:w="2100" w:type="dxa"/>
            <w:vAlign w:val="bottom"/>
          </w:tcPr>
          <w:p>
            <w:pPr>
              <w:spacing w:after="0"/>
              <w:rPr>
                <w:sz w:val="20"/>
                <w:szCs w:val="20"/>
                <w:color w:val="auto"/>
              </w:rPr>
            </w:pPr>
            <w:r>
              <w:rPr>
                <w:rFonts w:ascii="Arial" w:cs="Arial" w:eastAsia="Arial" w:hAnsi="Arial"/>
                <w:sz w:val="22"/>
                <w:szCs w:val="22"/>
                <w:color w:val="auto"/>
                <w:w w:val="89"/>
              </w:rPr>
              <w:t>Percentage of net sales</w:t>
            </w:r>
          </w:p>
        </w:tc>
        <w:tc>
          <w:tcPr>
            <w:tcW w:w="960" w:type="dxa"/>
            <w:vAlign w:val="bottom"/>
          </w:tcPr>
          <w:p>
            <w:pPr>
              <w:jc w:val="right"/>
              <w:spacing w:after="0"/>
              <w:rPr>
                <w:sz w:val="20"/>
                <w:szCs w:val="20"/>
                <w:color w:val="auto"/>
              </w:rPr>
            </w:pPr>
            <w:r>
              <w:rPr>
                <w:rFonts w:ascii="Arial" w:cs="Arial" w:eastAsia="Arial" w:hAnsi="Arial"/>
                <w:sz w:val="22"/>
                <w:szCs w:val="22"/>
                <w:color w:val="auto"/>
              </w:rPr>
              <w:t>11.8%</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15.8%</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270"/>
        <w:spacing w:after="0" w:line="297" w:lineRule="auto"/>
        <w:rPr>
          <w:sz w:val="20"/>
          <w:szCs w:val="20"/>
          <w:color w:val="auto"/>
        </w:rPr>
      </w:pPr>
      <w:r>
        <w:rPr>
          <w:rFonts w:ascii="Arial" w:cs="Arial" w:eastAsia="Arial" w:hAnsi="Arial"/>
          <w:sz w:val="19"/>
          <w:szCs w:val="19"/>
          <w:color w:val="auto"/>
        </w:rPr>
        <w:t>Selling, general and administrative expenses decreased $5.9 million to $10.4 million in Q1-09 as compared to $16.3 million in Q1-08. The decrease was primarily related to certain U.S. Nanofab costs reported in S G &amp; A in Q1-08 (prior to it commencing production in Q2-08), reduced compensation costs due in part to reduced employee headcount, and cost reduction programs.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655"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201"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80010</wp:posOffset>
            </wp:positionV>
            <wp:extent cx="12693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13"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Percent</w:t>
      </w:r>
    </w:p>
    <w:p>
      <w:pPr>
        <w:spacing w:after="0" w:line="14" w:lineRule="exact"/>
        <w:rPr>
          <w:sz w:val="20"/>
          <w:szCs w:val="20"/>
          <w:color w:val="auto"/>
        </w:rPr>
      </w:pPr>
    </w:p>
    <w:p>
      <w:pPr>
        <w:ind w:left="2280"/>
        <w:spacing w:after="0"/>
        <w:tabs>
          <w:tab w:leader="none" w:pos="3360" w:val="left"/>
          <w:tab w:leader="none" w:pos="4480" w:val="left"/>
        </w:tabs>
        <w:rPr>
          <w:sz w:val="20"/>
          <w:szCs w:val="20"/>
          <w:color w:val="auto"/>
        </w:rPr>
      </w:pPr>
      <w:r>
        <w:rPr>
          <w:rFonts w:ascii="Arial" w:cs="Arial" w:eastAsia="Arial" w:hAnsi="Arial"/>
          <w:sz w:val="22"/>
          <w:szCs w:val="22"/>
          <w:b w:val="1"/>
          <w:bCs w:val="1"/>
          <w:color w:val="auto"/>
        </w:rPr>
        <w:t>Q1-09</w:t>
      </w:r>
      <w:r>
        <w:rPr>
          <w:sz w:val="20"/>
          <w:szCs w:val="20"/>
          <w:color w:val="auto"/>
        </w:rPr>
        <w:tab/>
      </w:r>
      <w:r>
        <w:rPr>
          <w:rFonts w:ascii="Arial" w:cs="Arial" w:eastAsia="Arial" w:hAnsi="Arial"/>
          <w:sz w:val="22"/>
          <w:szCs w:val="22"/>
          <w:b w:val="1"/>
          <w:bCs w:val="1"/>
          <w:color w:val="auto"/>
        </w:rPr>
        <w:t>Q1-08</w:t>
      </w:r>
      <w:r>
        <w:rPr>
          <w:sz w:val="20"/>
          <w:szCs w:val="20"/>
          <w:color w:val="auto"/>
        </w:rPr>
        <w:tab/>
      </w:r>
      <w:r>
        <w:rPr>
          <w:rFonts w:ascii="Arial" w:cs="Arial" w:eastAsia="Arial" w:hAnsi="Arial"/>
          <w:sz w:val="19"/>
          <w:szCs w:val="19"/>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64770</wp:posOffset>
            </wp:positionV>
            <wp:extent cx="2092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Arial" w:cs="Arial" w:eastAsia="Arial" w:hAnsi="Arial"/>
                <w:sz w:val="22"/>
                <w:szCs w:val="22"/>
                <w:color w:val="auto"/>
              </w:rPr>
              <w:t>R&amp;D expenses</w:t>
            </w:r>
          </w:p>
        </w:tc>
        <w:tc>
          <w:tcPr>
            <w:tcW w:w="1000" w:type="dxa"/>
            <w:vAlign w:val="bottom"/>
          </w:tcPr>
          <w:p>
            <w:pPr>
              <w:jc w:val="right"/>
              <w:ind w:right="332"/>
              <w:spacing w:after="0"/>
              <w:rPr>
                <w:sz w:val="20"/>
                <w:szCs w:val="20"/>
                <w:color w:val="auto"/>
              </w:rPr>
            </w:pPr>
            <w:r>
              <w:rPr>
                <w:rFonts w:ascii="Arial" w:cs="Arial" w:eastAsia="Arial" w:hAnsi="Arial"/>
                <w:sz w:val="22"/>
                <w:szCs w:val="22"/>
                <w:color w:val="auto"/>
              </w:rPr>
              <w:t>$3.6</w:t>
            </w:r>
          </w:p>
        </w:tc>
        <w:tc>
          <w:tcPr>
            <w:tcW w:w="1140" w:type="dxa"/>
            <w:vAlign w:val="bottom"/>
          </w:tcPr>
          <w:p>
            <w:pPr>
              <w:jc w:val="right"/>
              <w:ind w:right="432"/>
              <w:spacing w:after="0"/>
              <w:rPr>
                <w:sz w:val="20"/>
                <w:szCs w:val="20"/>
                <w:color w:val="auto"/>
              </w:rPr>
            </w:pPr>
            <w:r>
              <w:rPr>
                <w:rFonts w:ascii="Arial" w:cs="Arial" w:eastAsia="Arial" w:hAnsi="Arial"/>
                <w:sz w:val="22"/>
                <w:szCs w:val="22"/>
                <w:color w:val="auto"/>
              </w:rPr>
              <w:t>$4.2</w:t>
            </w:r>
          </w:p>
        </w:tc>
        <w:tc>
          <w:tcPr>
            <w:tcW w:w="104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75"/>
        </w:trPr>
        <w:tc>
          <w:tcPr>
            <w:tcW w:w="2180" w:type="dxa"/>
            <w:vAlign w:val="bottom"/>
          </w:tcPr>
          <w:p>
            <w:pPr>
              <w:spacing w:after="0"/>
              <w:rPr>
                <w:sz w:val="20"/>
                <w:szCs w:val="20"/>
                <w:color w:val="auto"/>
              </w:rPr>
            </w:pPr>
            <w:r>
              <w:rPr>
                <w:rFonts w:ascii="Arial" w:cs="Arial" w:eastAsia="Arial" w:hAnsi="Arial"/>
                <w:sz w:val="22"/>
                <w:szCs w:val="22"/>
                <w:color w:val="auto"/>
                <w:w w:val="93"/>
              </w:rPr>
              <w:t>Percentage of net sales</w:t>
            </w:r>
          </w:p>
        </w:tc>
        <w:tc>
          <w:tcPr>
            <w:tcW w:w="1000" w:type="dxa"/>
            <w:vAlign w:val="bottom"/>
          </w:tcPr>
          <w:p>
            <w:pPr>
              <w:jc w:val="right"/>
              <w:ind w:right="152"/>
              <w:spacing w:after="0"/>
              <w:rPr>
                <w:sz w:val="20"/>
                <w:szCs w:val="20"/>
                <w:color w:val="auto"/>
              </w:rPr>
            </w:pPr>
            <w:r>
              <w:rPr>
                <w:rFonts w:ascii="Arial" w:cs="Arial" w:eastAsia="Arial" w:hAnsi="Arial"/>
                <w:sz w:val="22"/>
                <w:szCs w:val="22"/>
                <w:color w:val="auto"/>
              </w:rPr>
              <w:t>4.1%</w:t>
            </w:r>
          </w:p>
        </w:tc>
        <w:tc>
          <w:tcPr>
            <w:tcW w:w="1140" w:type="dxa"/>
            <w:vAlign w:val="bottom"/>
          </w:tcPr>
          <w:p>
            <w:pPr>
              <w:jc w:val="right"/>
              <w:ind w:right="252"/>
              <w:spacing w:after="0"/>
              <w:rPr>
                <w:sz w:val="20"/>
                <w:szCs w:val="20"/>
                <w:color w:val="auto"/>
              </w:rPr>
            </w:pPr>
            <w:r>
              <w:rPr>
                <w:rFonts w:ascii="Arial" w:cs="Arial" w:eastAsia="Arial" w:hAnsi="Arial"/>
                <w:sz w:val="22"/>
                <w:szCs w:val="22"/>
                <w:color w:val="auto"/>
              </w:rPr>
              <w:t>4.1%</w:t>
            </w:r>
          </w:p>
        </w:tc>
        <w:tc>
          <w:tcPr>
            <w:tcW w:w="10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20" w:firstLine="270"/>
        <w:spacing w:after="0" w:line="238" w:lineRule="auto"/>
        <w:rPr>
          <w:sz w:val="20"/>
          <w:szCs w:val="20"/>
          <w:color w:val="auto"/>
        </w:rPr>
      </w:pPr>
      <w:r>
        <w:rPr>
          <w:rFonts w:ascii="Arial" w:cs="Arial" w:eastAsia="Arial" w:hAnsi="Arial"/>
          <w:sz w:val="22"/>
          <w:szCs w:val="22"/>
          <w:color w:val="auto"/>
        </w:rPr>
        <w:t>Research and development expenses consist primarily of global development efforts relating to high-end process technologies for advanced sub-wavelength reticle solutions for IC and FPD technologies. Research and development expenses decreased $0.6 million in Q1-09 as compared to Q1-08, primarily due to efficiencies gained under the Company's technology license agreement with Micron Technology, Inc.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Restructuring and Related Charges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22"/>
                <w:szCs w:val="22"/>
                <w:b w:val="1"/>
                <w:bCs w:val="1"/>
                <w:color w:val="auto"/>
              </w:rPr>
              <w:t>Q1-09</w:t>
            </w:r>
          </w:p>
        </w:tc>
        <w:tc>
          <w:tcPr>
            <w:tcW w:w="2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b w:val="1"/>
                <w:bCs w:val="1"/>
                <w:color w:val="auto"/>
              </w:rPr>
              <w:t>Q1-08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3220" w:type="dxa"/>
            <w:vAlign w:val="bottom"/>
            <w:gridSpan w:val="2"/>
          </w:tcPr>
          <w:p>
            <w:pPr>
              <w:spacing w:after="0"/>
              <w:rPr>
                <w:sz w:val="20"/>
                <w:szCs w:val="20"/>
                <w:color w:val="auto"/>
              </w:rPr>
            </w:pPr>
            <w:r>
              <w:rPr>
                <w:rFonts w:ascii="Arial" w:cs="Arial" w:eastAsia="Arial" w:hAnsi="Arial"/>
                <w:sz w:val="22"/>
                <w:szCs w:val="22"/>
                <w:color w:val="auto"/>
              </w:rPr>
              <w:t>Employee terminations</w:t>
            </w:r>
          </w:p>
        </w:tc>
        <w:tc>
          <w:tcPr>
            <w:tcW w:w="840" w:type="dxa"/>
            <w:vAlign w:val="bottom"/>
          </w:tcPr>
          <w:p>
            <w:pPr>
              <w:jc w:val="right"/>
              <w:spacing w:after="0"/>
              <w:rPr>
                <w:sz w:val="20"/>
                <w:szCs w:val="20"/>
                <w:color w:val="auto"/>
              </w:rPr>
            </w:pPr>
            <w:r>
              <w:rPr>
                <w:rFonts w:ascii="Arial" w:cs="Arial" w:eastAsia="Arial" w:hAnsi="Arial"/>
                <w:sz w:val="22"/>
                <w:szCs w:val="22"/>
                <w:color w:val="auto"/>
              </w:rPr>
              <w:t>$1.1</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20" w:type="dxa"/>
            <w:vAlign w:val="bottom"/>
            <w:gridSpan w:val="2"/>
          </w:tcPr>
          <w:p>
            <w:pPr>
              <w:spacing w:after="0"/>
              <w:rPr>
                <w:sz w:val="20"/>
                <w:szCs w:val="20"/>
                <w:color w:val="auto"/>
              </w:rPr>
            </w:pPr>
            <w:r>
              <w:rPr>
                <w:rFonts w:ascii="Arial" w:cs="Arial" w:eastAsia="Arial" w:hAnsi="Arial"/>
                <w:sz w:val="22"/>
                <w:szCs w:val="22"/>
                <w:color w:val="auto"/>
              </w:rPr>
              <w:t>Asset write-downs</w:t>
            </w:r>
          </w:p>
        </w:tc>
        <w:tc>
          <w:tcPr>
            <w:tcW w:w="840" w:type="dxa"/>
            <w:vAlign w:val="bottom"/>
          </w:tcPr>
          <w:p>
            <w:pPr>
              <w:jc w:val="right"/>
              <w:spacing w:after="0"/>
              <w:rPr>
                <w:sz w:val="20"/>
                <w:szCs w:val="20"/>
                <w:color w:val="auto"/>
              </w:rPr>
            </w:pPr>
            <w:r>
              <w:rPr>
                <w:rFonts w:ascii="Arial" w:cs="Arial" w:eastAsia="Arial" w:hAnsi="Arial"/>
                <w:sz w:val="22"/>
                <w:szCs w:val="22"/>
                <w:color w:val="auto"/>
              </w:rPr>
              <w:t>0.6</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220" w:type="dxa"/>
            <w:vAlign w:val="bottom"/>
            <w:gridSpan w:val="2"/>
            <w:vMerge w:val="restart"/>
          </w:tcPr>
          <w:p>
            <w:pPr>
              <w:spacing w:after="0"/>
              <w:rPr>
                <w:sz w:val="20"/>
                <w:szCs w:val="20"/>
                <w:color w:val="auto"/>
              </w:rPr>
            </w:pPr>
            <w:r>
              <w:rPr>
                <w:rFonts w:ascii="Arial" w:cs="Arial" w:eastAsia="Arial" w:hAnsi="Arial"/>
                <w:sz w:val="22"/>
                <w:szCs w:val="22"/>
                <w:color w:val="auto"/>
              </w:rPr>
              <w:t>Total consolidation, restructuring</w:t>
            </w:r>
          </w:p>
        </w:tc>
        <w:tc>
          <w:tcPr>
            <w:tcW w:w="84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32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20" w:type="dxa"/>
            <w:vAlign w:val="bottom"/>
            <w:gridSpan w:val="2"/>
          </w:tcPr>
          <w:p>
            <w:pPr>
              <w:ind w:left="60"/>
              <w:spacing w:after="0"/>
              <w:rPr>
                <w:sz w:val="20"/>
                <w:szCs w:val="20"/>
                <w:color w:val="auto"/>
              </w:rPr>
            </w:pPr>
            <w:r>
              <w:rPr>
                <w:rFonts w:ascii="Arial" w:cs="Arial" w:eastAsia="Arial" w:hAnsi="Arial"/>
                <w:sz w:val="22"/>
                <w:szCs w:val="22"/>
                <w:color w:val="auto"/>
              </w:rPr>
              <w:t>and related charges</w:t>
            </w:r>
          </w:p>
        </w:tc>
        <w:tc>
          <w:tcPr>
            <w:tcW w:w="840" w:type="dxa"/>
            <w:vAlign w:val="bottom"/>
          </w:tcPr>
          <w:p>
            <w:pPr>
              <w:jc w:val="right"/>
              <w:spacing w:after="0"/>
              <w:rPr>
                <w:sz w:val="20"/>
                <w:szCs w:val="20"/>
                <w:color w:val="auto"/>
              </w:rPr>
            </w:pPr>
            <w:r>
              <w:rPr>
                <w:rFonts w:ascii="Arial" w:cs="Arial" w:eastAsia="Arial" w:hAnsi="Arial"/>
                <w:sz w:val="22"/>
                <w:szCs w:val="22"/>
                <w:color w:val="auto"/>
              </w:rPr>
              <w:t>$1.7</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During the three months ended February 1, 2009, the Company implemented its previously announced plan to streamline its infrastructure in Europe by ceasing the manufacture of photomasks at its Manchester U.K. facility. This initiative began with the recording of a $0.5 million charge for the impairment of certain long-lived assets at the facility in the fourth quarter of fiscal 2008, and was designed to enable the Company to realize manufacturing efficiencies while reducing its cost structure. The Company ceased production at the facility in January 2009 and an additional $1.7 million was incurred in the first quarter of fiscal 2009, primarily for employee termination costs and asset write-downs. Approximately 85 employees are expected to be affected by this plan. The Company expects the total after tax cost of this restructure to range between $3 million to $5 million through its expected completion at the end of fiscal 2009 (including the $0.5 million recorded in fiscal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00" w:type="dxa"/>
            <w:vAlign w:val="bottom"/>
          </w:tcPr>
          <w:p>
            <w:pPr>
              <w:spacing w:after="0"/>
              <w:rPr>
                <w:sz w:val="20"/>
                <w:szCs w:val="20"/>
                <w:color w:val="auto"/>
              </w:rPr>
            </w:pPr>
            <w:r>
              <w:rPr>
                <w:rFonts w:ascii="Arial" w:cs="Arial" w:eastAsia="Arial" w:hAnsi="Arial"/>
                <w:sz w:val="22"/>
                <w:szCs w:val="22"/>
                <w:b w:val="1"/>
                <w:bCs w:val="1"/>
                <w:i w:val="1"/>
                <w:iCs w:val="1"/>
                <w:color w:val="auto"/>
              </w:rPr>
              <w:t>Other Expense, net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59"/>
        </w:trPr>
        <w:tc>
          <w:tcPr>
            <w:tcW w:w="300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Three Months Ended</w:t>
            </w:r>
          </w:p>
        </w:tc>
      </w:tr>
      <w:tr>
        <w:trPr>
          <w:trHeight w:val="98"/>
        </w:trPr>
        <w:tc>
          <w:tcPr>
            <w:tcW w:w="30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68"/>
        </w:trPr>
        <w:tc>
          <w:tcPr>
            <w:tcW w:w="300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22"/>
                <w:szCs w:val="22"/>
                <w:b w:val="1"/>
                <w:bCs w:val="1"/>
                <w:color w:val="auto"/>
              </w:rPr>
              <w:t>Q1-09</w:t>
            </w:r>
          </w:p>
        </w:tc>
        <w:tc>
          <w:tcPr>
            <w:tcW w:w="2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22"/>
                <w:szCs w:val="22"/>
                <w:b w:val="1"/>
                <w:bCs w:val="1"/>
                <w:color w:val="auto"/>
              </w:rPr>
              <w:t>Q1-08</w:t>
            </w:r>
          </w:p>
        </w:tc>
      </w:tr>
      <w:tr>
        <w:trPr>
          <w:trHeight w:val="98"/>
        </w:trPr>
        <w:tc>
          <w:tcPr>
            <w:tcW w:w="30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580"/>
        </w:trPr>
        <w:tc>
          <w:tcPr>
            <w:tcW w:w="3000" w:type="dxa"/>
            <w:vAlign w:val="bottom"/>
          </w:tcPr>
          <w:p>
            <w:pPr>
              <w:spacing w:after="0"/>
              <w:rPr>
                <w:sz w:val="20"/>
                <w:szCs w:val="20"/>
                <w:color w:val="auto"/>
              </w:rPr>
            </w:pPr>
            <w:r>
              <w:rPr>
                <w:rFonts w:ascii="Arial" w:cs="Arial" w:eastAsia="Arial" w:hAnsi="Arial"/>
                <w:sz w:val="22"/>
                <w:szCs w:val="22"/>
                <w:color w:val="auto"/>
              </w:rPr>
              <w:t>Interest expense</w:t>
            </w:r>
          </w:p>
        </w:tc>
        <w:tc>
          <w:tcPr>
            <w:tcW w:w="880" w:type="dxa"/>
            <w:vAlign w:val="bottom"/>
          </w:tcPr>
          <w:p>
            <w:pPr>
              <w:jc w:val="right"/>
              <w:spacing w:after="0"/>
              <w:rPr>
                <w:sz w:val="20"/>
                <w:szCs w:val="20"/>
                <w:color w:val="auto"/>
              </w:rPr>
            </w:pPr>
            <w:r>
              <w:rPr>
                <w:rFonts w:ascii="Arial" w:cs="Arial" w:eastAsia="Arial" w:hAnsi="Arial"/>
                <w:sz w:val="22"/>
                <w:szCs w:val="22"/>
                <w:color w:val="auto"/>
              </w:rPr>
              <w:t>$(4.6)</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75"/>
        </w:trPr>
        <w:tc>
          <w:tcPr>
            <w:tcW w:w="3000" w:type="dxa"/>
            <w:vAlign w:val="bottom"/>
          </w:tcPr>
          <w:p>
            <w:pPr>
              <w:spacing w:after="0"/>
              <w:rPr>
                <w:sz w:val="20"/>
                <w:szCs w:val="20"/>
                <w:color w:val="auto"/>
              </w:rPr>
            </w:pPr>
            <w:r>
              <w:rPr>
                <w:rFonts w:ascii="Arial" w:cs="Arial" w:eastAsia="Arial" w:hAnsi="Arial"/>
                <w:sz w:val="22"/>
                <w:szCs w:val="22"/>
                <w:color w:val="auto"/>
                <w:w w:val="91"/>
              </w:rPr>
              <w:t>Investment and other income, net</w:t>
            </w:r>
          </w:p>
        </w:tc>
        <w:tc>
          <w:tcPr>
            <w:tcW w:w="880" w:type="dxa"/>
            <w:vAlign w:val="bottom"/>
          </w:tcPr>
          <w:p>
            <w:pPr>
              <w:jc w:val="right"/>
              <w:spacing w:after="0"/>
              <w:rPr>
                <w:sz w:val="20"/>
                <w:szCs w:val="20"/>
                <w:color w:val="auto"/>
              </w:rPr>
            </w:pPr>
            <w:r>
              <w:rPr>
                <w:rFonts w:ascii="Arial" w:cs="Arial" w:eastAsia="Arial" w:hAnsi="Arial"/>
                <w:sz w:val="22"/>
                <w:szCs w:val="22"/>
                <w:color w:val="auto"/>
              </w:rPr>
              <w:t>1.0</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98"/>
        </w:trPr>
        <w:tc>
          <w:tcPr>
            <w:tcW w:w="300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r>
      <w:tr>
        <w:trPr>
          <w:trHeight w:val="368"/>
        </w:trPr>
        <w:tc>
          <w:tcPr>
            <w:tcW w:w="3000" w:type="dxa"/>
            <w:vAlign w:val="bottom"/>
          </w:tcPr>
          <w:p>
            <w:pPr>
              <w:spacing w:after="0"/>
              <w:rPr>
                <w:sz w:val="20"/>
                <w:szCs w:val="20"/>
                <w:color w:val="auto"/>
              </w:rPr>
            </w:pPr>
            <w:r>
              <w:rPr>
                <w:rFonts w:ascii="Arial" w:cs="Arial" w:eastAsia="Arial" w:hAnsi="Arial"/>
                <w:sz w:val="22"/>
                <w:szCs w:val="22"/>
                <w:color w:val="auto"/>
              </w:rPr>
              <w:t>Other expense, net</w:t>
            </w:r>
          </w:p>
        </w:tc>
        <w:tc>
          <w:tcPr>
            <w:tcW w:w="880" w:type="dxa"/>
            <w:vAlign w:val="bottom"/>
          </w:tcPr>
          <w:p>
            <w:pPr>
              <w:jc w:val="right"/>
              <w:spacing w:after="0"/>
              <w:rPr>
                <w:sz w:val="20"/>
                <w:szCs w:val="20"/>
                <w:color w:val="auto"/>
              </w:rPr>
            </w:pPr>
            <w:r>
              <w:rPr>
                <w:rFonts w:ascii="Arial" w:cs="Arial" w:eastAsia="Arial" w:hAnsi="Arial"/>
                <w:sz w:val="22"/>
                <w:szCs w:val="22"/>
                <w:color w:val="auto"/>
              </w:rPr>
              <w:t>$(3.6)</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$(0.6)</w:t>
            </w:r>
          </w:p>
        </w:tc>
      </w:tr>
      <w:tr>
        <w:trPr>
          <w:trHeight w:val="122"/>
        </w:trPr>
        <w:tc>
          <w:tcPr>
            <w:tcW w:w="300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Interest expense increased in Q1-09 as compared to Q1-08 primarily as a result of higher interest rates on the Company's outstanding debt obligations. Investment and other income, net, decreased primarily due to decreased investment income associated with reduced cash and short-term investment balances.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ectPr>
          <w:pgSz w:w="11900" w:h="16838" w:orient="portrait"/>
          <w:cols w:equalWidth="0" w:num="1">
            <w:col w:w="11400"/>
          </w:cols>
          <w:pgMar w:left="240" w:top="118" w:right="259" w:bottom="12" w:gutter="0" w:footer="0" w:header="0"/>
          <w:type w:val="continuous"/>
        </w:sectPr>
      </w:pPr>
    </w:p>
    <w:bookmarkStart w:id="17" w:name="page18"/>
    <w:bookmarkEnd w:id="17"/>
    <w:p>
      <w:pPr>
        <w:jc w:val="center"/>
        <w:ind w:right="532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80010</wp:posOffset>
            </wp:positionV>
            <wp:extent cx="12693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14" w:lineRule="exact"/>
        <w:rPr>
          <w:sz w:val="20"/>
          <w:szCs w:val="20"/>
          <w:color w:val="auto"/>
        </w:rPr>
      </w:pPr>
    </w:p>
    <w:p>
      <w:pPr>
        <w:ind w:left="2200"/>
        <w:spacing w:after="0"/>
        <w:tabs>
          <w:tab w:leader="none" w:pos="3300" w:val="left"/>
        </w:tabs>
        <w:rPr>
          <w:sz w:val="20"/>
          <w:szCs w:val="20"/>
          <w:color w:val="auto"/>
        </w:rPr>
      </w:pPr>
      <w:r>
        <w:rPr>
          <w:rFonts w:ascii="Arial" w:cs="Arial" w:eastAsia="Arial" w:hAnsi="Arial"/>
          <w:sz w:val="22"/>
          <w:szCs w:val="22"/>
          <w:b w:val="1"/>
          <w:bCs w:val="1"/>
          <w:color w:val="auto"/>
        </w:rPr>
        <w:t>Q1-09</w:t>
      </w:r>
      <w:r>
        <w:rPr>
          <w:sz w:val="20"/>
          <w:szCs w:val="20"/>
          <w:color w:val="auto"/>
        </w:rPr>
        <w:tab/>
      </w:r>
      <w:r>
        <w:rPr>
          <w:rFonts w:ascii="Arial" w:cs="Arial" w:eastAsia="Arial" w:hAnsi="Arial"/>
          <w:sz w:val="19"/>
          <w:szCs w:val="19"/>
          <w:b w:val="1"/>
          <w:bCs w:val="1"/>
          <w:color w:val="auto"/>
        </w:rPr>
        <w:t>Q1-08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80010</wp:posOffset>
            </wp:positionV>
            <wp:extent cx="12693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60" w:type="dxa"/>
            <w:vAlign w:val="bottom"/>
          </w:tcPr>
          <w:p>
            <w:pPr>
              <w:spacing w:after="0"/>
              <w:rPr>
                <w:sz w:val="20"/>
                <w:szCs w:val="20"/>
                <w:color w:val="auto"/>
              </w:rPr>
            </w:pPr>
            <w:r>
              <w:rPr>
                <w:rFonts w:ascii="Arial" w:cs="Arial" w:eastAsia="Arial" w:hAnsi="Arial"/>
                <w:sz w:val="22"/>
                <w:szCs w:val="22"/>
                <w:color w:val="auto"/>
              </w:rPr>
              <w:t>Income tax provision</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$1.2</w:t>
            </w:r>
          </w:p>
        </w:tc>
        <w:tc>
          <w:tcPr>
            <w:tcW w:w="760" w:type="dxa"/>
            <w:vAlign w:val="bottom"/>
          </w:tcPr>
          <w:p>
            <w:pPr>
              <w:jc w:val="right"/>
              <w:spacing w:after="0"/>
              <w:rPr>
                <w:sz w:val="20"/>
                <w:szCs w:val="20"/>
                <w:color w:val="auto"/>
              </w:rPr>
            </w:pPr>
            <w:r>
              <w:rPr>
                <w:rFonts w:ascii="Arial" w:cs="Arial" w:eastAsia="Arial" w:hAnsi="Arial"/>
                <w:sz w:val="22"/>
                <w:szCs w:val="22"/>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firstLine="266"/>
        <w:spacing w:after="0" w:line="282" w:lineRule="auto"/>
        <w:rPr>
          <w:sz w:val="20"/>
          <w:szCs w:val="20"/>
          <w:color w:val="auto"/>
        </w:rPr>
      </w:pPr>
      <w:r>
        <w:rPr>
          <w:rFonts w:ascii="Arial" w:cs="Arial" w:eastAsia="Arial" w:hAnsi="Arial"/>
          <w:sz w:val="19"/>
          <w:szCs w:val="19"/>
          <w:color w:val="auto"/>
        </w:rPr>
        <w:t>The effective income tax rates in Q1-09 and Q1-08 differ from the amount computed by applying the U.S. statutory rate of 35% to the loss before income taxes primarily because income tax provisions incurred in jurisdictions where the Company generated income before income taxes were, due to valuation allowances, not significantly offset by income tax benefits in jurisdictions where the Company incurred losses before income taxes. The income tax provision decreased from $1.9 million in Q1-08 to $1.2 million in Q1-09 primarily due to decreased income before income taxes in jurisdictions where the Company was profitable.</w:t>
      </w:r>
    </w:p>
    <w:p>
      <w:pPr>
        <w:spacing w:after="0" w:line="148" w:lineRule="exact"/>
        <w:rPr>
          <w:sz w:val="20"/>
          <w:szCs w:val="20"/>
          <w:color w:val="auto"/>
        </w:rPr>
      </w:pPr>
    </w:p>
    <w:p>
      <w:pPr>
        <w:ind w:firstLine="266"/>
        <w:spacing w:after="0" w:line="235" w:lineRule="auto"/>
        <w:rPr>
          <w:sz w:val="20"/>
          <w:szCs w:val="20"/>
          <w:color w:val="auto"/>
        </w:rPr>
      </w:pPr>
      <w:r>
        <w:rPr>
          <w:rFonts w:ascii="Arial" w:cs="Arial" w:eastAsia="Arial" w:hAnsi="Arial"/>
          <w:sz w:val="22"/>
          <w:szCs w:val="22"/>
          <w:color w:val="auto"/>
        </w:rPr>
        <w:t>The Company's operations have followed the migration of semiconductor industry fabrication to Asia, where the Company operates in countries where it is accorded favorable tax treatments. PKLT, the Company's FPD manufacturing facility in Taiwan, is accorded a tax holiday, which expires in 2012. In addition, the Company has been accorded a tax holiday in China which is expected to expire in 2011. These tax holidays had no dollar or per share effect in the three months ended February 1, 2009 and January 27, 2008. In Korea and Taiwan, various investment tax credits have been utilized to reduce the Company's effective income tax rate.</w:t>
      </w:r>
    </w:p>
    <w:p>
      <w:pPr>
        <w:spacing w:after="0" w:line="188" w:lineRule="exact"/>
        <w:rPr>
          <w:sz w:val="20"/>
          <w:szCs w:val="20"/>
          <w:color w:val="auto"/>
        </w:rPr>
      </w:pPr>
    </w:p>
    <w:p>
      <w:pPr>
        <w:ind w:right="80" w:firstLine="258"/>
        <w:spacing w:after="0" w:line="235" w:lineRule="auto"/>
        <w:rPr>
          <w:sz w:val="20"/>
          <w:szCs w:val="20"/>
          <w:color w:val="auto"/>
        </w:rPr>
      </w:pPr>
      <w:r>
        <w:rPr>
          <w:rFonts w:ascii="Arial" w:cs="Arial" w:eastAsia="Arial" w:hAnsi="Arial"/>
          <w:sz w:val="22"/>
          <w:szCs w:val="22"/>
          <w:color w:val="auto"/>
        </w:rPr>
        <w:t>As of February 1, 2009 the gross unrecognized tax benefits for income taxes associated with uncertain tax positions totaled approximately $3.1 million. If recognized, the benefits would favorably affect the Company's effective rate in future periods. It is possible that material changes to the gross unrecognized tax benefits may be required during fiscal year 2009. These changes relate to possible settlements in the U.K. and Germany during fiscal year 2009. Though the Company expects these items may result in a net reduction of its unrecognized tax benefits, an estimate of the expected reduction and related income tax benefit cannot be made at this time.</w:t>
      </w:r>
    </w:p>
    <w:p>
      <w:pPr>
        <w:spacing w:after="0" w:line="188" w:lineRule="exact"/>
        <w:rPr>
          <w:sz w:val="20"/>
          <w:szCs w:val="20"/>
          <w:color w:val="auto"/>
        </w:rPr>
      </w:pPr>
    </w:p>
    <w:p>
      <w:pPr>
        <w:ind w:right="66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2004 in the U.S., 2002 in the U.K., 2006 in Germany and 2004 in Korea.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Minority Interest in Income of Consolidated Subsidiaries</w:t>
      </w:r>
    </w:p>
    <w:p>
      <w:pPr>
        <w:spacing w:after="0" w:line="206"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Minority interest decreased $0.7 million to $0.3 million in Q1-09 as compared to Q1-08 primarily due to decreased net income at the Company's non-wholly owned subsidiary in Taiwan. The Company's ownership in its subsidiary in Taiwan was approximately 58% at February 1, 2009 and November 2, 2008, and its ownership in its subsidiary in Korea was approximately 99.7% at February 1, 2009 and November 2, 2008.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00" w:firstLine="266"/>
        <w:spacing w:after="0" w:line="274" w:lineRule="auto"/>
        <w:rPr>
          <w:sz w:val="20"/>
          <w:szCs w:val="20"/>
          <w:color w:val="auto"/>
        </w:rPr>
      </w:pPr>
      <w:r>
        <w:rPr>
          <w:rFonts w:ascii="Arial" w:cs="Arial" w:eastAsia="Arial" w:hAnsi="Arial"/>
          <w:sz w:val="19"/>
          <w:szCs w:val="19"/>
          <w:color w:val="auto"/>
        </w:rPr>
        <w:t>The Company's working capital decreased $46.7 million to $19.7 million at February 1, 2009, as compared to $66.4 million at November 2, 2008, primarily as a result of an increase in the current portion of long-term borrowings related to its U.S. and China credit facilities that were previously reported as long-term. Cash, cash equivalents, and short-term investments decreased to $71.7 million at February 1, 2009 as compared to $85.1 million at November 2, 2008, primarily due to payments for capital expenditures and repayments of long-term borrowings. Cash provided by operating activities was $8.0 million for the three months ended February 1, 2009, as compared to $11.7 million for the same period last year, the decrease primarily due to the Company incurring a greater net loss as compared to the same prior year period. Cash used in investing activities for the three months ended February 1, 2009 was $11.9 million, which is comprised primarily of capital expenditure payments. Cash used in financing activities of $5.5 million for the three months ended February 1, 2009 was primarily comprised of the repayments of long-term borrowings.</w:t>
      </w:r>
    </w:p>
    <w:p>
      <w:pPr>
        <w:spacing w:after="0" w:line="159" w:lineRule="exact"/>
        <w:rPr>
          <w:sz w:val="20"/>
          <w:szCs w:val="20"/>
          <w:color w:val="auto"/>
        </w:rPr>
      </w:pPr>
    </w:p>
    <w:p>
      <w:pPr>
        <w:ind w:right="40" w:firstLine="258"/>
        <w:spacing w:after="0" w:line="235" w:lineRule="auto"/>
        <w:rPr>
          <w:sz w:val="20"/>
          <w:szCs w:val="20"/>
          <w:color w:val="auto"/>
        </w:rPr>
      </w:pPr>
      <w:r>
        <w:rPr>
          <w:rFonts w:ascii="Arial" w:cs="Arial" w:eastAsia="Arial" w:hAnsi="Arial"/>
          <w:sz w:val="22"/>
          <w:szCs w:val="22"/>
          <w:color w:val="auto"/>
        </w:rPr>
        <w:t>At February 1, 2009, the Company had capital commitments outstanding of approximately $29 million. Photronics believes that its currently available resources, together with its capacity for growth, and its access to equity and other sources, will be sufficient to satisfy its currently planned capital expenditures, as well as its anticipated working capital requirements for the remainder of its 2009 fiscal year. However, the Company cannot assure that additional sources of financing would be available to the Company on commercially favorable terms should the Company's capital requirements exceed cash available from operations, existing cash, and its credit facility.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Requirements</w:t>
      </w:r>
    </w:p>
    <w:p>
      <w:pPr>
        <w:spacing w:after="0" w:line="212" w:lineRule="exact"/>
        <w:rPr>
          <w:sz w:val="20"/>
          <w:szCs w:val="20"/>
          <w:color w:val="auto"/>
        </w:rPr>
      </w:pPr>
    </w:p>
    <w:p>
      <w:pPr>
        <w:ind w:right="60" w:firstLine="266"/>
        <w:spacing w:after="0" w:line="287" w:lineRule="auto"/>
        <w:rPr>
          <w:sz w:val="20"/>
          <w:szCs w:val="20"/>
          <w:color w:val="auto"/>
        </w:rPr>
      </w:pPr>
      <w:r>
        <w:rPr>
          <w:rFonts w:ascii="Arial" w:cs="Arial" w:eastAsia="Arial" w:hAnsi="Arial"/>
          <w:sz w:val="19"/>
          <w:szCs w:val="19"/>
          <w:color w:val="auto"/>
        </w:rPr>
        <w:t>The Company's cash requirements in fiscal 2009 will be primarily to fund operations, including capital spending and debt service. The Company believes that its cash on hand, cash generated from operations and amounts available under its credit facility will be sufficient to meet its cash requirements for the remainder of the fiscal year. The Company regularly reviews the availability and terms on which it might issue additional equity or debt securities in the public or private markets. However, the Company</w:t>
      </w:r>
    </w:p>
    <w:p>
      <w:pPr>
        <w:sectPr>
          <w:pgSz w:w="11900" w:h="16838" w:orient="portrait"/>
          <w:cols w:equalWidth="0" w:num="1">
            <w:col w:w="11420"/>
          </w:cols>
          <w:pgMar w:left="240" w:top="112" w:right="239" w:bottom="0" w:gutter="0" w:footer="0" w:header="0"/>
        </w:sectPr>
      </w:pPr>
    </w:p>
    <w:bookmarkStart w:id="18" w:name="page19"/>
    <w:bookmarkEnd w:id="18"/>
    <w:p>
      <w:pPr>
        <w:spacing w:after="0" w:line="103" w:lineRule="exact"/>
        <w:rPr>
          <w:sz w:val="20"/>
          <w:szCs w:val="20"/>
          <w:color w:val="auto"/>
        </w:rPr>
      </w:pPr>
    </w:p>
    <w:p>
      <w:pPr>
        <w:ind w:right="160"/>
        <w:spacing w:after="0" w:line="241" w:lineRule="auto"/>
        <w:rPr>
          <w:sz w:val="20"/>
          <w:szCs w:val="20"/>
          <w:color w:val="auto"/>
        </w:rPr>
      </w:pPr>
      <w:r>
        <w:rPr>
          <w:rFonts w:ascii="Arial" w:cs="Arial" w:eastAsia="Arial" w:hAnsi="Arial"/>
          <w:sz w:val="22"/>
          <w:szCs w:val="22"/>
          <w:color w:val="auto"/>
        </w:rPr>
        <w:t>cannot assure that additional sources of financing would be available to the Company on commercially favorable terms should the Company's capital requirements exceed cash available from operations and existing cash, and cash available under its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12" w:lineRule="exact"/>
        <w:rPr>
          <w:sz w:val="20"/>
          <w:szCs w:val="20"/>
          <w:color w:val="auto"/>
        </w:rPr>
      </w:pPr>
    </w:p>
    <w:p>
      <w:pPr>
        <w:ind w:right="180" w:firstLine="266"/>
        <w:spacing w:after="0" w:line="236" w:lineRule="auto"/>
        <w:rPr>
          <w:sz w:val="20"/>
          <w:szCs w:val="20"/>
          <w:color w:val="auto"/>
        </w:rPr>
      </w:pPr>
      <w:r>
        <w:rPr>
          <w:rFonts w:ascii="Arial" w:cs="Arial" w:eastAsia="Arial" w:hAnsi="Arial"/>
          <w:sz w:val="22"/>
          <w:szCs w:val="22"/>
          <w:color w:val="auto"/>
        </w:rPr>
        <w:t>Total stock-based compensation expense was $0.7 million and $0.5 million for the three months ended February 1, 2009 and January 27, 2008, respectively, substantially all of which is recorded in selling, general and administrative expenses. No compensation cost was capitalized as part of inventory, and no income tax benefit has been recorded. As of February 1, 2009 total unrecognized compensation cost of $6.0 million is expected to be recognized over a weighted average amortization period of 3.6 years.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firstLine="258"/>
        <w:spacing w:after="0" w:line="236" w:lineRule="auto"/>
        <w:rPr>
          <w:sz w:val="20"/>
          <w:szCs w:val="20"/>
          <w:color w:val="auto"/>
        </w:rPr>
      </w:pPr>
      <w:r>
        <w:rPr>
          <w:rFonts w:ascii="Arial" w:cs="Arial" w:eastAsia="Arial" w:hAnsi="Arial"/>
          <w:sz w:val="22"/>
          <w:szCs w:val="22"/>
          <w:color w:val="auto"/>
        </w:rPr>
        <w:t>A majority of the Company's revenue growth is expected to come from the Asian region, as customers increase their use of manufacturing foundries located outside of North America and Europe. Additional revenue growth is also anticipated from North America as a result of utilizing technology licensed under the Company's technology license with Micron. The Company's Korean and Taiwanese operations are non-wholly owned subsidiaries, therefore, a portion of earnings generated at each of these locations is allocated to the minority shareholders.</w:t>
      </w:r>
    </w:p>
    <w:p>
      <w:pPr>
        <w:spacing w:after="0" w:line="188" w:lineRule="exact"/>
        <w:rPr>
          <w:sz w:val="20"/>
          <w:szCs w:val="20"/>
          <w:color w:val="auto"/>
        </w:rPr>
      </w:pPr>
    </w:p>
    <w:p>
      <w:pPr>
        <w:ind w:right="500" w:firstLine="266"/>
        <w:spacing w:after="0" w:line="252" w:lineRule="auto"/>
        <w:rPr>
          <w:sz w:val="20"/>
          <w:szCs w:val="20"/>
          <w:color w:val="auto"/>
        </w:rPr>
      </w:pPr>
      <w:r>
        <w:rPr>
          <w:rFonts w:ascii="Arial" w:cs="Arial" w:eastAsia="Arial" w:hAnsi="Arial"/>
          <w:sz w:val="21"/>
          <w:szCs w:val="21"/>
          <w:color w:val="auto"/>
        </w:rPr>
        <w:t>The Company continues to assess its global manufacturing strategy and monitor its market capitalization, sales volume and related cash flows from operations. This ongoing assessment could result in future facilities closures, asset redeployments, additional impairments of intangible or long-lived assets, workforce reductions, or the addition of increased manufacturing facilities, all of which would be based on market conditions and customer requirements.</w:t>
      </w:r>
    </w:p>
    <w:p>
      <w:pPr>
        <w:spacing w:after="0" w:line="174" w:lineRule="exact"/>
        <w:rPr>
          <w:sz w:val="20"/>
          <w:szCs w:val="20"/>
          <w:color w:val="auto"/>
        </w:rPr>
      </w:pPr>
    </w:p>
    <w:p>
      <w:pPr>
        <w:ind w:right="220" w:firstLine="266"/>
        <w:spacing w:after="0" w:line="274" w:lineRule="auto"/>
        <w:rPr>
          <w:sz w:val="20"/>
          <w:szCs w:val="20"/>
          <w:color w:val="auto"/>
        </w:rPr>
      </w:pPr>
      <w:r>
        <w:rPr>
          <w:rFonts w:ascii="Arial" w:cs="Arial" w:eastAsia="Arial" w:hAnsi="Arial"/>
          <w:sz w:val="21"/>
          <w:szCs w:val="21"/>
          <w:color w:val="auto"/>
        </w:rPr>
        <w:t>The Company's future results of operations and the other forward-looking statements contained in this filing involve a number of risks and uncertainties, which could cause actual results to differ materially from the Company's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1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Under the Operating Agreement relating to the MP Mask joint venture, through May 5, 2010, the Company may be required to make additional capital contributions to the joint venture of up to a maximum amount as defined in the Operating Agreement. Through the end of fiscal 2008, the Company has contributed $6.1 million to the joint venture, and has received a distribution from the joint venture of $5.0 million. During the three months ended February 1, 2009, there were no contributions made to the joint venture by the Company, and no distributions were received by the Company from the joint venture.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Application of Critical Accounting Procedures</w:t>
      </w:r>
    </w:p>
    <w:p>
      <w:pPr>
        <w:spacing w:after="0" w:line="212" w:lineRule="exact"/>
        <w:rPr>
          <w:sz w:val="20"/>
          <w:szCs w:val="20"/>
          <w:color w:val="auto"/>
        </w:rPr>
      </w:pPr>
    </w:p>
    <w:p>
      <w:pPr>
        <w:ind w:right="420" w:firstLine="324"/>
        <w:spacing w:after="0" w:line="238" w:lineRule="auto"/>
        <w:rPr>
          <w:sz w:val="20"/>
          <w:szCs w:val="20"/>
          <w:color w:val="auto"/>
        </w:rPr>
      </w:pPr>
      <w:r>
        <w:rPr>
          <w:rFonts w:ascii="Arial" w:cs="Arial" w:eastAsia="Arial" w:hAnsi="Arial"/>
          <w:sz w:val="22"/>
          <w:szCs w:val="22"/>
          <w:color w:val="auto"/>
        </w:rPr>
        <w:t>The Company's condensed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Estimates and Assumptions</w:t>
      </w:r>
    </w:p>
    <w:p>
      <w:pPr>
        <w:spacing w:after="0" w:line="206" w:lineRule="exact"/>
        <w:rPr>
          <w:sz w:val="20"/>
          <w:szCs w:val="20"/>
          <w:color w:val="auto"/>
        </w:rPr>
      </w:pPr>
    </w:p>
    <w:p>
      <w:pPr>
        <w:ind w:right="20" w:firstLine="266"/>
        <w:spacing w:after="0" w:line="247" w:lineRule="auto"/>
        <w:rPr>
          <w:sz w:val="20"/>
          <w:szCs w:val="20"/>
          <w:color w:val="auto"/>
        </w:rPr>
      </w:pPr>
      <w:r>
        <w:rPr>
          <w:rFonts w:ascii="Arial" w:cs="Arial" w:eastAsia="Arial" w:hAnsi="Arial"/>
          <w:sz w:val="21"/>
          <w:szCs w:val="21"/>
          <w:color w:val="auto"/>
        </w:rPr>
        <w:t>The preparation of condensed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Significant accounting estimates include those used in the testing of long-lived assets and goodwill for potential impairment, and those used in developing income tax provisions, allowances for uncollectible accounts receivable, inventory valuation allowances, and restructuring reserves. The Company's estimates are based on the facts and circumstances available at the time. Changes in accounting estimates used are likely to occur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 Instruments and Hedging Activities</w:t>
      </w:r>
    </w:p>
    <w:p>
      <w:pPr>
        <w:spacing w:after="0" w:line="206" w:lineRule="exact"/>
        <w:rPr>
          <w:sz w:val="20"/>
          <w:szCs w:val="20"/>
          <w:color w:val="auto"/>
        </w:rPr>
      </w:pPr>
    </w:p>
    <w:p>
      <w:pPr>
        <w:ind w:right="200" w:firstLine="266"/>
        <w:spacing w:after="0" w:line="279" w:lineRule="auto"/>
        <w:rPr>
          <w:sz w:val="20"/>
          <w:szCs w:val="20"/>
          <w:color w:val="auto"/>
        </w:rPr>
      </w:pPr>
      <w:r>
        <w:rPr>
          <w:rFonts w:ascii="Arial" w:cs="Arial" w:eastAsia="Arial" w:hAnsi="Arial"/>
          <w:sz w:val="19"/>
          <w:szCs w:val="19"/>
          <w:color w:val="auto"/>
        </w:rPr>
        <w:t>The Company records derivatives in the condensed consolidated balance sheets as assets or liabilities, measured at fair value. The Company does not engage in derivative instruments for speculative purposes. Gains or losses resulting from changes in the values of those derivatives are reported in the condensed consolidated statements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w:t>
      </w:r>
    </w:p>
    <w:p>
      <w:pPr>
        <w:sectPr>
          <w:pgSz w:w="11900" w:h="16941" w:orient="portrait"/>
          <w:cols w:equalWidth="0" w:num="1">
            <w:col w:w="11420"/>
          </w:cols>
          <w:pgMar w:left="240" w:top="118" w:right="239" w:bottom="0" w:gutter="0" w:footer="0" w:header="0"/>
        </w:sectPr>
      </w:pPr>
    </w:p>
    <w:bookmarkStart w:id="19" w:name="page20"/>
    <w:bookmarkEnd w:id="19"/>
    <w:p>
      <w:pPr>
        <w:ind w:right="140"/>
        <w:spacing w:after="0" w:line="252" w:lineRule="auto"/>
        <w:rPr>
          <w:sz w:val="20"/>
          <w:szCs w:val="20"/>
          <w:color w:val="auto"/>
        </w:rPr>
      </w:pPr>
      <w:r>
        <w:rPr>
          <w:rFonts w:ascii="Arial" w:cs="Arial" w:eastAsia="Arial" w:hAnsi="Arial"/>
          <w:sz w:val="21"/>
          <w:szCs w:val="21"/>
          <w:color w:val="auto"/>
        </w:rPr>
        <w:t>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Property, Plant and Equipment</w:t>
      </w:r>
    </w:p>
    <w:p>
      <w:pPr>
        <w:spacing w:after="0" w:line="206"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88" w:lineRule="exact"/>
        <w:rPr>
          <w:sz w:val="20"/>
          <w:szCs w:val="20"/>
          <w:color w:val="auto"/>
        </w:rPr>
      </w:pPr>
    </w:p>
    <w:p>
      <w:pPr>
        <w:ind w:right="220" w:firstLine="270"/>
        <w:spacing w:after="0" w:line="275" w:lineRule="auto"/>
        <w:rPr>
          <w:sz w:val="20"/>
          <w:szCs w:val="20"/>
          <w:color w:val="auto"/>
        </w:rPr>
      </w:pPr>
      <w:r>
        <w:rPr>
          <w:rFonts w:ascii="Arial" w:cs="Arial" w:eastAsia="Arial" w:hAnsi="Arial"/>
          <w:sz w:val="19"/>
          <w:szCs w:val="19"/>
          <w:color w:val="auto"/>
        </w:rPr>
        <w:t>Depreciation and amortization are computed on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 may not be recoverable. Fair value amounts used in these analyses represent management's best estimate of fair values.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Goodwill and Other Intangible Assets</w:t>
      </w:r>
    </w:p>
    <w:p>
      <w:pPr>
        <w:spacing w:after="0" w:line="206" w:lineRule="exact"/>
        <w:rPr>
          <w:sz w:val="20"/>
          <w:szCs w:val="20"/>
          <w:color w:val="auto"/>
        </w:rPr>
      </w:pPr>
    </w:p>
    <w:p>
      <w:pPr>
        <w:ind w:right="80" w:firstLine="270"/>
        <w:spacing w:after="0" w:line="234" w:lineRule="auto"/>
        <w:rPr>
          <w:sz w:val="20"/>
          <w:szCs w:val="20"/>
          <w:color w:val="auto"/>
        </w:rPr>
      </w:pPr>
      <w:r>
        <w:rPr>
          <w:rFonts w:ascii="Arial" w:cs="Arial" w:eastAsia="Arial" w:hAnsi="Arial"/>
          <w:sz w:val="22"/>
          <w:szCs w:val="22"/>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on a straight-line basis or another method that more fairly represents the utilization of the assets. The future economic benefit of the carrying values of intangible assets that are subject to amortization are tested for recoverability whenever events or changes in circumstances indicate the carrying value of an intangible asset may not be recoverable based on discounted cash flows or market factors and an impairment loss would be recorded in the period so determined.</w:t>
      </w:r>
    </w:p>
    <w:p>
      <w:pPr>
        <w:spacing w:after="0" w:line="191" w:lineRule="exact"/>
        <w:rPr>
          <w:sz w:val="20"/>
          <w:szCs w:val="20"/>
          <w:color w:val="auto"/>
        </w:rPr>
      </w:pPr>
    </w:p>
    <w:p>
      <w:pPr>
        <w:ind w:right="40" w:firstLine="270"/>
        <w:spacing w:after="0" w:line="273" w:lineRule="auto"/>
        <w:rPr>
          <w:sz w:val="20"/>
          <w:szCs w:val="20"/>
          <w:color w:val="auto"/>
        </w:rPr>
      </w:pPr>
      <w:r>
        <w:rPr>
          <w:rFonts w:ascii="Arial" w:cs="Arial" w:eastAsia="Arial" w:hAnsi="Arial"/>
          <w:sz w:val="19"/>
          <w:szCs w:val="19"/>
          <w:color w:val="auto"/>
        </w:rPr>
        <w:t>In accordance with SFAS No. 142, 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For purposes of testing impairment under SFAS No. 142, the Company was a single reporting unit. If the fair value of the reporting unit exceeded the carrying value of its net assets, goodwill was considered not impaired and no further testing was required. If the carrying value of the net assets exceeded the fair value of the reporting unit, a second step of the impairment test was performed in order to determine the implied fair value of a reporting unit's goodwill. Determining the implied fair value of goodwill required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60" w:firstLine="270"/>
        <w:spacing w:after="0" w:line="251" w:lineRule="auto"/>
        <w:rPr>
          <w:sz w:val="20"/>
          <w:szCs w:val="20"/>
          <w:color w:val="auto"/>
        </w:rPr>
      </w:pPr>
      <w:r>
        <w:rPr>
          <w:rFonts w:ascii="Arial" w:cs="Arial" w:eastAsia="Arial" w:hAnsi="Arial"/>
          <w:sz w:val="22"/>
          <w:szCs w:val="22"/>
          <w:color w:val="auto"/>
        </w:rPr>
        <w:t>In connection with the Company's latest test, the Company wrote off all of its $138.5 million of goodwill in its third fiscal quarter of 2008.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Impairment of Long-Lived Assets</w:t>
      </w:r>
    </w:p>
    <w:p>
      <w:pPr>
        <w:spacing w:after="0" w:line="206" w:lineRule="exact"/>
        <w:rPr>
          <w:sz w:val="20"/>
          <w:szCs w:val="20"/>
          <w:color w:val="auto"/>
        </w:rPr>
      </w:pPr>
    </w:p>
    <w:p>
      <w:pPr>
        <w:ind w:right="80" w:firstLine="258"/>
        <w:spacing w:after="0" w:line="282" w:lineRule="auto"/>
        <w:rPr>
          <w:sz w:val="20"/>
          <w:szCs w:val="20"/>
          <w:color w:val="auto"/>
        </w:rPr>
      </w:pPr>
      <w:r>
        <w:rPr>
          <w:rFonts w:ascii="Arial" w:cs="Arial" w:eastAsia="Arial" w:hAnsi="Arial"/>
          <w:sz w:val="19"/>
          <w:szCs w:val="19"/>
          <w:color w:val="auto"/>
        </w:rPr>
        <w:t xml:space="preserve">As required by SFAS No. 144, </w:t>
      </w:r>
      <w:r>
        <w:rPr>
          <w:rFonts w:ascii="Arial" w:cs="Arial" w:eastAsia="Arial" w:hAnsi="Arial"/>
          <w:sz w:val="19"/>
          <w:szCs w:val="19"/>
          <w:i w:val="1"/>
          <w:iCs w:val="1"/>
          <w:color w:val="auto"/>
        </w:rPr>
        <w:t>"Accounting for the Impairment or Disposal of Long-Lived Assets,"</w:t>
      </w:r>
      <w:r>
        <w:rPr>
          <w:rFonts w:ascii="Arial" w:cs="Arial" w:eastAsia="Arial" w:hAnsi="Arial"/>
          <w:sz w:val="19"/>
          <w:szCs w:val="19"/>
          <w:color w:val="auto"/>
        </w:rPr>
        <w:t xml:space="preserve"> 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and certain identifiable intangible assets that management expects to hold and use is based on the fair value of the asset.</w:t>
      </w:r>
    </w:p>
    <w:p>
      <w:pPr>
        <w:spacing w:after="0" w:line="148" w:lineRule="exact"/>
        <w:rPr>
          <w:sz w:val="20"/>
          <w:szCs w:val="20"/>
          <w:color w:val="auto"/>
        </w:rPr>
      </w:pPr>
    </w:p>
    <w:p>
      <w:pPr>
        <w:ind w:right="280" w:firstLine="266"/>
        <w:spacing w:after="0"/>
        <w:rPr>
          <w:sz w:val="20"/>
          <w:szCs w:val="20"/>
          <w:color w:val="auto"/>
        </w:rPr>
      </w:pPr>
      <w:r>
        <w:rPr>
          <w:rFonts w:ascii="Arial" w:cs="Arial" w:eastAsia="Arial" w:hAnsi="Arial"/>
          <w:sz w:val="22"/>
          <w:szCs w:val="22"/>
          <w:color w:val="auto"/>
        </w:rPr>
        <w:t>The carrying values of the assets determined to be impaired are reduced to their estimated fair values. The fair values of the impaired assets are determined based on market conditions, the income approach which utilizes cash flow projections, and other factors.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in Joint Venture</w:t>
      </w:r>
    </w:p>
    <w:p>
      <w:pPr>
        <w:spacing w:after="0" w:line="206"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 xml:space="preserve">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w:t>
      </w:r>
      <w:r>
        <w:rPr>
          <w:rFonts w:ascii="Arial" w:cs="Arial" w:eastAsia="Arial" w:hAnsi="Arial"/>
          <w:sz w:val="19"/>
          <w:szCs w:val="19"/>
          <w:i w:val="1"/>
          <w:iCs w:val="1"/>
          <w:color w:val="auto"/>
        </w:rPr>
        <w:t>The Equity Method</w:t>
      </w:r>
      <w:r>
        <w:rPr>
          <w:rFonts w:ascii="Arial" w:cs="Arial" w:eastAsia="Arial" w:hAnsi="Arial"/>
          <w:sz w:val="19"/>
          <w:szCs w:val="19"/>
          <w:color w:val="auto"/>
        </w:rPr>
        <w:t xml:space="preserve"> </w:t>
      </w:r>
      <w:r>
        <w:rPr>
          <w:rFonts w:ascii="Arial" w:cs="Arial" w:eastAsia="Arial" w:hAnsi="Arial"/>
          <w:sz w:val="19"/>
          <w:szCs w:val="19"/>
          <w:i w:val="1"/>
          <w:iCs w:val="1"/>
          <w:color w:val="auto"/>
        </w:rPr>
        <w:t>of Accounting for Investments in Common Stock</w:t>
      </w:r>
      <w:r>
        <w:rPr>
          <w:rFonts w:ascii="Arial" w:cs="Arial" w:eastAsia="Arial" w:hAnsi="Arial"/>
          <w:sz w:val="19"/>
          <w:szCs w:val="19"/>
          <w:color w:val="auto"/>
        </w:rPr>
        <w:t>. An impairment loss would be recorded whenever a decline in the value of an</w:t>
      </w:r>
    </w:p>
    <w:p>
      <w:pPr>
        <w:sectPr>
          <w:pgSz w:w="11900" w:h="16838" w:orient="portrait"/>
          <w:cols w:equalWidth="0" w:num="1">
            <w:col w:w="11380"/>
          </w:cols>
          <w:pgMar w:left="240" w:top="118" w:right="279" w:bottom="0" w:gutter="0" w:footer="0" w:header="0"/>
        </w:sectPr>
      </w:pPr>
    </w:p>
    <w:bookmarkStart w:id="20" w:name="page21"/>
    <w:bookmarkEnd w:id="20"/>
    <w:p>
      <w:pPr>
        <w:ind w:right="380"/>
        <w:spacing w:after="0" w:line="238" w:lineRule="auto"/>
        <w:rPr>
          <w:sz w:val="20"/>
          <w:szCs w:val="20"/>
          <w:color w:val="auto"/>
        </w:rPr>
      </w:pPr>
      <w:r>
        <w:rPr>
          <w:rFonts w:ascii="Arial" w:cs="Arial" w:eastAsia="Arial" w:hAnsi="Arial"/>
          <w:sz w:val="22"/>
          <w:szCs w:val="22"/>
          <w:color w:val="auto"/>
        </w:rPr>
        <w:t>equity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the Company's longer-term intent of retaining the investment in the investee.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06" w:lineRule="exact"/>
        <w:rPr>
          <w:sz w:val="20"/>
          <w:szCs w:val="20"/>
          <w:color w:val="auto"/>
        </w:rPr>
      </w:pPr>
    </w:p>
    <w:p>
      <w:pPr>
        <w:ind w:right="200" w:firstLine="266"/>
        <w:spacing w:after="0" w:line="235" w:lineRule="auto"/>
        <w:rPr>
          <w:sz w:val="20"/>
          <w:szCs w:val="20"/>
          <w:color w:val="auto"/>
        </w:rPr>
      </w:pPr>
      <w:r>
        <w:rPr>
          <w:rFonts w:ascii="Arial" w:cs="Arial" w:eastAsia="Arial" w:hAnsi="Arial"/>
          <w:sz w:val="22"/>
          <w:szCs w:val="22"/>
          <w:color w:val="auto"/>
        </w:rPr>
        <w:t>The income tax (provision) benefit is computed on the basis of the various tax jurisdictions' financial statement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 by considering future market growth, forecasted operations, future taxable income, and the mix of earnings in the tax jurisdictions in which it operates.</w:t>
      </w:r>
    </w:p>
    <w:p>
      <w:pPr>
        <w:spacing w:after="0" w:line="188" w:lineRule="exact"/>
        <w:rPr>
          <w:sz w:val="20"/>
          <w:szCs w:val="20"/>
          <w:color w:val="auto"/>
        </w:rPr>
      </w:pPr>
    </w:p>
    <w:p>
      <w:pPr>
        <w:ind w:right="260" w:firstLine="266"/>
        <w:spacing w:after="0" w:line="246" w:lineRule="auto"/>
        <w:rPr>
          <w:sz w:val="20"/>
          <w:szCs w:val="20"/>
          <w:color w:val="auto"/>
        </w:rPr>
      </w:pPr>
      <w:r>
        <w:rPr>
          <w:rFonts w:ascii="Arial" w:cs="Arial" w:eastAsia="Arial" w:hAnsi="Arial"/>
          <w:sz w:val="21"/>
          <w:szCs w:val="21"/>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condensed consolidated balance sheets. Additionally, the Company evaluates the recoverability of deferred income tax assets from future taxable income and establishes valuation allowances if recovery is deemed not likely. Accordingly, the income tax provision in the condensed consolidated statements of operations is impacted by changes in the valuation allowance. Significant management estimates and judgment are required in determining any valuation allowance recorded against net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Recognition</w:t>
      </w:r>
    </w:p>
    <w:p>
      <w:pPr>
        <w:spacing w:after="0" w:line="206" w:lineRule="exact"/>
        <w:rPr>
          <w:sz w:val="20"/>
          <w:szCs w:val="20"/>
          <w:color w:val="auto"/>
        </w:rPr>
      </w:pPr>
    </w:p>
    <w:p>
      <w:pPr>
        <w:jc w:val="both"/>
        <w:ind w:right="60" w:firstLine="266"/>
        <w:spacing w:after="0" w:line="297" w:lineRule="auto"/>
        <w:rPr>
          <w:sz w:val="20"/>
          <w:szCs w:val="20"/>
          <w:color w:val="auto"/>
        </w:rPr>
      </w:pPr>
      <w:r>
        <w:rPr>
          <w:rFonts w:ascii="Arial" w:cs="Arial" w:eastAsia="Arial" w:hAnsi="Arial"/>
          <w:sz w:val="19"/>
          <w:szCs w:val="19"/>
          <w:color w:val="auto"/>
        </w:rPr>
        <w:t>The Company recognizes revenue when there is persuasive evidence that an arrangement exists, delivery has occurred, the sales price is fixed or determinable, and collectibility is reasonably assured. The Company uses judgment when estimating the effect on revenue of discounts and product warranty obligations, both of which are accrued when the related revenue is recognized.</w:t>
      </w:r>
    </w:p>
    <w:p>
      <w:pPr>
        <w:spacing w:after="0" w:line="134" w:lineRule="exact"/>
        <w:rPr>
          <w:sz w:val="20"/>
          <w:szCs w:val="20"/>
          <w:color w:val="auto"/>
        </w:rPr>
      </w:pPr>
    </w:p>
    <w:p>
      <w:pPr>
        <w:ind w:right="260" w:firstLine="324"/>
        <w:spacing w:after="0" w:line="251" w:lineRule="auto"/>
        <w:rPr>
          <w:sz w:val="20"/>
          <w:szCs w:val="20"/>
          <w:color w:val="auto"/>
        </w:rPr>
      </w:pPr>
      <w:r>
        <w:rPr>
          <w:rFonts w:ascii="Arial" w:cs="Arial" w:eastAsia="Arial" w:hAnsi="Arial"/>
          <w:sz w:val="22"/>
          <w:szCs w:val="22"/>
          <w:u w:val="single" w:color="auto"/>
          <w:color w:val="auto"/>
        </w:rPr>
        <w:t>Product Returns</w:t>
      </w:r>
      <w:r>
        <w:rPr>
          <w:rFonts w:ascii="Arial" w:cs="Arial" w:eastAsia="Arial" w:hAnsi="Arial"/>
          <w:sz w:val="22"/>
          <w:szCs w:val="22"/>
          <w:color w:val="auto"/>
        </w:rPr>
        <w:t>- Customer returns have historically been insignificant. However, the Company does record a liability for the insignificant amount of estimated sales returns based upon historical experience.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u w:val="single" w:color="auto"/>
          <w:color w:val="auto"/>
        </w:rPr>
        <w:t>Warranties and Other Post Shipment Obligations</w:t>
      </w:r>
      <w:r>
        <w:rPr>
          <w:rFonts w:ascii="Arial" w:cs="Arial" w:eastAsia="Arial" w:hAnsi="Arial"/>
          <w:sz w:val="21"/>
          <w:szCs w:val="21"/>
          <w:color w:val="auto"/>
        </w:rPr>
        <w:t xml:space="preserve"> - For a 30-day period, the Company warrants that items sold will conform to customer specification.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revenue recognition, a liability is established for these items.</w:t>
      </w:r>
    </w:p>
    <w:p>
      <w:pPr>
        <w:spacing w:after="0" w:line="178"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u w:val="single" w:color="auto"/>
          <w:color w:val="auto"/>
        </w:rPr>
        <w:t>Sales Taxes</w:t>
      </w:r>
      <w:r>
        <w:rPr>
          <w:rFonts w:ascii="Arial" w:cs="Arial" w:eastAsia="Arial" w:hAnsi="Arial"/>
          <w:sz w:val="22"/>
          <w:szCs w:val="22"/>
          <w:color w:val="auto"/>
        </w:rPr>
        <w:t xml:space="preserve"> - The Company presents it revenues in the consolidated statements of operations net of sales taxes, if any (excluded from revenues).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New Accounting Standards</w:t>
      </w:r>
    </w:p>
    <w:p>
      <w:pPr>
        <w:spacing w:after="0" w:line="212"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May 2008, the Financial Accounting Standards Board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FSP No. APB 14-1 is effective for fiscal years beginning after December 15, 2008 and interim periods within those fiscal years, and is required to be retrospectively applied. The Company is evaluating the impact, if any, that the adoption of FSP No. APB 14-1 will have on its consolidated financial statements.</w:t>
      </w:r>
    </w:p>
    <w:p>
      <w:pPr>
        <w:spacing w:after="0" w:line="153"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In May 2008, the FASB issued Statement of Financial Accounting Standards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became effective in November 2008. Its adoption had no impact on the Company's consolidated financial statements.</w:t>
      </w:r>
    </w:p>
    <w:p>
      <w:pPr>
        <w:spacing w:after="0" w:line="188"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w:t>
      </w:r>
    </w:p>
    <w:p>
      <w:pPr>
        <w:sectPr>
          <w:pgSz w:w="11900" w:h="16838" w:orient="portrait"/>
          <w:cols w:equalWidth="0" w:num="1">
            <w:col w:w="11400"/>
          </w:cols>
          <w:pgMar w:left="240" w:top="118" w:right="259" w:bottom="0" w:gutter="0" w:footer="0" w:header="0"/>
        </w:sectPr>
      </w:pPr>
    </w:p>
    <w:bookmarkStart w:id="21" w:name="page22"/>
    <w:bookmarkEnd w:id="21"/>
    <w:p>
      <w:pPr>
        <w:ind w:right="380"/>
        <w:spacing w:after="0" w:line="274" w:lineRule="auto"/>
        <w:rPr>
          <w:sz w:val="20"/>
          <w:szCs w:val="20"/>
          <w:color w:val="auto"/>
        </w:rPr>
      </w:pPr>
      <w:r>
        <w:rPr>
          <w:rFonts w:ascii="Arial" w:cs="Arial" w:eastAsia="Arial" w:hAnsi="Arial"/>
          <w:sz w:val="21"/>
          <w:szCs w:val="21"/>
          <w:color w:val="auto"/>
        </w:rPr>
        <w:t>No. 161 is effective for financial statements issued for fiscal years and interim periods beginning after November 15, 2008. The Company is evaluating the impact, if any, SFAS No. 161 will have on its consolidated financial statements.</w:t>
      </w:r>
    </w:p>
    <w:p>
      <w:pPr>
        <w:spacing w:after="0" w:line="151" w:lineRule="exact"/>
        <w:rPr>
          <w:sz w:val="20"/>
          <w:szCs w:val="20"/>
          <w:color w:val="auto"/>
        </w:rPr>
      </w:pPr>
    </w:p>
    <w:p>
      <w:pPr>
        <w:ind w:right="340" w:firstLine="324"/>
        <w:spacing w:after="0" w:line="282"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for the deconsolidation of a subsidiary. SFAS No. 160 is effective for financial statements issued for fiscal years beginning after December 15, 2008, and interim statements within those fiscal years. The Company is currently evaluating the impact, if any, SFAS No. 160 will have on its consolidated financial statements.</w:t>
      </w:r>
    </w:p>
    <w:p>
      <w:pPr>
        <w:spacing w:after="0" w:line="148"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270"/>
        <w:spacing w:after="0" w:line="235"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and is effective as of the beginning of an entity's first fiscal year that begins after November 15, 2007. The Company adopted SFAS No. 159 effective November 3, 2008 but has chosen not to elect the fair value option for any items that were not previously required to be measured at fair value in accordance with accounting principles generally accepted in the United States.</w:t>
      </w:r>
    </w:p>
    <w:p>
      <w:pPr>
        <w:spacing w:after="0" w:line="188"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that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has deferred adoption of SFAS No. 157 for one year for nonfinancial assets and nonfinancial liabilities that are recognized or disclosed at fair value in the financial statements on a nonrecurring basis. The Company adopted SFAS No. 157 for its financial assets and liabilities and its non-financial assets and liabilities measured on a recurring basis in its first fiscal quarter of 2009.</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ind w:right="40" w:firstLine="266"/>
        <w:spacing w:after="0" w:line="244" w:lineRule="auto"/>
        <w:rPr>
          <w:sz w:val="20"/>
          <w:szCs w:val="20"/>
          <w:color w:val="auto"/>
        </w:rPr>
      </w:pPr>
      <w:r>
        <w:rPr>
          <w:rFonts w:ascii="Arial" w:cs="Arial" w:eastAsia="Arial" w:hAnsi="Arial"/>
          <w:sz w:val="21"/>
          <w:szCs w:val="21"/>
          <w:color w:val="auto"/>
        </w:rPr>
        <w:t>The Company records derivatives on the balance sheet as assets or liabilities, measured at broker quoted values which are derived from their proprietary models or by other means employed by such brokers.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2" w:lineRule="exact"/>
        <w:rPr>
          <w:sz w:val="20"/>
          <w:szCs w:val="20"/>
          <w:color w:val="auto"/>
        </w:rPr>
      </w:pPr>
    </w:p>
    <w:p>
      <w:pPr>
        <w:ind w:right="60" w:firstLine="266"/>
        <w:spacing w:after="0" w:line="249" w:lineRule="auto"/>
        <w:rPr>
          <w:sz w:val="20"/>
          <w:szCs w:val="20"/>
          <w:color w:val="auto"/>
        </w:rPr>
      </w:pPr>
      <w:r>
        <w:rPr>
          <w:rFonts w:ascii="Arial" w:cs="Arial" w:eastAsia="Arial" w:hAnsi="Arial"/>
          <w:sz w:val="21"/>
          <w:szCs w:val="21"/>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assets, liabilities and retained earnings. The functional currencies of the Company's Asian subsidiaries are the Korean won, New Taiwan dollar, Chinese renminbi, and Singapore dollar. The functional currencies of the Company's European subsidiaries are the British pound and the euro.</w:t>
      </w:r>
    </w:p>
    <w:p>
      <w:pPr>
        <w:sectPr>
          <w:pgSz w:w="11900" w:h="16838" w:orient="portrait"/>
          <w:cols w:equalWidth="0" w:num="1">
            <w:col w:w="11420"/>
          </w:cols>
          <w:pgMar w:left="240" w:top="118" w:right="239" w:bottom="101" w:gutter="0" w:footer="0" w:header="0"/>
        </w:sectPr>
      </w:pPr>
    </w:p>
    <w:bookmarkStart w:id="22" w:name="page23"/>
    <w:bookmarkEnd w:id="22"/>
    <w:p>
      <w:pPr>
        <w:ind w:firstLine="266"/>
        <w:spacing w:after="0" w:line="277" w:lineRule="auto"/>
        <w:rPr>
          <w:sz w:val="20"/>
          <w:szCs w:val="20"/>
          <w:color w:val="auto"/>
        </w:rPr>
      </w:pPr>
      <w:r>
        <w:rPr>
          <w:rFonts w:ascii="Arial" w:cs="Arial" w:eastAsia="Arial" w:hAnsi="Arial"/>
          <w:sz w:val="19"/>
          <w:szCs w:val="19"/>
          <w:color w:val="auto"/>
        </w:rPr>
        <w:t>The Company attempts to minimize its risk of foreign currency transaction losses by producing its products in the same country in which the products are sold and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For the past several years the Company has not experienced a significant foreign exchange loss on these transactions in its statement of operations. The Company does not engage in purchasing forward exchange contracts for speculative purposes.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firstLine="266"/>
        <w:spacing w:after="0" w:line="282" w:lineRule="auto"/>
        <w:rPr>
          <w:sz w:val="20"/>
          <w:szCs w:val="20"/>
          <w:color w:val="auto"/>
        </w:rPr>
      </w:pPr>
      <w:r>
        <w:rPr>
          <w:rFonts w:ascii="Arial" w:cs="Arial" w:eastAsia="Arial" w:hAnsi="Arial"/>
          <w:sz w:val="19"/>
          <w:szCs w:val="19"/>
          <w:color w:val="auto"/>
        </w:rPr>
        <w:t>The Company's primary net foreign currency exposures as of February 1, 2009 included the Korean won, the Japanese yen, the Singapore dollar, the New Taiwan dollar, the Chinese renminbi, the British pound, and the euro. As of February 1, 2009, a 10% adverse movement in the value of these currencies against the U.S. dollar would have resulted in a net unrealized pre-tax loss of $4.6 million. The Company does not believe that a 10% change in the exchange rates of other non-U.S. dollar currencies would have a material effect on its consolidated financial position, results of operations, or cash flows.</w:t>
      </w:r>
    </w:p>
    <w:p>
      <w:pPr>
        <w:spacing w:after="0" w:line="148" w:lineRule="exact"/>
        <w:rPr>
          <w:sz w:val="20"/>
          <w:szCs w:val="20"/>
          <w:color w:val="auto"/>
        </w:rPr>
      </w:pPr>
    </w:p>
    <w:p>
      <w:pPr>
        <w:ind w:right="280" w:firstLine="270"/>
        <w:spacing w:after="0" w:line="252" w:lineRule="auto"/>
        <w:rPr>
          <w:sz w:val="20"/>
          <w:szCs w:val="20"/>
          <w:color w:val="auto"/>
        </w:rPr>
      </w:pPr>
      <w:r>
        <w:rPr>
          <w:rFonts w:ascii="Arial" w:cs="Arial" w:eastAsia="Arial" w:hAnsi="Arial"/>
          <w:sz w:val="21"/>
          <w:szCs w:val="21"/>
          <w:color w:val="auto"/>
        </w:rPr>
        <w:t>In April, 2006, the Company's Korean subsidiary entered into a foreign currency rate swap contract which, under the terms of the contract, effectively converted a $50 million interest bearing intercompany loan denominated in U.S. dollars to Korean won. The intercompany loan was repaid and related swap settled during the nine month period ended July 27, 2008, including a final payment of $5.0 million during the three month period ended July 27, 2008.</w:t>
      </w:r>
    </w:p>
    <w:p>
      <w:pPr>
        <w:spacing w:after="0" w:line="174"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In accordance with SFAS No. 133, "Accounting for Derivatives and Hedging Activities," hedges related to anticipated transactions are designated and documented at their inception as cash flow hedges and are evaluated for effectiveness. The Company records these derivative instruments in either current assets, noncurrent assets, or accrued liabilities, depending on their net position, at broker quoted value regardless of the purpose or intent for holding the instrument. Changes in the fair value of derivative financial instruments are recognized in earnings for the ineffective portion of hedges, or in shareholders equity as a component of accumulated other comprehensive income or loss for the effective portion. In September, 2006, the Company entered into forward contracts to convert the fixed yen purchase price of certain equipment into fixed U.S. dollar amounts, which were designated as cash flow hedges. These forward contracts were settled during the three month period ended January 27, 2008.</w:t>
      </w:r>
    </w:p>
    <w:p>
      <w:pPr>
        <w:spacing w:after="0" w:line="158" w:lineRule="exact"/>
        <w:rPr>
          <w:sz w:val="20"/>
          <w:szCs w:val="20"/>
          <w:color w:val="auto"/>
        </w:rPr>
      </w:pPr>
    </w:p>
    <w:p>
      <w:pPr>
        <w:ind w:right="240" w:firstLine="270"/>
        <w:spacing w:after="0" w:line="252" w:lineRule="auto"/>
        <w:rPr>
          <w:sz w:val="20"/>
          <w:szCs w:val="20"/>
          <w:color w:val="auto"/>
        </w:rPr>
      </w:pPr>
      <w:r>
        <w:rPr>
          <w:rFonts w:ascii="Arial" w:cs="Arial" w:eastAsia="Arial" w:hAnsi="Arial"/>
          <w:sz w:val="21"/>
          <w:szCs w:val="21"/>
          <w:color w:val="auto"/>
        </w:rPr>
        <w:t>In April 2008, the Company's Korean and Taiwanese subsidiaries each entered into separate foreign currency exchange rate swap contracts that effectively converted a $12 million interest bearing intercompany loan denominated in U.S. dollars into their respective local currencies. Both contracts expire in conjunction with the April 2009 maturity date of the intercompany loan. The Company did not elect to designate either contract as a fair value hedge.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12" w:lineRule="exact"/>
        <w:rPr>
          <w:sz w:val="20"/>
          <w:szCs w:val="20"/>
          <w:color w:val="auto"/>
        </w:rPr>
      </w:pPr>
    </w:p>
    <w:p>
      <w:pPr>
        <w:ind w:right="100" w:firstLine="266"/>
        <w:spacing w:after="0" w:line="279" w:lineRule="auto"/>
        <w:rPr>
          <w:sz w:val="20"/>
          <w:szCs w:val="20"/>
          <w:color w:val="auto"/>
        </w:rPr>
      </w:pPr>
      <w:r>
        <w:rPr>
          <w:rFonts w:ascii="Arial" w:cs="Arial" w:eastAsia="Arial" w:hAnsi="Arial"/>
          <w:sz w:val="19"/>
          <w:szCs w:val="19"/>
          <w:color w:val="auto"/>
        </w:rPr>
        <w:t>The majority of the Company's borrowings at February 1, 2009 was in the form of borrowings under the Company's credit facility, last amended on December 12, 2008, and certain foreign loans payable with variable interest rates. The $86.9 million net carrying value of its 4.75% convertible subordinated note was repaid by the Company in December 2006. At February 1, 2009 and November 2, 2008, the Company had approximately $86 million and $72 million, respectively, in net variable rate financial instruments which were sensitive to interest rate risk. A 10% change in interest rates would not have a material effect on the Company's consolidated financial position, results of operations, or cash flows.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12" w:lineRule="exact"/>
        <w:rPr>
          <w:sz w:val="20"/>
          <w:szCs w:val="20"/>
          <w:color w:val="auto"/>
        </w:rPr>
      </w:pPr>
    </w:p>
    <w:p>
      <w:pPr>
        <w:ind w:right="40" w:firstLine="258"/>
        <w:spacing w:after="0" w:line="246" w:lineRule="auto"/>
        <w:rPr>
          <w:sz w:val="20"/>
          <w:szCs w:val="20"/>
          <w:color w:val="auto"/>
        </w:rPr>
      </w:pPr>
      <w:r>
        <w:rPr>
          <w:rFonts w:ascii="Arial" w:cs="Arial" w:eastAsia="Arial" w:hAnsi="Arial"/>
          <w:sz w:val="21"/>
          <w:szCs w:val="21"/>
          <w:color w:val="auto"/>
        </w:rPr>
        <w:t>An evaluation was carried out under the supervision and with the participation of the Company's management, including our Chief Executive Officer and Chief Financial Officer, of the effectiveness of the design and operation of the Company's disclosure controls and procedures (as defined in Rule 13a-15(e) and 15d-15(e) under the Securities Act of 1934) as of February 1, 2009, the end of the period covered by this report. Based upon that evaluation, the Company's Chief Executive Officer and Chief Financial Officer have concluded that, as of February 1, 2009, the end of the period covered by this report, the Company's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12" w:lineRule="exact"/>
        <w:rPr>
          <w:sz w:val="20"/>
          <w:szCs w:val="20"/>
          <w:color w:val="auto"/>
        </w:rPr>
      </w:pPr>
    </w:p>
    <w:p>
      <w:pPr>
        <w:ind w:right="20" w:firstLine="266"/>
        <w:spacing w:after="0" w:line="328" w:lineRule="auto"/>
        <w:rPr>
          <w:sz w:val="20"/>
          <w:szCs w:val="20"/>
          <w:color w:val="auto"/>
        </w:rPr>
      </w:pPr>
      <w:r>
        <w:rPr>
          <w:rFonts w:ascii="Arial" w:cs="Arial" w:eastAsia="Arial" w:hAnsi="Arial"/>
          <w:sz w:val="19"/>
          <w:szCs w:val="19"/>
          <w:color w:val="auto"/>
        </w:rPr>
        <w:t>There was no change in the Company's internal control over financial reporting during the Company's first quarter of fiscal 2009 that has materially affected, or is reasonably likely to materially affect, the Company's internal control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479"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PART II.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RISKS RELATING TO THE COMPANY'S BUSINESS</w:t>
      </w:r>
    </w:p>
    <w:p>
      <w:pPr>
        <w:spacing w:after="0" w:line="212" w:lineRule="exact"/>
        <w:rPr>
          <w:sz w:val="20"/>
          <w:szCs w:val="20"/>
          <w:color w:val="auto"/>
        </w:rPr>
      </w:pPr>
    </w:p>
    <w:p>
      <w:pPr>
        <w:ind w:right="760" w:firstLine="266"/>
        <w:spacing w:after="0" w:line="251" w:lineRule="auto"/>
        <w:rPr>
          <w:sz w:val="20"/>
          <w:szCs w:val="20"/>
          <w:color w:val="auto"/>
        </w:rPr>
      </w:pPr>
      <w:r>
        <w:rPr>
          <w:rFonts w:ascii="Arial" w:cs="Arial" w:eastAsia="Arial" w:hAnsi="Arial"/>
          <w:sz w:val="22"/>
          <w:szCs w:val="22"/>
          <w:color w:val="auto"/>
        </w:rPr>
        <w:t>There have been no material changes to risks relating to the Company's business as disclosed in Part 1, Item 1A of the Company's Form 10-K for the year ended November 2, 2008</w:t>
      </w:r>
      <w:r>
        <w:rPr>
          <w:rFonts w:ascii="Arial" w:cs="Arial" w:eastAsia="Arial" w:hAnsi="Arial"/>
          <w:sz w:val="22"/>
          <w:szCs w:val="22"/>
          <w:b w:val="1"/>
          <w:bCs w:val="1"/>
          <w:color w:val="auto"/>
        </w:rPr>
        <w:t>.</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Item 6.</w:t>
        <w:tab/>
        <w:t>EXHIBITS</w:t>
      </w:r>
    </w:p>
    <w:p>
      <w:pPr>
        <w:spacing w:after="0" w:line="239" w:lineRule="exact"/>
        <w:rPr>
          <w:sz w:val="20"/>
          <w:szCs w:val="20"/>
          <w:color w:val="auto"/>
        </w:rPr>
      </w:pPr>
    </w:p>
    <w:p>
      <w:pPr>
        <w:ind w:left="1140" w:hanging="295"/>
        <w:spacing w:after="0"/>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color w:val="auto"/>
        </w:rPr>
        <w:t>Exhibit</w:t>
      </w:r>
    </w:p>
    <w:p>
      <w:pPr>
        <w:spacing w:after="0" w:line="14"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Number  Description</w:t>
      </w:r>
    </w:p>
    <w:p>
      <w:pPr>
        <w:spacing w:after="0" w:line="215" w:lineRule="exact"/>
        <w:rPr>
          <w:rFonts w:ascii="Arial" w:cs="Arial" w:eastAsia="Arial" w:hAnsi="Arial"/>
          <w:sz w:val="22"/>
          <w:szCs w:val="22"/>
          <w:color w:val="auto"/>
        </w:rPr>
      </w:pPr>
    </w:p>
    <w:p>
      <w:pPr>
        <w:ind w:left="2160" w:right="2320" w:hanging="1013"/>
        <w:spacing w:after="0"/>
        <w:rPr>
          <w:rFonts w:ascii="Arial" w:cs="Arial" w:eastAsia="Arial" w:hAnsi="Arial"/>
          <w:sz w:val="22"/>
          <w:szCs w:val="22"/>
          <w:color w:val="auto"/>
        </w:rPr>
      </w:pPr>
      <w:r>
        <w:rPr>
          <w:rFonts w:ascii="Arial" w:cs="Arial" w:eastAsia="Arial" w:hAnsi="Arial"/>
          <w:sz w:val="22"/>
          <w:szCs w:val="22"/>
          <w:color w:val="auto"/>
        </w:rPr>
        <w:t>31.1Certification of Chief Executive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ind w:left="2160" w:right="2320" w:hanging="1013"/>
        <w:spacing w:after="0"/>
        <w:rPr>
          <w:rFonts w:ascii="Arial" w:cs="Arial" w:eastAsia="Arial" w:hAnsi="Arial"/>
          <w:sz w:val="22"/>
          <w:szCs w:val="22"/>
          <w:color w:val="auto"/>
        </w:rPr>
      </w:pPr>
      <w:r>
        <w:rPr>
          <w:rFonts w:ascii="Arial" w:cs="Arial" w:eastAsia="Arial" w:hAnsi="Arial"/>
          <w:sz w:val="22"/>
          <w:szCs w:val="22"/>
          <w:color w:val="auto"/>
        </w:rPr>
        <w:t>31.2Certification of Chief Financial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ind w:left="2160" w:right="2280" w:hanging="1013"/>
        <w:spacing w:after="0" w:line="328" w:lineRule="auto"/>
        <w:rPr>
          <w:rFonts w:ascii="Arial" w:cs="Arial" w:eastAsia="Arial" w:hAnsi="Arial"/>
          <w:sz w:val="22"/>
          <w:szCs w:val="22"/>
          <w:color w:val="auto"/>
        </w:rPr>
      </w:pPr>
      <w:r>
        <w:rPr>
          <w:rFonts w:ascii="Arial" w:cs="Arial" w:eastAsia="Arial" w:hAnsi="Arial"/>
          <w:sz w:val="22"/>
          <w:szCs w:val="22"/>
          <w:color w:val="auto"/>
        </w:rPr>
        <w:t>32.1</w:t>
      </w:r>
      <w:r>
        <w:rPr>
          <w:rFonts w:ascii="Arial" w:cs="Arial" w:eastAsia="Arial" w:hAnsi="Arial"/>
          <w:sz w:val="19"/>
          <w:szCs w:val="19"/>
          <w:color w:val="auto"/>
        </w:rPr>
        <w:t>Certification of Chief Executive Officer pursuant to 18 U.S.C. Section 1350 as adopted pursuant to Section 906 of the Sarbanes-Oxley Act of 2002.</w:t>
      </w:r>
    </w:p>
    <w:p>
      <w:pPr>
        <w:spacing w:after="0" w:line="132" w:lineRule="exact"/>
        <w:rPr>
          <w:rFonts w:ascii="Arial" w:cs="Arial" w:eastAsia="Arial" w:hAnsi="Arial"/>
          <w:sz w:val="22"/>
          <w:szCs w:val="22"/>
          <w:color w:val="auto"/>
        </w:rPr>
      </w:pPr>
    </w:p>
    <w:p>
      <w:pPr>
        <w:ind w:left="2160" w:right="2340" w:hanging="1013"/>
        <w:spacing w:after="0" w:line="328" w:lineRule="auto"/>
        <w:rPr>
          <w:rFonts w:ascii="Arial" w:cs="Arial" w:eastAsia="Arial" w:hAnsi="Arial"/>
          <w:sz w:val="22"/>
          <w:szCs w:val="22"/>
          <w:color w:val="auto"/>
        </w:rPr>
      </w:pPr>
      <w:r>
        <w:rPr>
          <w:rFonts w:ascii="Arial" w:cs="Arial" w:eastAsia="Arial" w:hAnsi="Arial"/>
          <w:sz w:val="22"/>
          <w:szCs w:val="22"/>
          <w:color w:val="auto"/>
        </w:rPr>
        <w:t>32.2</w:t>
      </w:r>
      <w:r>
        <w:rPr>
          <w:rFonts w:ascii="Arial" w:cs="Arial" w:eastAsia="Arial" w:hAnsi="Arial"/>
          <w:sz w:val="19"/>
          <w:szCs w:val="19"/>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Photronics, Inc.</w:t>
      </w:r>
    </w:p>
    <w:p>
      <w:pPr>
        <w:spacing w:after="0" w:line="8"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(Registrant)</w:t>
      </w:r>
    </w:p>
    <w:p>
      <w:pPr>
        <w:spacing w:after="0" w:line="21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73660</wp:posOffset>
            </wp:positionV>
            <wp:extent cx="165925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3"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Sean T. Smith</w:t>
      </w:r>
    </w:p>
    <w:p>
      <w:pPr>
        <w:jc w:val="center"/>
        <w:ind w:right="7460"/>
        <w:spacing w:after="0" w:line="238" w:lineRule="auto"/>
        <w:rPr>
          <w:sz w:val="20"/>
          <w:szCs w:val="20"/>
          <w:color w:val="auto"/>
        </w:rPr>
      </w:pPr>
      <w:r>
        <w:rPr>
          <w:rFonts w:ascii="Arial" w:cs="Arial" w:eastAsia="Arial" w:hAnsi="Arial"/>
          <w:sz w:val="22"/>
          <w:szCs w:val="22"/>
          <w:color w:val="auto"/>
        </w:rPr>
        <w:t>Senior Vice President</w:t>
      </w:r>
    </w:p>
    <w:p>
      <w:pPr>
        <w:jc w:val="center"/>
        <w:ind w:right="7460"/>
        <w:spacing w:after="0" w:line="230" w:lineRule="auto"/>
        <w:rPr>
          <w:sz w:val="20"/>
          <w:szCs w:val="20"/>
          <w:color w:val="auto"/>
        </w:rPr>
      </w:pPr>
      <w:r>
        <w:rPr>
          <w:rFonts w:ascii="Arial" w:cs="Arial" w:eastAsia="Arial" w:hAnsi="Arial"/>
          <w:sz w:val="22"/>
          <w:szCs w:val="22"/>
          <w:color w:val="auto"/>
        </w:rPr>
        <w:t>Chief Financial Officer</w:t>
      </w:r>
    </w:p>
    <w:p>
      <w:pPr>
        <w:jc w:val="center"/>
        <w:ind w:right="7460"/>
        <w:spacing w:after="0" w:line="231" w:lineRule="auto"/>
        <w:rPr>
          <w:sz w:val="20"/>
          <w:szCs w:val="20"/>
          <w:color w:val="auto"/>
        </w:rPr>
      </w:pPr>
      <w:r>
        <w:rPr>
          <w:rFonts w:ascii="Arial" w:cs="Arial" w:eastAsia="Arial" w:hAnsi="Arial"/>
          <w:sz w:val="22"/>
          <w:szCs w:val="22"/>
          <w:color w:val="auto"/>
        </w:rPr>
        <w:t>(Duly Authorized Officer and</w:t>
      </w:r>
    </w:p>
    <w:p>
      <w:pPr>
        <w:spacing w:after="0" w:line="1"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March 11, 2009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240" w:top="111" w:right="41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EXHIBIT 31.1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Constantine S. Macricostas, certify that:</w:t>
      </w:r>
    </w:p>
    <w:p>
      <w:pPr>
        <w:spacing w:after="0" w:line="23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231965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Constantine S. Macricostas</w:t>
      </w:r>
    </w:p>
    <w:p>
      <w:pPr>
        <w:spacing w:after="0" w:line="238" w:lineRule="auto"/>
        <w:rPr>
          <w:sz w:val="20"/>
          <w:szCs w:val="20"/>
          <w:color w:val="auto"/>
        </w:rPr>
      </w:pPr>
      <w:r>
        <w:rPr>
          <w:rFonts w:ascii="Arial" w:cs="Arial" w:eastAsia="Arial" w:hAnsi="Arial"/>
          <w:sz w:val="22"/>
          <w:szCs w:val="22"/>
          <w:color w:val="auto"/>
        </w:rPr>
        <w:t>Interim Chief Executive Officer</w:t>
      </w:r>
    </w:p>
    <w:p>
      <w:pPr>
        <w:spacing w:after="0"/>
        <w:rPr>
          <w:sz w:val="20"/>
          <w:szCs w:val="20"/>
          <w:color w:val="auto"/>
        </w:rPr>
      </w:pPr>
      <w:r>
        <w:rPr>
          <w:rFonts w:ascii="Arial" w:cs="Arial" w:eastAsia="Arial" w:hAnsi="Arial"/>
          <w:sz w:val="22"/>
          <w:szCs w:val="22"/>
          <w:color w:val="auto"/>
        </w:rPr>
        <w:t>March 11, 2009</w:t>
      </w:r>
    </w:p>
    <w:p>
      <w:pPr>
        <w:sectPr>
          <w:pgSz w:w="11900" w:h="16838" w:orient="portrait"/>
          <w:cols w:equalWidth="0" w:num="1">
            <w:col w:w="10219"/>
          </w:cols>
          <w:pgMar w:left="240" w:top="111" w:right="1440"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EXHIBIT 31.2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Sean T. Smith, certify that:</w:t>
      </w:r>
    </w:p>
    <w:p>
      <w:pPr>
        <w:spacing w:after="0" w:line="23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56464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6464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March 11, 2009</w:t>
      </w:r>
    </w:p>
    <w:p>
      <w:pPr>
        <w:sectPr>
          <w:pgSz w:w="11900" w:h="16838" w:orient="portrait"/>
          <w:cols w:equalWidth="0" w:num="1">
            <w:col w:w="10219"/>
          </w:cols>
          <w:pgMar w:left="240" w:top="111" w:right="1440"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Constantine S. Macricostas, Interim Chief Executive Officer of Photronics, Inc. (the "Company"), certify, pursuant to Section 906 of the Sarbanes-Oxley Act of 2002, 18 U.S.C. Section 1350, that:</w:t>
      </w:r>
    </w:p>
    <w:p>
      <w:pPr>
        <w:spacing w:after="0" w:line="200" w:lineRule="exact"/>
        <w:rPr>
          <w:sz w:val="20"/>
          <w:szCs w:val="20"/>
          <w:color w:val="auto"/>
        </w:rPr>
      </w:pPr>
    </w:p>
    <w:p>
      <w:pPr>
        <w:ind w:left="500" w:right="420" w:hanging="492"/>
        <w:spacing w:after="0" w:line="251" w:lineRule="auto"/>
        <w:tabs>
          <w:tab w:leader="none" w:pos="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February 1, 2009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900" w:hanging="492"/>
        <w:spacing w:after="0" w:line="251" w:lineRule="auto"/>
        <w:tabs>
          <w:tab w:leader="none" w:pos="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231965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Constantine S. Macricostas</w:t>
      </w:r>
    </w:p>
    <w:p>
      <w:pPr>
        <w:spacing w:after="0" w:line="238" w:lineRule="auto"/>
        <w:rPr>
          <w:sz w:val="20"/>
          <w:szCs w:val="20"/>
          <w:color w:val="auto"/>
        </w:rPr>
      </w:pPr>
      <w:r>
        <w:rPr>
          <w:rFonts w:ascii="Arial" w:cs="Arial" w:eastAsia="Arial" w:hAnsi="Arial"/>
          <w:sz w:val="22"/>
          <w:szCs w:val="22"/>
          <w:color w:val="auto"/>
        </w:rPr>
        <w:t>Interim Chief Executive Officer</w:t>
      </w:r>
    </w:p>
    <w:p>
      <w:pPr>
        <w:spacing w:after="0"/>
        <w:rPr>
          <w:sz w:val="20"/>
          <w:szCs w:val="20"/>
          <w:color w:val="auto"/>
        </w:rPr>
      </w:pPr>
      <w:r>
        <w:rPr>
          <w:rFonts w:ascii="Arial" w:cs="Arial" w:eastAsia="Arial" w:hAnsi="Arial"/>
          <w:sz w:val="22"/>
          <w:szCs w:val="22"/>
          <w:color w:val="auto"/>
        </w:rPr>
        <w:t>March 11, 2009</w:t>
      </w:r>
    </w:p>
    <w:p>
      <w:pPr>
        <w:sectPr>
          <w:pgSz w:w="11900" w:h="16838" w:orient="portrait"/>
          <w:cols w:equalWidth="0" w:num="1">
            <w:col w:w="11420"/>
          </w:cols>
          <w:pgMar w:left="240" w:top="111"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Sean T. Smith, Chief Financial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15" w:lineRule="exact"/>
        <w:rPr>
          <w:sz w:val="20"/>
          <w:szCs w:val="20"/>
          <w:color w:val="auto"/>
        </w:rPr>
      </w:pPr>
    </w:p>
    <w:p>
      <w:pPr>
        <w:ind w:left="500" w:hanging="492"/>
        <w:spacing w:after="0" w:line="251" w:lineRule="auto"/>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February 1, 2009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480" w:hanging="492"/>
        <w:spacing w:after="0" w:line="251" w:lineRule="auto"/>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29921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March 11, 2009</w:t>
      </w:r>
    </w:p>
    <w:sectPr>
      <w:pgSz w:w="11900" w:h="16838" w:orient="portrait"/>
      <w:cols w:equalWidth="0" w:num="1">
        <w:col w:w="11000"/>
      </w:cols>
      <w:pgMar w:left="240" w:top="11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2019-12-10T06:51:33Z</dcterms:created>
  <dcterms:modified xsi:type="dcterms:W3CDTF">2019-12-10T06:51:33Z</dcterms:modified>
</cp:coreProperties>
</file>