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60" w:right="2040" w:hanging="4052"/>
        <w:spacing w:after="0" w:line="258" w:lineRule="auto"/>
        <w:tabs>
          <w:tab w:leader="none" w:pos="500" w:val="left"/>
        </w:tabs>
        <w:numPr>
          <w:ilvl w:val="0"/>
          <w:numId w:val="1"/>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July 29, 2018</w:t>
      </w:r>
    </w:p>
    <w:p>
      <w:pPr>
        <w:spacing w:after="0" w:line="1" w:lineRule="exact"/>
        <w:rPr>
          <w:rFonts w:ascii="MS PGothic" w:cs="MS PGothic" w:eastAsia="MS PGothic" w:hAnsi="MS PGothic"/>
          <w:sz w:val="18"/>
          <w:szCs w:val="18"/>
          <w:i w:val="1"/>
          <w:iCs w:val="1"/>
          <w:color w:val="auto"/>
          <w:highlight w:val="black"/>
        </w:rPr>
      </w:pPr>
    </w:p>
    <w:p>
      <w:pPr>
        <w:ind w:left="55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OR</w:t>
      </w:r>
    </w:p>
    <w:p>
      <w:pPr>
        <w:spacing w:after="0" w:line="4" w:lineRule="exact"/>
        <w:rPr>
          <w:sz w:val="24"/>
          <w:szCs w:val="24"/>
          <w:color w:val="auto"/>
        </w:rPr>
      </w:pPr>
    </w:p>
    <w:p>
      <w:pPr>
        <w:ind w:left="4180" w:right="2020" w:hanging="4172"/>
        <w:spacing w:after="0" w:line="527" w:lineRule="auto"/>
        <w:tabs>
          <w:tab w:leader="none" w:pos="488" w:val="left"/>
        </w:tabs>
        <w:numPr>
          <w:ilvl w:val="0"/>
          <w:numId w:val="2"/>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169545</wp:posOffset>
            </wp:positionV>
            <wp:extent cx="53149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2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2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120" w:type="dxa"/>
            <w:vAlign w:val="bottom"/>
          </w:tcPr>
          <w:p>
            <w:pPr>
              <w:ind w:left="70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68,388,301 shares of common stock outstanding as of August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“should,”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the occurrence of regulatory or legal violations, proceedings, claims or litigation; customer complaints or disputes;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any forward-looking statements and does not assume an obligation to provide revisions to such forward-looking statements, except as otherwise required by securities and other applicable laws.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940" w:type="dxa"/>
            <w:vAlign w:val="bottom"/>
            <w:gridSpan w:val="9"/>
          </w:tcPr>
          <w:p>
            <w:pPr>
              <w:jc w:val="center"/>
              <w:ind w:right="190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jc w:val="center"/>
              <w:ind w:right="450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72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July 29, 2018 and October 29, 2017</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for the Three and Nine Months Ended July 29, 2018 and July 30, 2017</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and Nine Months Ended July 29, 2018 and July 30, 2017</w:t>
              </w:r>
            </w:hyperlink>
          </w:p>
        </w:tc>
        <w:tc>
          <w:tcPr>
            <w:tcW w:w="7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July 29, 2018 and July 30, 2017</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794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720" w:type="dxa"/>
            <w:vAlign w:val="bottom"/>
            <w:gridSpan w:val="12"/>
          </w:tcPr>
          <w:p>
            <w:pPr>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20" w:type="dxa"/>
            <w:vAlign w:val="bottom"/>
            <w:gridSpan w:val="1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140" w:type="dxa"/>
            <w:vAlign w:val="bottom"/>
            <w:tcBorders>
              <w:top w:val="single" w:sz="8" w:color="CCEEFF"/>
            </w:tcBorders>
            <w:gridSpan w:val="7"/>
          </w:tcPr>
          <w:p>
            <w:pPr>
              <w:jc w:val="center"/>
              <w:ind w:left="3168"/>
              <w:spacing w:after="0"/>
              <w:rPr>
                <w:sz w:val="20"/>
                <w:szCs w:val="20"/>
                <w:color w:val="auto"/>
              </w:rPr>
            </w:pPr>
            <w:r>
              <w:rPr>
                <w:rFonts w:ascii="Arial" w:cs="Arial" w:eastAsia="Arial" w:hAnsi="Arial"/>
                <w:sz w:val="14"/>
                <w:szCs w:val="14"/>
                <w:color w:val="auto"/>
                <w:w w:val="76"/>
              </w:rPr>
              <w:t>3</w:t>
            </w:r>
          </w:p>
        </w:tc>
        <w:tc>
          <w:tcPr>
            <w:tcW w:w="72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8080" w:type="dxa"/>
            <w:vAlign w:val="bottom"/>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808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tcPr>
          <w:p>
            <w:pPr>
              <w:jc w:val="center"/>
              <w:ind w:left="1790"/>
              <w:spacing w:after="0"/>
              <w:rPr>
                <w:sz w:val="20"/>
                <w:szCs w:val="20"/>
                <w:color w:val="auto"/>
              </w:rPr>
            </w:pPr>
            <w:r>
              <w:rPr>
                <w:rFonts w:ascii="Arial" w:cs="Arial" w:eastAsia="Arial" w:hAnsi="Arial"/>
                <w:sz w:val="18"/>
                <w:szCs w:val="18"/>
                <w:b w:val="1"/>
                <w:bCs w:val="1"/>
                <w:color w:val="auto"/>
              </w:rPr>
              <w:t>PHOTRONICS, INC.</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80" w:type="dxa"/>
            <w:vAlign w:val="bottom"/>
          </w:tcPr>
          <w:p>
            <w:pPr>
              <w:jc w:val="center"/>
              <w:ind w:left="17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tcPr>
          <w:p>
            <w:pPr>
              <w:jc w:val="center"/>
              <w:ind w:left="177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80" w:type="dxa"/>
            <w:vAlign w:val="bottom"/>
          </w:tcPr>
          <w:p>
            <w:pPr>
              <w:jc w:val="center"/>
              <w:ind w:left="1770"/>
              <w:spacing w:after="0"/>
              <w:rPr>
                <w:sz w:val="20"/>
                <w:szCs w:val="20"/>
                <w:color w:val="auto"/>
              </w:rPr>
            </w:pPr>
            <w:r>
              <w:rPr>
                <w:rFonts w:ascii="Arial" w:cs="Arial" w:eastAsia="Arial" w:hAnsi="Arial"/>
                <w:sz w:val="18"/>
                <w:szCs w:val="18"/>
                <w:b w:val="1"/>
                <w:bCs w:val="1"/>
                <w:i w:val="1"/>
                <w:iCs w:val="1"/>
                <w:color w:val="auto"/>
                <w:w w:val="87"/>
              </w:rPr>
              <w:t>(unaudited)</w:t>
            </w:r>
          </w:p>
        </w:tc>
        <w:tc>
          <w:tcPr>
            <w:tcW w:w="180" w:type="dxa"/>
            <w:vAlign w:val="bottom"/>
          </w:tcPr>
          <w:p>
            <w:pPr>
              <w:spacing w:after="0"/>
              <w:rPr>
                <w:sz w:val="20"/>
                <w:szCs w:val="20"/>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99"/>
              </w:rPr>
              <w:t>July 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October 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ASSETS</w:t>
            </w:r>
          </w:p>
        </w:tc>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332,739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$1,968 in 2018 and $2,319 in 2017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118,727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1,088,012</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1,020,794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57,893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38,839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150,000 shares authorized, 69,505 shares issued and 68,727 outstanding at July 29,</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2018 and 68,666 shares issued and outstanding at October 29, 2017</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553,922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547,596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Treasury stock, 778 shares at July 29, 2018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(6,787)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1,088,012</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1,020,794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780" w:type="dxa"/>
            <w:vAlign w:val="bottom"/>
          </w:tcPr>
          <w:p>
            <w:pPr>
              <w:spacing w:after="0"/>
              <w:rPr>
                <w:sz w:val="24"/>
                <w:szCs w:val="24"/>
                <w:color w:val="auto"/>
              </w:rPr>
            </w:pPr>
          </w:p>
        </w:tc>
        <w:tc>
          <w:tcPr>
            <w:tcW w:w="32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40" w:type="dxa"/>
            <w:vAlign w:val="bottom"/>
            <w:gridSpan w:val="7"/>
          </w:tcPr>
          <w:p>
            <w:pPr>
              <w:jc w:val="center"/>
              <w:ind w:left="335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80" w:type="dxa"/>
            <w:vAlign w:val="bottom"/>
            <w:gridSpan w:val="4"/>
          </w:tcPr>
          <w:p>
            <w:pPr>
              <w:jc w:val="center"/>
              <w:ind w:right="6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60" w:type="dxa"/>
            <w:vAlign w:val="bottom"/>
            <w:gridSpan w:val="2"/>
          </w:tcPr>
          <w:p>
            <w:pPr>
              <w:jc w:val="center"/>
              <w:ind w:left="970"/>
              <w:spacing w:after="0"/>
              <w:rPr>
                <w:sz w:val="20"/>
                <w:szCs w:val="20"/>
                <w:color w:val="auto"/>
              </w:rPr>
            </w:pPr>
            <w:r>
              <w:rPr>
                <w:rFonts w:ascii="Arial" w:cs="Arial" w:eastAsia="Arial" w:hAnsi="Arial"/>
                <w:sz w:val="18"/>
                <w:szCs w:val="18"/>
                <w:b w:val="1"/>
                <w:bCs w:val="1"/>
                <w:i w:val="1"/>
                <w:iCs w:val="1"/>
                <w:color w:val="auto"/>
                <w:w w:val="87"/>
              </w:rPr>
              <w:t>(unaudited)</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July 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July 30,</w:t>
            </w: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July 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July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1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136,391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111,579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390,616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(89,862)</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(294,538)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21,717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(4,812)</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(16,451)</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Operating income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5,266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47,613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 and other income (expense), net</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5,132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4,799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44,467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(14,899)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Net income attributable to Photronics, Inc. shareholders</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29,568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68,525</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69,141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75,121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July 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30,</w:t>
            </w: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July 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July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6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1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19,797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44,467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(loss)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4,474</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5"/>
              </w:rPr>
              <w:t>Comprehensive income (loss) attributable to Photronics, Inc. shareholders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26,699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color w:val="auto"/>
              </w:rPr>
              <w:t>PHOTRONICS, INC.</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i w:val="1"/>
                <w:iCs w:val="1"/>
                <w:color w:val="auto"/>
                <w:w w:val="87"/>
              </w:rPr>
              <w:t>(in thousands)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jc w:val="center"/>
              <w:ind w:left="2770"/>
              <w:spacing w:after="0"/>
              <w:rPr>
                <w:sz w:val="20"/>
                <w:szCs w:val="20"/>
                <w:color w:val="auto"/>
              </w:rPr>
            </w:pPr>
            <w:r>
              <w:rPr>
                <w:rFonts w:ascii="Arial" w:cs="Arial" w:eastAsia="Arial" w:hAnsi="Arial"/>
                <w:sz w:val="18"/>
                <w:szCs w:val="18"/>
                <w:b w:val="1"/>
                <w:bCs w:val="1"/>
                <w:i w:val="1"/>
                <w:iCs w:val="1"/>
                <w:color w:val="auto"/>
                <w:w w:val="87"/>
              </w:rPr>
              <w:t>(unaudited)</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w w:val="99"/>
              </w:rPr>
              <w:t>July 29,</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44,467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(8,386)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10,818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86,957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(64,372)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Acquisition of business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investment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(63,919)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 paid to noncontrolling interest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borrowings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(4,170)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Contribution from noncontrolling interest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17,997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24,718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308,021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332,739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information:</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and Nine Months Ended July 29, 2018 and July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Photronics, Inc. ("Photronics", "the Company", "we", “our”, or "us") is one of the world's leading manufacturers of photomasks, which are high precision photographic quartz or glass plates containing microscopic images of electronic circuits. Photomasks are a key element in the manufacture of semiconductors and flat panel displays ("FPDs"), and are used as masters to transfer circuit patterns onto semiconductor wafers and flat panel display substrates during the fabrication of integrated circuits ("ICs" or “semiconductors”) and a variety of FPDs and, to a lesser extent, other types of electrical and optical components. We currently operate principally from nine manufacturing facilities, two of which are located in Europe, three in Taiwan, one in Korea, and three in the United States. We have commenced construction of two manufacturing facilities in China.</w:t>
      </w:r>
    </w:p>
    <w:p>
      <w:pPr>
        <w:spacing w:after="0" w:line="20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Our business is typically impacted during the first, and sometimes the second, quarter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31, 2018. For further information, refer to the consolidated financial statements and notes thereto included in our Annual Report on Form 10-K for the year ended October 29,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our consolidated changes in equity for the three and nine month periods ended July 29, 2018 and July 30, 2017: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11"/>
          </w:tcPr>
          <w:p>
            <w:pPr>
              <w:jc w:val="right"/>
              <w:ind w:right="940"/>
              <w:spacing w:after="0"/>
              <w:rPr>
                <w:sz w:val="20"/>
                <w:szCs w:val="20"/>
                <w:color w:val="auto"/>
              </w:rPr>
            </w:pPr>
            <w:r>
              <w:rPr>
                <w:rFonts w:ascii="Arial" w:cs="Arial" w:eastAsia="Arial" w:hAnsi="Arial"/>
                <w:sz w:val="18"/>
                <w:szCs w:val="18"/>
                <w:b w:val="1"/>
                <w:bCs w:val="1"/>
                <w:color w:val="auto"/>
              </w:rPr>
              <w:t>Three Months Ended July 29, 2018</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0"/>
          </w:tcPr>
          <w:p>
            <w:pPr>
              <w:ind w:left="100"/>
              <w:spacing w:after="0"/>
              <w:rPr>
                <w:sz w:val="20"/>
                <w:szCs w:val="20"/>
                <w:color w:val="auto"/>
              </w:rPr>
            </w:pPr>
            <w:r>
              <w:rPr>
                <w:rFonts w:ascii="Arial" w:cs="Arial" w:eastAsia="Arial" w:hAnsi="Arial"/>
                <w:sz w:val="18"/>
                <w:szCs w:val="18"/>
                <w:b w:val="1"/>
                <w:bCs w:val="1"/>
                <w:color w:val="auto"/>
              </w:rPr>
              <w:t>Photronics, Inc. Shareholders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3"/>
              </w:rPr>
              <w:t>Paid-in</w:t>
            </w:r>
          </w:p>
        </w:tc>
        <w:tc>
          <w:tcPr>
            <w:tcW w:w="100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4"/>
              </w:rPr>
              <w:t>Retained</w:t>
            </w:r>
          </w:p>
        </w:tc>
        <w:tc>
          <w:tcPr>
            <w:tcW w:w="100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9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controlling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30, 2018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69,443</w:t>
            </w: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694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552,977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205,953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134,686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(19,734)</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(24,507)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Sale of common stock through employee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and purchase plans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line="201" w:lineRule="exact"/>
              <w:rPr>
                <w:sz w:val="20"/>
                <w:szCs w:val="20"/>
                <w:color w:val="auto"/>
              </w:rPr>
            </w:pPr>
            <w:r>
              <w:rPr>
                <w:rFonts w:ascii="Arial" w:cs="Arial" w:eastAsia="Arial" w:hAnsi="Arial"/>
                <w:sz w:val="18"/>
                <w:szCs w:val="18"/>
                <w:color w:val="auto"/>
              </w:rPr>
              <w:t>Restricted stock awards vesting and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expense</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line="201" w:lineRule="exact"/>
              <w:rPr>
                <w:sz w:val="20"/>
                <w:szCs w:val="20"/>
                <w:color w:val="auto"/>
              </w:rPr>
            </w:pPr>
            <w:r>
              <w:rPr>
                <w:rFonts w:ascii="Arial" w:cs="Arial" w:eastAsia="Arial" w:hAnsi="Arial"/>
                <w:sz w:val="18"/>
                <w:szCs w:val="18"/>
                <w:color w:val="auto"/>
              </w:rPr>
              <w:t>Contribution from noncontrolling</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5,998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9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7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29,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69,505</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218,958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142,703</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913,513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4"/>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4"/>
          </w:tcPr>
          <w:p>
            <w:pPr>
              <w:jc w:val="right"/>
              <w:ind w:right="240"/>
              <w:spacing w:after="0"/>
              <w:rPr>
                <w:sz w:val="20"/>
                <w:szCs w:val="20"/>
                <w:color w:val="auto"/>
              </w:rPr>
            </w:pPr>
            <w:r>
              <w:rPr>
                <w:rFonts w:ascii="Arial" w:cs="Arial" w:eastAsia="Arial" w:hAnsi="Arial"/>
                <w:sz w:val="18"/>
                <w:szCs w:val="18"/>
                <w:b w:val="1"/>
                <w:bCs w:val="1"/>
                <w:color w:val="auto"/>
                <w:w w:val="97"/>
              </w:rPr>
              <w:t>Three Months Ended July 30, 2017</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16"/>
          </w:tcPr>
          <w:p>
            <w:pPr>
              <w:jc w:val="right"/>
              <w:ind w:right="80"/>
              <w:spacing w:after="0"/>
              <w:rPr>
                <w:sz w:val="20"/>
                <w:szCs w:val="20"/>
                <w:color w:val="auto"/>
              </w:rPr>
            </w:pPr>
            <w:r>
              <w:rPr>
                <w:rFonts w:ascii="Arial" w:cs="Arial" w:eastAsia="Arial" w:hAnsi="Arial"/>
                <w:sz w:val="18"/>
                <w:szCs w:val="18"/>
                <w:b w:val="1"/>
                <w:bCs w:val="1"/>
                <w:color w:val="auto"/>
                <w:w w:val="92"/>
              </w:rPr>
              <w:t>Photronics, Inc. Shareholders</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7"/>
            <w:vMerge w:val="restart"/>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7"/>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Non-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5"/>
          </w:tcPr>
          <w:p>
            <w:pPr>
              <w:jc w:val="right"/>
              <w:ind w:right="220"/>
              <w:spacing w:after="0" w:line="198"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800" w:type="dxa"/>
            <w:vAlign w:val="bottom"/>
            <w:gridSpan w:val="4"/>
          </w:tcPr>
          <w:p>
            <w:pPr>
              <w:jc w:val="right"/>
              <w:ind w:right="60"/>
              <w:spacing w:after="0" w:line="198" w:lineRule="exact"/>
              <w:rPr>
                <w:sz w:val="20"/>
                <w:szCs w:val="20"/>
                <w:color w:val="auto"/>
              </w:rPr>
            </w:pPr>
            <w:r>
              <w:rPr>
                <w:rFonts w:ascii="Arial" w:cs="Arial" w:eastAsia="Arial" w:hAnsi="Arial"/>
                <w:sz w:val="18"/>
                <w:szCs w:val="18"/>
                <w:b w:val="1"/>
                <w:bCs w:val="1"/>
                <w:color w:val="auto"/>
                <w:w w:val="94"/>
              </w:rPr>
              <w:t>Retained</w:t>
            </w:r>
          </w:p>
        </w:tc>
        <w:tc>
          <w:tcPr>
            <w:tcW w:w="200" w:type="dxa"/>
            <w:vAlign w:val="bottom"/>
          </w:tcPr>
          <w:p>
            <w:pPr>
              <w:spacing w:after="0"/>
              <w:rPr>
                <w:sz w:val="17"/>
                <w:szCs w:val="17"/>
                <w:color w:val="auto"/>
              </w:rPr>
            </w:pPr>
          </w:p>
        </w:tc>
        <w:tc>
          <w:tcPr>
            <w:tcW w:w="12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7"/>
                <w:szCs w:val="17"/>
                <w:color w:val="auto"/>
              </w:rPr>
            </w:pPr>
          </w:p>
        </w:tc>
        <w:tc>
          <w:tcPr>
            <w:tcW w:w="90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4"/>
              </w:rPr>
              <w:t>controlling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3"/>
              </w:rPr>
              <w:t>Earnings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8"/>
              </w:rPr>
              <w:t>Interests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4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May 1, 2017</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0"/>
              </w:rPr>
              <w:t>68,496</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685</w:t>
            </w:r>
          </w:p>
        </w:tc>
        <w:tc>
          <w:tcPr>
            <w:tcW w:w="2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545,019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114,875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w w:val="91"/>
              </w:rPr>
              <w:t>Other comprehensive income (loss)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1"/>
              </w:rPr>
              <w:t>Sale of common stock through employee stock option</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and purchase plans</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spacing w:after="0"/>
              <w:rPr>
                <w:sz w:val="20"/>
                <w:szCs w:val="20"/>
                <w:color w:val="auto"/>
              </w:rPr>
            </w:pPr>
            <w:r>
              <w:rPr>
                <w:rFonts w:ascii="Arial" w:cs="Arial" w:eastAsia="Arial" w:hAnsi="Arial"/>
                <w:sz w:val="18"/>
                <w:szCs w:val="18"/>
                <w:color w:val="auto"/>
                <w:w w:val="93"/>
              </w:rPr>
              <w:t>Restricted stock awards vesting and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Share-based compensation expense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Balance at July 30, 2017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w w:val="90"/>
              </w:rPr>
              <w:t>68,547</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685</w:t>
            </w:r>
          </w:p>
        </w:tc>
        <w:tc>
          <w:tcPr>
            <w:tcW w:w="260" w:type="dxa"/>
            <w:vAlign w:val="bottom"/>
            <w:gridSpan w:val="2"/>
          </w:tcPr>
          <w:p>
            <w:pPr>
              <w:jc w:val="center"/>
              <w:ind w:left="50"/>
              <w:spacing w:after="0"/>
              <w:rPr>
                <w:sz w:val="20"/>
                <w:szCs w:val="20"/>
                <w:color w:val="auto"/>
              </w:rPr>
            </w:pPr>
            <w:r>
              <w:rPr>
                <w:rFonts w:ascii="Arial" w:cs="Arial" w:eastAsia="Arial" w:hAnsi="Arial"/>
                <w:sz w:val="18"/>
                <w:szCs w:val="18"/>
                <w:color w:val="auto"/>
                <w:w w:val="79"/>
              </w:rPr>
              <w:t>$</w:t>
            </w: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545,743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184,005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8,849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115,846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855,128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8"/>
          </w:tcPr>
          <w:p>
            <w:pPr>
              <w:jc w:val="center"/>
              <w:spacing w:after="0"/>
              <w:rPr>
                <w:sz w:val="20"/>
                <w:szCs w:val="20"/>
                <w:color w:val="auto"/>
              </w:rPr>
            </w:pPr>
            <w:r>
              <w:rPr>
                <w:rFonts w:ascii="Arial" w:cs="Arial" w:eastAsia="Arial" w:hAnsi="Arial"/>
                <w:sz w:val="18"/>
                <w:szCs w:val="18"/>
                <w:b w:val="1"/>
                <w:bCs w:val="1"/>
                <w:color w:val="auto"/>
                <w:w w:val="90"/>
              </w:rPr>
              <w:t>Nine Months Ended July 29, 2018</w:t>
            </w: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16"/>
          </w:tcPr>
          <w:p>
            <w:pPr>
              <w:jc w:val="right"/>
              <w:ind w:right="140"/>
              <w:spacing w:after="0"/>
              <w:rPr>
                <w:sz w:val="20"/>
                <w:szCs w:val="20"/>
                <w:color w:val="auto"/>
              </w:rPr>
            </w:pPr>
            <w:r>
              <w:rPr>
                <w:rFonts w:ascii="Arial" w:cs="Arial" w:eastAsia="Arial" w:hAnsi="Arial"/>
                <w:sz w:val="18"/>
                <w:szCs w:val="18"/>
                <w:b w:val="1"/>
                <w:bCs w:val="1"/>
                <w:color w:val="auto"/>
                <w:w w:val="89"/>
              </w:rPr>
              <w:t>Photronics, Inc. Shareholders</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Common Stock</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9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center"/>
              <w:ind w:right="150"/>
              <w:spacing w:after="0" w:line="198"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7"/>
                <w:szCs w:val="17"/>
                <w:color w:val="auto"/>
              </w:rPr>
            </w:pPr>
          </w:p>
        </w:tc>
        <w:tc>
          <w:tcPr>
            <w:tcW w:w="940" w:type="dxa"/>
            <w:vAlign w:val="bottom"/>
            <w:gridSpan w:val="6"/>
          </w:tcPr>
          <w:p>
            <w:pPr>
              <w:jc w:val="center"/>
              <w:ind w:right="40"/>
              <w:spacing w:after="0" w:line="198" w:lineRule="exact"/>
              <w:rPr>
                <w:sz w:val="20"/>
                <w:szCs w:val="20"/>
                <w:color w:val="auto"/>
              </w:rPr>
            </w:pPr>
            <w:r>
              <w:rPr>
                <w:rFonts w:ascii="Arial" w:cs="Arial" w:eastAsia="Arial" w:hAnsi="Arial"/>
                <w:sz w:val="18"/>
                <w:szCs w:val="18"/>
                <w:b w:val="1"/>
                <w:bCs w:val="1"/>
                <w:color w:val="auto"/>
                <w:w w:val="92"/>
              </w:rPr>
              <w:t>Retained</w:t>
            </w:r>
          </w:p>
        </w:tc>
        <w:tc>
          <w:tcPr>
            <w:tcW w:w="180" w:type="dxa"/>
            <w:vAlign w:val="bottom"/>
          </w:tcPr>
          <w:p>
            <w:pPr>
              <w:spacing w:after="0"/>
              <w:rPr>
                <w:sz w:val="17"/>
                <w:szCs w:val="17"/>
                <w:color w:val="auto"/>
              </w:rPr>
            </w:pPr>
          </w:p>
        </w:tc>
        <w:tc>
          <w:tcPr>
            <w:tcW w:w="1120" w:type="dxa"/>
            <w:vAlign w:val="bottom"/>
            <w:gridSpan w:val="7"/>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4"/>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100" w:type="dxa"/>
            <w:vAlign w:val="bottom"/>
            <w:gridSpan w:val="5"/>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8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Interests</w:t>
            </w:r>
          </w:p>
        </w:tc>
        <w:tc>
          <w:tcPr>
            <w:tcW w:w="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320" w:type="dxa"/>
            <w:vAlign w:val="bottom"/>
            <w:gridSpan w:val="2"/>
          </w:tcPr>
          <w:p>
            <w:pPr>
              <w:spacing w:after="0"/>
              <w:rPr>
                <w:sz w:val="18"/>
                <w:szCs w:val="18"/>
                <w:color w:val="auto"/>
              </w:rPr>
            </w:pPr>
          </w:p>
        </w:tc>
        <w:tc>
          <w:tcPr>
            <w:tcW w:w="920" w:type="dxa"/>
            <w:vAlign w:val="bottom"/>
            <w:gridSpan w:val="5"/>
          </w:tcPr>
          <w:p>
            <w:pPr>
              <w:spacing w:after="0"/>
              <w:rPr>
                <w:sz w:val="18"/>
                <w:szCs w:val="18"/>
                <w:color w:val="auto"/>
              </w:rPr>
            </w:pPr>
          </w:p>
        </w:tc>
        <w:tc>
          <w:tcPr>
            <w:tcW w:w="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4"/>
          </w:tcPr>
          <w:p>
            <w:pPr>
              <w:spacing w:after="0"/>
              <w:rPr>
                <w:sz w:val="18"/>
                <w:szCs w:val="18"/>
                <w:color w:val="auto"/>
              </w:rPr>
            </w:pPr>
          </w:p>
        </w:tc>
        <w:tc>
          <w:tcPr>
            <w:tcW w:w="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68,666</w:t>
            </w:r>
          </w:p>
        </w:tc>
        <w:tc>
          <w:tcPr>
            <w:tcW w:w="540" w:type="dxa"/>
            <w:vAlign w:val="bottom"/>
            <w:shd w:val="clear" w:color="auto" w:fill="CCEEFF"/>
          </w:tcPr>
          <w:p>
            <w:pPr>
              <w:jc w:val="right"/>
              <w:ind w:right="380"/>
              <w:spacing w:after="0"/>
              <w:rPr>
                <w:sz w:val="20"/>
                <w:szCs w:val="20"/>
                <w:color w:val="auto"/>
              </w:rPr>
            </w:pPr>
            <w:r>
              <w:rPr>
                <w:rFonts w:ascii="Arial" w:cs="Arial" w:eastAsia="Arial" w:hAnsi="Arial"/>
                <w:sz w:val="15"/>
                <w:szCs w:val="15"/>
                <w:color w:val="auto"/>
                <w:w w:val="71"/>
              </w:rPr>
              <w:t>$</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547,596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189,390</w:t>
            </w:r>
          </w:p>
        </w:tc>
        <w:tc>
          <w:tcPr>
            <w:tcW w:w="2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120,731</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14,899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Other comprehensive loss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(2,580)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through employee stock</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option and purchase plans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w:t>
            </w:r>
          </w:p>
        </w:tc>
        <w:tc>
          <w:tcPr>
            <w:tcW w:w="5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3,755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3"/>
          </w:tcPr>
          <w:p>
            <w:pPr>
              <w:spacing w:after="0" w:line="201" w:lineRule="exact"/>
              <w:rPr>
                <w:sz w:val="20"/>
                <w:szCs w:val="20"/>
                <w:color w:val="auto"/>
              </w:rPr>
            </w:pPr>
            <w:r>
              <w:rPr>
                <w:rFonts w:ascii="Arial" w:cs="Arial" w:eastAsia="Arial" w:hAnsi="Arial"/>
                <w:sz w:val="18"/>
                <w:szCs w:val="18"/>
                <w:color w:val="auto"/>
              </w:rPr>
              <w:t>Restricted stock awards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3"/>
          </w:tcPr>
          <w:p>
            <w:pPr>
              <w:ind w:left="160"/>
              <w:spacing w:after="0"/>
              <w:rPr>
                <w:sz w:val="20"/>
                <w:szCs w:val="20"/>
                <w:color w:val="auto"/>
              </w:rPr>
            </w:pPr>
            <w:r>
              <w:rPr>
                <w:rFonts w:ascii="Arial" w:cs="Arial" w:eastAsia="Arial" w:hAnsi="Arial"/>
                <w:sz w:val="18"/>
                <w:szCs w:val="18"/>
                <w:color w:val="auto"/>
              </w:rPr>
              <w:t>vesting and expense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50"/>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3"/>
          </w:tcPr>
          <w:p>
            <w:pPr>
              <w:spacing w:after="0" w:line="201" w:lineRule="exact"/>
              <w:rPr>
                <w:sz w:val="20"/>
                <w:szCs w:val="20"/>
                <w:color w:val="auto"/>
              </w:rPr>
            </w:pPr>
            <w:r>
              <w:rPr>
                <w:rFonts w:ascii="Arial" w:cs="Arial" w:eastAsia="Arial" w:hAnsi="Arial"/>
                <w:sz w:val="18"/>
                <w:szCs w:val="18"/>
                <w:color w:val="auto"/>
              </w:rPr>
              <w:t>Contribution from</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5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17,849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Subsidiary dividend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Purchase of treasury stock</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(6,787)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4"/>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Balance at July 29, 2018</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69,505</w:t>
            </w:r>
          </w:p>
        </w:tc>
        <w:tc>
          <w:tcPr>
            <w:tcW w:w="220" w:type="dxa"/>
            <w:vAlign w:val="bottom"/>
          </w:tcPr>
          <w:p>
            <w:pPr>
              <w:spacing w:after="0"/>
              <w:rPr>
                <w:sz w:val="18"/>
                <w:szCs w:val="18"/>
                <w:color w:val="auto"/>
              </w:rPr>
            </w:pPr>
          </w:p>
        </w:tc>
        <w:tc>
          <w:tcPr>
            <w:tcW w:w="540" w:type="dxa"/>
            <w:vAlign w:val="bottom"/>
          </w:tcPr>
          <w:p>
            <w:pPr>
              <w:jc w:val="right"/>
              <w:ind w:right="380"/>
              <w:spacing w:after="0"/>
              <w:rPr>
                <w:sz w:val="20"/>
                <w:szCs w:val="20"/>
                <w:color w:val="auto"/>
              </w:rPr>
            </w:pPr>
            <w:r>
              <w:rPr>
                <w:rFonts w:ascii="Arial" w:cs="Arial" w:eastAsia="Arial" w:hAnsi="Arial"/>
                <w:sz w:val="15"/>
                <w:szCs w:val="15"/>
                <w:color w:val="auto"/>
                <w:w w:val="71"/>
              </w:rPr>
              <w:t>$</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695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50"/>
              <w:spacing w:after="0"/>
              <w:rPr>
                <w:sz w:val="20"/>
                <w:szCs w:val="20"/>
                <w:color w:val="auto"/>
              </w:rPr>
            </w:pPr>
            <w:r>
              <w:rPr>
                <w:rFonts w:ascii="Arial" w:cs="Arial" w:eastAsia="Arial" w:hAnsi="Arial"/>
                <w:sz w:val="18"/>
                <w:szCs w:val="18"/>
                <w:color w:val="auto"/>
              </w:rPr>
              <w:t>553,922</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218,958</w:t>
            </w:r>
          </w:p>
        </w:tc>
        <w:tc>
          <w:tcPr>
            <w:tcW w:w="2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(6,787)</w:t>
            </w:r>
          </w:p>
        </w:tc>
        <w:tc>
          <w:tcPr>
            <w:tcW w:w="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142,703</w:t>
            </w:r>
          </w:p>
        </w:tc>
        <w:tc>
          <w:tcPr>
            <w:tcW w:w="6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913,513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8"/>
                <w:szCs w:val="18"/>
                <w:b w:val="1"/>
                <w:bCs w:val="1"/>
                <w:color w:val="auto"/>
                <w:w w:val="98"/>
              </w:rPr>
              <w:t>Nine Months Ended July 30, 2017</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w w:val="95"/>
              </w:rPr>
              <w:t>Photronics, Inc.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3"/>
              </w:rPr>
              <w:t>Paid-in</w:t>
            </w:r>
          </w:p>
        </w:tc>
        <w:tc>
          <w:tcPr>
            <w:tcW w:w="100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4"/>
              </w:rPr>
              <w:t>Retained</w:t>
            </w:r>
          </w:p>
        </w:tc>
        <w:tc>
          <w:tcPr>
            <w:tcW w:w="14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9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controlling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2016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68,080</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176,260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7,745</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16,520</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Sale of common stock through employee stock option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purchase plans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Restricted stock awards vesting and expense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Subsidiary dividend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(8,382)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7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July 30, 2017</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545,743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184,005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115,846</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855,128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Share Repurchase Program</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July 2018, the Company’s Board of Directors authorized the repurchase of up to $20 million of its common stock, to be effectuated in open-market transactions or in accordance with a repurchase plan under rule 10b5-1 of the Securities Act of 1933 (as amended). The share repurchase program commenced on July 10, 2018 and, as of July 29, 2018, we had repurchased 0.8 million shares at a cost of $6.8 million (an average price of $8.72 per share), $0.9 million of which was pending settlement at that date. The number of shares we repurchase is determined by market conditions and our continual evaluation of the optimal use of cash.</w:t>
      </w:r>
    </w:p>
    <w:p>
      <w:pPr>
        <w:spacing w:after="0" w:line="18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record treasury stock purchases under the cost method, and would employ the average cost method (with average cost being determined separately for each share repurchase program), in the event we subsequently reissue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25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July 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29,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20,082</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23,703</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Property, plant and equipment consists of the following:</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July 29,</w:t>
            </w: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19,831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94,530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1,834,728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1,788,203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(1,288,040)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546,688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Equipment under capital leases is included in the property, plant and equipment amount, above,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July 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(16,463)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18,454</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Depreciation and amortization expense for property, plant and equipment was $18.9 million and $60.8 million for the three and nine month periods ended July 29, 2018, respectively, and $20.6 million and $60.5 million for the three and nine month periods ended July 30, 2017, respectively.</w:t>
      </w:r>
    </w:p>
    <w:p>
      <w:pPr>
        <w:spacing w:after="0" w:line="17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During the three month period ended January 29, 2017, we entered into noncash transactions with a customer for the acquisition of equipment, under which we acquired equipment with fair value of $6.7 million in the nine month period ended July 29, 2018, and $0.1 million and $5.1 million in the three and nine month periods ended July 30, 2017, respectively. We did not acquire any equipment under this agreement during the three month period ended July 29,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January 2018, Photronics, through its wholly-owned Singapore subsidiary (hereinafter, within this Note “we”, or “Photronics”), and Dai Nippon Printing Co., Ltd., through its wholly owned subsidiary “DNP Asia Pacific PTE, Ltd.” (hereinafter, within this Note “DNP”) entered into a joint venture under which DNP obtained a 49.99% interest in our recently established IC business in Xiamen, China, which includes the facility currently under construction. The joint venture, known as “Photronics DNP Mask Corporation Xiamen”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will provide to enable us to offer advanced process technology to our customers. No gain or loss was recorded upon the formation of the joint venture.</w:t>
      </w:r>
    </w:p>
    <w:p>
      <w:pPr>
        <w:spacing w:after="0" w:line="20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of July 29, 2018, Photronics and DNP have each contributed cash of approximately $18.0 million to the joint venture, including contributions of $6.0 million each during the three month period ended July 29, 2018. We estimate that, over the next several years and per the PDMCX joint venture operating agreement (“the Agreement”), DNP and Photronics will each contribute additional cash and capital of $62 million, including any additional amounts which may be obtained through local borrowings to satisfy the terms of the Xiamen investment agreement (referenced below).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Agreement, DNP is afforded, under certain circumstances, the right to put its interest in PDMCX to Photronics. These circumstances include disputes regarding the strategic direction of PDMCX that arise after the initial two year term of the Agreement and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22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recorded net losses from the operations of the PDMCX joint venture of approximately $0.2 million, and $0.9 million in the three and nine month periods ended July 29, 2018, respectively. General creditors of PDMCX do not have recourse to the assets of Photronics, Inc., and the maximum exposure to loss for Photronics from PDMCX at July 29, 2018, was $16.1 million.</w:t>
      </w:r>
    </w:p>
    <w:p>
      <w:pPr>
        <w:spacing w:after="0" w:line="20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As required by the guidance in Topic 810 - “Consolidation” of the Accounting Codification Standards,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is a VIE. Having made this determination, we then assessed whether we were the primary beneficiary of the VIE, and concluded that we were the primary beneficiary during the current reporting period; thus, as required, the PDMCX financial results should be consolidated with Photronics, Inc. Our conclusion was based on the fact that we held a controlling financial interest in PDMCX, which resulted from our having the power to direct the activities that most significantly impacted its economic performance, the obligation to absorb losses, and the right to receive benefits that could potentially be significant to PDMCX. Our conclusion that we had the power to direct the activities that most significantly affected the economic performance of PDMCX during the current period was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period, we had the obligation to absorb losses and the right to receive benefits that could potentially be significant to PDMCX.</w:t>
      </w:r>
    </w:p>
    <w:p>
      <w:pPr>
        <w:spacing w:after="0" w:line="207"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The carrying amounts of PDMCX assets and liabilities included in our condensed consolidated balance sheet as of July 29, 2018, are presented in the following table, together with the maximum exposure to loss of Photronics due to its interests in the net assets of this joint venture.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ind w:left="1540"/>
              <w:spacing w:after="0"/>
              <w:rPr>
                <w:sz w:val="20"/>
                <w:szCs w:val="20"/>
                <w:color w:val="auto"/>
              </w:rPr>
            </w:pPr>
            <w:r>
              <w:rPr>
                <w:rFonts w:ascii="Arial" w:cs="Arial" w:eastAsia="Arial" w:hAnsi="Arial"/>
                <w:sz w:val="18"/>
                <w:szCs w:val="18"/>
                <w:b w:val="1"/>
                <w:bCs w:val="1"/>
                <w:color w:val="auto"/>
              </w:rPr>
              <w:t>Classification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9"/>
              </w:rPr>
              <w:t>Carrying Amount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6"/>
              </w:rPr>
              <w:t>Photronics Interest</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Non-current assets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10,750</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36,443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18,222</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2,072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16,142</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12</w:t>
            </w: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NOTE 6 - LONG-TERM DEBT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Long-term debt consist of the following: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July 29,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57,424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Current portion</w:t>
            </w: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(57,893)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57,337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subject to adjustment upon the occurrence of certain events described in the indenture dated January 22, 2015. Note holders may convert each $1,000 principal amount of notes at any time prior to the close of business on the second scheduled trading day immediately preceding April 1, 2019, and we are not required to redeem the notes prior to their maturity date. Interest on the notes accrues in arrears and is paid semiannually through the notes’ maturity date.</w:t>
      </w:r>
    </w:p>
    <w:p>
      <w:pPr>
        <w:spacing w:after="0" w:line="20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credit facility, which expires in December 2018, has a $50 million limit with an expansion capacity to $75 million, and is secured by substantially all of our assets located in the United States and common stock we own in certain of our foreign subsidiaries. The credit facility stipulates that we may not pay cash dividends on Photronics, Inc. stock, and contains the following financial covenants: minimum interest coverage ratio, total leverage ratio and minimum unrestricted cash balance, all of which we were in compliance with at July 29, 2018. We had no outstanding borrowings against the credit facility at July 29, 2018, and $50 million was available for borrowing. The interest rate on the credit facility (3.59% at July 29, 2018) is based on our total leverage ratio at LIBOR plus a spread, as defined in the credit facility. In April 2018, our credit facility was amended to change the definition of “Specified Capital Expenditures”, which is used to calculate the interest coverage ratio, and in August 2018 the credit facility was amended to allow the Company to sell, transfer, lease or otherwise dispose of its assets to a Subsidiary Guarantor.</w:t>
      </w:r>
    </w:p>
    <w:p>
      <w:pPr>
        <w:spacing w:after="0" w:line="17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August 2013, we entered into a $26.4 million principal amount, five year capital lease to fund the purchase of a high-end lithography tool. Payments under the capital lease, which bears interest at 2.77%, are $0.5 million per month through July 2018. The lease is subject to a cross default with cross acceleration provision related to certain nonfinancial covenants in our credit facility. As of July 29, 2018, the total amount payable was $0.5 million, substantially all of which represented principal.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Photronics. In the event of a change in control (as defined in the Plan), the vesting of awards may be accelerated. The Plan, aspects of which are more fully described below, prohibits further awards from being issued under prior plans. Total share-based compensation costs for the three and nine month periods ended July 29, 2018, were $0.8 million and $2.4 million, respectively, and $1.0 million and $2.8 million for the three and nine month periods ended July 30, 2017, respectively. The Company received cash from option exercises of $0.2 million and $3.8 million for the three and nine month periods ended July 29, 2018, respectively, and $0.1 million and $2.2 million for the three and nine month periods ended July 30, 2017, respectively. No share-based compensation cost was capitalized as part of an asset and no related income tax benefits were recorded during the periods presented.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Option awards generally vest in one-to-four years, and have a ten-year contractual term. All incentive and non-qualified stock option grants have an exercise price no less than the market value of the underlying common stock on the date of grant. The grant date fair values of options are based on closing prices of our common stock on the dates of grant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the option is based on the U.S. Treasury yield curve in effect at the date of grant.</w:t>
      </w:r>
    </w:p>
    <w:p>
      <w:pPr>
        <w:spacing w:after="0" w:line="22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There were 12,000 options granted during the three month period ended July 29, 2018, with a weighted-average grant date fair value of $2.84 per share, and there were no options granted during the three month period ended July 30, 2017. There were 264,000 share options granted during the nine month period ended July 29, 2018, with a weighted-average grant date fair value of $2.74 per share, and 348,750 share options granted during the nine month period ended July 30, 2017, with a weighted-average grant date fair value of $3.59 per share. As of July 29, 2018, the total unrecognized compensation cost related to unvested option awards was approximately $1.8 million. That cost is expected to be recognized over a weighted-average amortization period of 2.0 years.</w:t>
      </w:r>
    </w:p>
    <w:p>
      <w:pPr>
        <w:spacing w:after="0" w:line="18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and nine month periods ended July 29, 2018 and July 30, 2017,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80" w:type="dxa"/>
            <w:vAlign w:val="bottom"/>
            <w:gridSpan w:val="3"/>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7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July 29,</w:t>
            </w:r>
          </w:p>
        </w:tc>
        <w:tc>
          <w:tcPr>
            <w:tcW w:w="1120" w:type="dxa"/>
            <w:vAlign w:val="bottom"/>
            <w:tcBorders>
              <w:top w:val="single" w:sz="8" w:color="auto"/>
            </w:tcBorders>
          </w:tcPr>
          <w:p>
            <w:pPr>
              <w:ind w:left="260"/>
              <w:spacing w:after="0" w:line="198" w:lineRule="exact"/>
              <w:rPr>
                <w:sz w:val="20"/>
                <w:szCs w:val="20"/>
                <w:color w:val="auto"/>
              </w:rPr>
            </w:pPr>
            <w:r>
              <w:rPr>
                <w:rFonts w:ascii="Arial" w:cs="Arial" w:eastAsia="Arial" w:hAnsi="Arial"/>
                <w:sz w:val="18"/>
                <w:szCs w:val="18"/>
                <w:b w:val="1"/>
                <w:bCs w:val="1"/>
                <w:color w:val="auto"/>
              </w:rPr>
              <w:t>July 30,</w:t>
            </w:r>
          </w:p>
        </w:tc>
        <w:tc>
          <w:tcPr>
            <w:tcW w:w="18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July 29,</w:t>
            </w:r>
          </w:p>
        </w:tc>
        <w:tc>
          <w:tcPr>
            <w:tcW w:w="11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30,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N/A</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N/A</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2.2-2.8%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N/A</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 years</w:t>
            </w: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N/A</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 years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outstanding and exercisable option awards as of July 29, 2018,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4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29, 2018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2,556,645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6.0 years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July 29, 2018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1,730,655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4.9 years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459"/>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periodically grant restricted stock awards, the restrictions on which typically lapse over a service period of one-to-four years. The fair value of the awards is determined on the date of grant, based on the closing price of our common stock. There were no restricted stock awards granted during the three month period ended July 29, 2018 and there were 290,000 restricted stock awards granted during the nine month period ended July 29, 2018, with a weighted-average grant date fair value of $8.62 per share. There were 5,000 restricted stock awards granted during the three month period ended July 30, 2017, with a grant date fair value of $10.15, and 290,000 restricted stock awards granted during the nine month period ended July 30, 2017, with a weighted-average grant date fair value of $11.28 per share. As of July 29, 2018, the total compensation cost not yet recognized related to unvested restricted stock awards was approximately $3.3 million. That cost is expected to be recognized over a weighted-average amortization period of 2.7 years. As of July 29, 2018, there were 449,173 shares of restricted stock outstanding.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effective tax rate of 9.4% and 7.8% for the three and nine month periods ended July 29, 2018, respectively, differ from the post U.S. Tax Reform blended statutory rate of 23.4%, primarily due to the benefit from U.S. Tax Reform (as discussed below), earnings being taxed at lower statutory rates in foreign jurisdictions, the benefit of various investment credits in a foreign jurisdiction, a tax holiday in Taiwan and the change in unrecognized tax benefits related to an audit settlement and an assessment statute expiration.</w:t>
      </w:r>
    </w:p>
    <w:p>
      <w:pPr>
        <w:spacing w:after="0" w:line="2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December 22, 2017, the U.S. Tax Cuts and Jobs Act (the “Act”), was signed into law, enacting significant changes to the United States Internal Revenue Code of 1986, as amended, that we expect to have a positive impact on our future after-tax earnings. Under ASC Topic 740 – “Income Taxes” (“ASC 740”), the effects of the new legislation are recognized in the interim and annual accounting periods that include the enactment date, which falls within our nine month period ended July 29, 2018. In December 2017, the Securities and Exchange Commission released Staff Accounting Bulletin No. 118 (“SAB 118”) to address situations in which the accounting under ASC 740 is incomplete for certain income tax effects of the Act. We adopted SAB 118 in our first quarter of fiscal year 2018.</w:t>
      </w:r>
    </w:p>
    <w:p>
      <w:pPr>
        <w:spacing w:after="0" w:line="22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SAB 118 summarizes a three-step process to be applied at each reporting period to account for and qualitatively disclose: (1) the effects of the change in tax law for which accounting is complete; (2) provisional amounts (or adjustments to provisional amounts) for the effects of the tax law where accounting is not complete, but that a reasonable estimate has been determined; and (3) a reasonable estimate cannot yet be made and, therefore, taxes are reflected in accordance with law prior to the enactment of the Act.</w:t>
      </w:r>
    </w:p>
    <w:p>
      <w:pPr>
        <w:spacing w:after="0" w:line="214"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continue to analyze the provisions of the Act addressing the net deferred tax asset revaluation and its calculations, the deemed earnings repatriation, including the determination of undistributed non-U.S. earnings, and evaluate potential actions we may consider in light of the Act that could affect our fiscal year 2018 U.S. taxable income. As such, our accounting for certain elements within the Act is preliminary, and subject to further clarification of the Act by the Internal Revenue Service. The following is a discussion of the major provisions of the Act that affect our financial statements, and our preliminary assessment of the impact of such provisions on our financial statements.</w:t>
      </w:r>
    </w:p>
    <w:p>
      <w:pPr>
        <w:spacing w:after="0" w:line="200" w:lineRule="exact"/>
        <w:rPr>
          <w:sz w:val="20"/>
          <w:szCs w:val="20"/>
          <w:color w:val="auto"/>
        </w:rPr>
      </w:pPr>
    </w:p>
    <w:p>
      <w:pPr>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 repeals the corporate alternative minimum tax (“AMT”) for tax years beginning after December 31, 2017, and provides that existing AMT credit carryforwards are fully refundable over a four year period, starting with the tax year beginning after December 31, 2017. We have approximately $3.9 million of AMT credit carryforwards that we previously determined were not more likely than not going to be realized and, as such, established a valuation allowance for these carryforwards. The Act has changed our determination regarding the realization of the benefit of the carryforwards; accordingly, the related valuation allowance has been reversed, and a $3.7 million, net of sequestration, tax benefit has been recorded as of July 29, 2018.</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January 1, 2018, the Act reduces the corporate income tax rate from a maximum 35% to a flat 21%. Our fiscal year 2018 blended statutory tax rate is approximately 23.4%, the weighted daily average rate between the pre-enactment U.S. federal statutory tax rate of 35% applicable to our 2018 fiscal year prior to the rate change effective January 1, 2018, and the post-enactment U.S. federal statutory tax rate of 21% applicable to the balance of our 2018 fiscal year. The 21% rate will be applicable to fiscal year 2019 and beyond. Under generally accepted accounting principles, we are required to revalue our deferred tax assets and liabilities utilizing the rate applicable to the period when a temporary difference will reverse. Our preliminary analysis of the two-stepped revaluation indicates that our fiscal 2018 yearend net deferred tax asset will be increased by $2.5 million, with an offsetting change in the related valuation allowance, resulting in a provisional net zero impact for the period.</w:t>
      </w:r>
    </w:p>
    <w:p>
      <w:pPr>
        <w:spacing w:after="0" w:line="4" w:lineRule="exact"/>
        <w:rPr>
          <w:rFonts w:ascii="Arial" w:cs="Arial" w:eastAsia="Arial" w:hAnsi="Arial"/>
          <w:sz w:val="16"/>
          <w:szCs w:val="16"/>
          <w:color w:val="auto"/>
        </w:rPr>
      </w:pPr>
    </w:p>
    <w:p>
      <w:pPr>
        <w:ind w:left="660" w:right="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Act imposes a transition tax for a one-time deemed repatriation of the accumulated earnings of foreign subsidiaries. The transition tax effective rates are 15.5% on accumulated earnings held in cash (as defined by the Act), and 8% on any remaining balance. Our preliminary analysis indicates an estimated deemed repatriation transition tax of $28.4 million, the entire amount of which will be fully offset by tax credits and/or available loss carryforwards and will result in a provisional net zero impact in the period, due in part to an offsetting change in the related valuation allowance. We anticipate that future earnings of foreign subsidiaries will not be subject to U.S. federal income tax. Notwithstanding the deemed repatriation rules under the Act, we anticipate that foreign earnings will remain unremitted for purposes of continuing to fund reinvestment in foreign operations.</w:t>
      </w:r>
    </w:p>
    <w:p>
      <w:pPr>
        <w:spacing w:after="0" w:line="4"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preliminary analysis of other provisions of the Act including, but not limited to, 100 percent bonus depreciation and changes to the limitations on the deductibility of meals and entertainment expenses, indicates that, under our current tax profile, there should be limited or no provisional impact on our 2018 yearend financial statements.</w:t>
      </w:r>
    </w:p>
    <w:p>
      <w:pPr>
        <w:spacing w:after="0" w:line="1" w:lineRule="exact"/>
        <w:rPr>
          <w:rFonts w:ascii="Arial" w:cs="Arial" w:eastAsia="Arial" w:hAnsi="Arial"/>
          <w:sz w:val="18"/>
          <w:szCs w:val="18"/>
          <w:color w:val="auto"/>
        </w:rPr>
      </w:pPr>
    </w:p>
    <w:p>
      <w:pPr>
        <w:ind w:left="660" w:right="300" w:hanging="328"/>
        <w:spacing w:after="0" w:line="29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the effective date of certain provisions, we will be subject to additional requirements of tax reform beginning in fiscal year 2019. Those provisions include a tax on global intangible low-taxed income (GILTI), a tax determined by base erosion tax benefits (BEAT) from certain payments between a U.S. corporation and foreign subsidiaries, a limitation of certain executive compensation, a deduction for foreign derived intangible income (FDII), and interest expense limitations. We have not completed our analysis of those provisions and their estimated impacts.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January 18, 2018, the Taiwan Legislature Yuan approved amendments to the Income Tax Act, enacting an increase in the corporate tax rate from 17% to 20%. Under generally accepted accounting principles, we are required to revalue our deferred tax assets and liabilities utilizing the rate applicable to the period when a temporary difference will reverse. Our analysis indicates that our Taiwan deferred tax asset will be increased and, accordingly, a net benefit of $0.2 million was reflected in our January 28, 2018 tax provision.</w:t>
      </w:r>
    </w:p>
    <w:p>
      <w:pPr>
        <w:spacing w:after="0" w:line="21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6.5% and 20.7% effective tax rates for the respective three and nine month periods ended July 30, 2017, differ from the U.S. statutory rate of 35%, primarily due to earnings being taxed at lower statutory rates in foreign jurisdictions, combined with the benefit of various investment credits in a foreign jurisdiction. Valuation allowances in jurisdictions with historic losses eliminate the tax benefit that would be recognized in these jurisdictions. We have two five-year tax holidays in Taiwan, one that expired in 2017 and the other that expires in 2019. The latter tax holiday reduced foreign taxes by $1.1 million and $1.8 million in the three and nine month periods ended July 29, 2018, respectively, and had $0.1 and $0.2 effect on earnings per share, respectively, in each period. For the three and nine month periods ended July 30, 2017, the company realized benefits from the tax holidays of $0.1 million and $0.2 million, respectively, with de minimis per share effects for these periods.</w:t>
      </w:r>
    </w:p>
    <w:p>
      <w:pPr>
        <w:spacing w:after="0" w:line="20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There were unrecognized tax benefits related to uncertain tax positions of $1.5 million at July 29, 2018, and $3.4 million at October 29, 2017, all of which, if recognized, would favorably impact the Company’s effective tax rate. Accrued interest and penalties related to unrecognized tax benefits were $0.1 million at July 29, 2018 and October 29, 2017. The decrease in unrecognized tax benefits during the nine month period ended July 29, 2018, resulted from the expiration of a statute of limitation and an audit settlement. Although the timing of the expirations of statutes of limitations may be uncertain, as they can be dependent upon the settlement of tax audits, we believe that it is reasonably possible that up to $0.6 million of our uncertain tax positions (including accrued interest and penalties, and net of tax benefits) may be resolved over the next twelve months. Resolution of these uncertain tax positions may result from either or both the lapses of statutes of limitations and tax settlements.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NOTE 9 - EARNINGS PER SHARE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1"/>
              </w:rPr>
              <w:t>The calculations of basic and diluted earnings per share is presented below.</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400" w:type="dxa"/>
            <w:vAlign w:val="bottom"/>
            <w:gridSpan w:val="6"/>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29,</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30,</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1"/>
              </w:rPr>
              <w:t>July 29</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July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Interest expense on convertible notes, net of tax</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Earnings used for diluted earnings per share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13,501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31,056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1"/>
        </w:trPr>
        <w:tc>
          <w:tcPr>
            <w:tcW w:w="5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Weighted-average common shares computations: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68,525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80"/>
              <w:spacing w:after="0"/>
              <w:rPr>
                <w:sz w:val="20"/>
                <w:szCs w:val="20"/>
                <w:color w:val="auto"/>
              </w:rPr>
            </w:pPr>
            <w:r>
              <w:rPr>
                <w:rFonts w:ascii="Arial" w:cs="Arial" w:eastAsia="Arial" w:hAnsi="Arial"/>
                <w:sz w:val="18"/>
                <w:szCs w:val="18"/>
                <w:color w:val="auto"/>
              </w:rPr>
              <w:t>Share-based payment awards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Potentially dilutive common shares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75,121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69,311</w:t>
            </w:r>
          </w:p>
        </w:tc>
        <w:tc>
          <w:tcPr>
            <w:tcW w:w="0" w:type="dxa"/>
            <w:vAlign w:val="bottom"/>
          </w:tcPr>
          <w:p>
            <w:pPr>
              <w:spacing w:after="0"/>
              <w:rPr>
                <w:sz w:val="1"/>
                <w:szCs w:val="1"/>
                <w:color w:val="auto"/>
              </w:rPr>
            </w:pPr>
          </w:p>
        </w:tc>
      </w:tr>
      <w:tr>
        <w:trPr>
          <w:trHeight w:val="21"/>
        </w:trPr>
        <w:tc>
          <w:tcPr>
            <w:tcW w:w="5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prices exceeded the average market value of the common shares for the period or, under application of the treasury stock method, they were otherwise determined to be anti-dilutive. The table also shows convertible notes that, if converted, would have been anti-dilutive, at July 30, 2017.</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760" w:type="dxa"/>
            <w:vAlign w:val="bottom"/>
          </w:tcPr>
          <w:p>
            <w:pPr>
              <w:spacing w:after="0"/>
              <w:rPr>
                <w:sz w:val="24"/>
                <w:szCs w:val="24"/>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0" w:type="dxa"/>
            <w:vAlign w:val="bottom"/>
            <w:tcBorders>
              <w:top w:val="single" w:sz="8" w:color="auto"/>
            </w:tcBorders>
            <w:gridSpan w:val="2"/>
          </w:tcPr>
          <w:p>
            <w:pPr>
              <w:ind w:left="280"/>
              <w:spacing w:after="0" w:line="198" w:lineRule="exact"/>
              <w:rPr>
                <w:sz w:val="20"/>
                <w:szCs w:val="20"/>
                <w:color w:val="auto"/>
              </w:rPr>
            </w:pPr>
            <w:r>
              <w:rPr>
                <w:rFonts w:ascii="Arial" w:cs="Arial" w:eastAsia="Arial" w:hAnsi="Arial"/>
                <w:sz w:val="18"/>
                <w:szCs w:val="18"/>
                <w:b w:val="1"/>
                <w:bCs w:val="1"/>
                <w:color w:val="auto"/>
              </w:rPr>
              <w:t>July 29,</w:t>
            </w:r>
          </w:p>
        </w:tc>
        <w:tc>
          <w:tcPr>
            <w:tcW w:w="114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30,</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July 29,</w:t>
            </w:r>
          </w:p>
        </w:tc>
        <w:tc>
          <w:tcPr>
            <w:tcW w:w="114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5,542</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Total potentially dilutive shares excluded</w:t>
            </w:r>
          </w:p>
        </w:tc>
        <w:tc>
          <w:tcPr>
            <w:tcW w:w="1160" w:type="dxa"/>
            <w:vAlign w:val="bottom"/>
          </w:tcPr>
          <w:p>
            <w:pPr>
              <w:jc w:val="right"/>
              <w:spacing w:after="0"/>
              <w:rPr>
                <w:sz w:val="20"/>
                <w:szCs w:val="20"/>
                <w:color w:val="auto"/>
              </w:rPr>
            </w:pPr>
            <w:r>
              <w:rPr>
                <w:rFonts w:ascii="Arial" w:cs="Arial" w:eastAsia="Arial" w:hAnsi="Arial"/>
                <w:sz w:val="18"/>
                <w:szCs w:val="18"/>
                <w:color w:val="auto"/>
              </w:rPr>
              <w:t>1,873</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6,629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ACCUMULATED OTHER COMPREHENSIVE INCOME BY COMPONENT</w:t>
      </w:r>
    </w:p>
    <w:p>
      <w:pPr>
        <w:spacing w:after="0" w:line="256"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 and nine month periods ended July 29, 2018 and July 30,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8"/>
                <w:szCs w:val="18"/>
                <w:b w:val="1"/>
                <w:bCs w:val="1"/>
                <w:color w:val="auto"/>
                <w:w w:val="91"/>
              </w:rPr>
              <w:t>Three Months Ended July 29, 2018</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1"/>
              </w:rPr>
              <w:t>Foreign Currency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Translation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Other</w:t>
            </w: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2018</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24,433</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23,756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8"/>
                <w:szCs w:val="18"/>
                <w:color w:val="auto"/>
              </w:rPr>
              <w:t>(24,572)</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(24,507)</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other comprehensive (income) loss attributable to</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2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4,773</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29, 2018</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2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4,022</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8"/>
                <w:szCs w:val="18"/>
                <w:b w:val="1"/>
                <w:bCs w:val="1"/>
                <w:color w:val="auto"/>
              </w:rPr>
              <w:t>Three Months Ended July 30, 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4"/>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Foreign Currency</w:t>
            </w:r>
          </w:p>
        </w:tc>
        <w:tc>
          <w:tcPr>
            <w:tcW w:w="1240" w:type="dxa"/>
            <w:vAlign w:val="bottom"/>
            <w:gridSpan w:val="4"/>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Translation</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of Cash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Flow Hedge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Other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1, 2017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Amounts reclassified from accumulated other comprehensive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Less: other comprehensive (income) loss attributable to</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at July 30, 2017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9,902</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(972)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8,849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351"/>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8"/>
                <w:szCs w:val="18"/>
                <w:b w:val="1"/>
                <w:bCs w:val="1"/>
                <w:color w:val="auto"/>
              </w:rPr>
              <w:t>Nine Months Ended July 29, 2018</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40" w:type="dxa"/>
            <w:vAlign w:val="bottom"/>
            <w:gridSpan w:val="4"/>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Foreign Currency</w:t>
            </w:r>
          </w:p>
        </w:tc>
        <w:tc>
          <w:tcPr>
            <w:tcW w:w="12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Cash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Flow Hedge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30,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6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(5,583)</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Less: other comprehensive (income) loss attributable to</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Balance at July 29, 2018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4,667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(645)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8"/>
                <w:szCs w:val="18"/>
                <w:b w:val="1"/>
                <w:bCs w:val="1"/>
                <w:color w:val="auto"/>
              </w:rPr>
              <w:t>Nine Months Ended July 30, 2017</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40" w:type="dxa"/>
            <w:vAlign w:val="bottom"/>
            <w:gridSpan w:val="4"/>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Foreign Currency</w:t>
            </w:r>
          </w:p>
        </w:tc>
        <w:tc>
          <w:tcPr>
            <w:tcW w:w="12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Cash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Flow Hedge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Less: other comprehensive (income)loss attributable to</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Balance at July 30, 2017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9,902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(972)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amortization of the cash flow hedge is included in Cost of goods sold in the condensed consolidated statements of income in all applicable periods presented.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5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fair values of our cash and cash equivalents (Level 1 measurements), accounts receivable, accounts payable, and certain other current assets and current liabilities (Level 2 measurements) approximate their carrying value due to their short-term maturities. We did not have any other assets or liabilities measured at fair value, on a recurring or a nonrecurring basis, at July 29, 2018 or October 29, 2017.</w:t>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 Not Measured at Fair Value</w:t>
      </w:r>
    </w:p>
    <w:p>
      <w:pPr>
        <w:spacing w:after="0" w:line="252"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The fair value of our convertible senior notes is a Level 2 measurement, as it is determined using inputs that were either observable market data, or could be derived from or corroborated with observable market data. These inputs included our stock price and interest rates offered on debt issued by entities with credit ratings similar to ours. The table below presents the fair and carrying values of our convertible senior notes at July 29, 2018 and October 29,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July 29,</w:t>
            </w:r>
          </w:p>
        </w:tc>
        <w:tc>
          <w:tcPr>
            <w:tcW w:w="11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29, 2017</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9"/>
                <w:szCs w:val="19"/>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Carrying Value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57,424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67,396</w:t>
            </w: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57,337</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NOTE 12 - COMMITMENTS AND CONTINGENCIES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July 29, 2018, we had commitments outstanding for capital expenditures of approximately $181 million, nearly all of which related to the building and equipping of our China facilities.</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that such claims, individually or in the aggregate, will not have a material effect on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RECENT ACCOUNTING PRONOUNCEMENTS</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2017, the Securities and Exchange Commission released Staff Accounting Bulletin No. 118 (“SAB 118”) to address situations where the accounting under ASC Topic 740 – “Income Taxes” is incomplete for certain income tax effects of the Tax Cuts and Jobs Act, which was signed into law on December 22, 2017, and changed existing U.S. tax law. We adopted this guidance in our first quarter of fiscal year 2018. Please see Note 8 for a discussion of the effects of adopting this guidance.</w:t>
      </w:r>
    </w:p>
    <w:p>
      <w:pPr>
        <w:spacing w:after="0" w:line="21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Photronics, Inc. in its first quarter of fiscal year 2019 and should be applied on a retrospective transition basis. Early adoption is permitted, including adoption in an interim period. We are currently evaluating the effect that this ASU will have on our consolidated financial statements.</w:t>
      </w:r>
    </w:p>
    <w:p>
      <w:pPr>
        <w:spacing w:after="0" w:line="22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is effective for Photronics in the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We are currently evaluating the effect this ASU will have on our consolidated financial statements.</w:t>
      </w:r>
    </w:p>
    <w:p>
      <w:pPr>
        <w:spacing w:after="0" w:line="21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Inc. in its first quarter of fiscal year 2021, with early adoption permitted beginning in the first quarter of fiscal year 2019. We are currently evaluating the effect that this ASU will have on our consolidated financial statements.</w:t>
      </w:r>
    </w:p>
    <w:p>
      <w:pPr>
        <w:spacing w:after="0" w:line="2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2016, the FASB issued ASU 2016 – 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Adoption of this guidance in the first quarter of our fiscal year 2018 did not have a material impact on our financial statements.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February 2016, the FASB issued ASU 2016-02 “Leases (Topic 842)”, which requires lessees to recognize right-of-use assets and corresponding liabilities for all leases with an initial term in excess of twelve months. ASU 2016-02 was required to be adopted using a modified retrospective approach, which includes a number of practical expedients, that requires leases to be measured and recognized under the new guidance at the beginning of the earliest period presented. In July 2018, the FASB issued ASU 2018-11 “Targeted Improvements”, which allows the new leases standard to be initially applied at the adoption date through a cumulative-effect adjustment to the opening balance of retained earnings in the period of adoption. These ASUs are effective for Photronics, Inc. in the first quarter of fiscal year 2020, with early application permitted. We are currently evaluating the effect that these ASUs will have on our consolidated financial statements.</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Photronics, Inc. in the first quarter of our fiscal year 2019. This update allows for either full retrospective or modified retrospective adoption. In April 2016, the FASB issued ASU 2016-10 “Identifying Performance Obligations and Licensing” which amends guidance previously issued on these matters in ASU 2014-09. The effective date and transition requirements of ASU 2016-10 are the same as those for ASU 2014-09.</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adopt the new revenue and related guidance using the modified retrospective approach, and anticipate that the adoption of this ASU will result in the accelerated recognition of certain revenue streams as, upon adoption of this Update, substantially all of our work-in process and finished goods inventory will be considered to represent promised goods transferred to our customers, requiring us to recognize consideration for those transferred goods in amounts we expect to be entitled to receive in exchange for them. We do not expect the acceleration of revenue will have a material effect on our consolidated financial statements.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Annual Report on Form 10-K for the fiscal 2017 year), that may cause actual results to materially differ from these expectations.</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sell substantially all of our photomasks to semiconductor and Flat Panel Display (“FPD”) designers and manufacturers. Photomask technology is also being applied to the fabrication of other higher performance electronic products such as photonics, micro-electronic mechanical systems and certain nanotechnology applications. Our selling cycle is tightly interwoven with the development and release of new semiconductor and FPD designs and applications, particularly as they relate to the microelectronic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Integrated Circuits (“ICs”), reductions in design complexity, other changes in the technology or methods of manufacturing or designing semiconductors, or a slowdown in the introduction of new semiconductor or FPD designs could reduce demand for photomasks ‒ 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w:t>
      </w:r>
    </w:p>
    <w:p>
      <w:pPr>
        <w:spacing w:after="0" w:line="19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typically required to fulfill customer orders within a short period of time, sometimes within 24 hours. This results in a minimal level of backlog orders, typically one to two weeks of backlog for IC photomasks and two to three weeks of backlog for FPD photomasks.</w:t>
      </w:r>
    </w:p>
    <w:p>
      <w:pPr>
        <w:spacing w:after="0" w:line="19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 performance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also enable us to continually reinvest in our global infrastructure.</w:t>
      </w:r>
    </w:p>
    <w:p>
      <w:pPr>
        <w:spacing w:after="0" w:line="19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the third quarter of fiscal 2018, the Company’s Board of Directors authorized the repurchase of up to $20 million of its common stock, to be effectuated in open-market transactions or in accordance with a repurchase plan under rule 10b5-1 of the Securities Act of 1933 (as amended). The share repurchase program commenced on July 10, 2018, and will expire no later than July 7, 2019. As of July 29, 2018, we had repurchased 0.8 million shares at a cost of $6.8 million (an average price of $8.72 per share), $0.9 million of which was pending settlement at that date. The volume of shares repurchased are subject to market conditions and our continual evaluation of the optimal use of cash.</w:t>
      </w:r>
    </w:p>
    <w:p>
      <w:pPr>
        <w:spacing w:after="0" w:line="17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the first quarter of fiscal 2018, we announced the successful closing of the China joint venture agreement with Dai Nippon Printing Co., Ltd. (“DNP”), which we had agreed to enter into and announced in the third quarter of fiscal 2017. Under the agreement, our wholly-owned Singapore subsidiary owns</w:t>
      </w:r>
    </w:p>
    <w:p>
      <w:pPr>
        <w:ind w:right="240"/>
        <w:spacing w:after="0" w:line="255" w:lineRule="auto"/>
        <w:rPr>
          <w:sz w:val="20"/>
          <w:szCs w:val="20"/>
          <w:color w:val="auto"/>
        </w:rPr>
      </w:pPr>
      <w:r>
        <w:rPr>
          <w:rFonts w:ascii="Arial" w:cs="Arial" w:eastAsia="Arial" w:hAnsi="Arial"/>
          <w:sz w:val="18"/>
          <w:szCs w:val="18"/>
          <w:color w:val="auto"/>
        </w:rPr>
        <w:t>50.01% of the joint venture, which is named Photronics DNP Mask Corporation Xiamen (PDMCX), and a subsidiary of DNP owns the remaining 49.99%. The financial results of the joint venture are included in the Photronics, Inc. consolidated financial statements. See Note 5 of the condensed consolidated financial statements for additional information on the joint venture.</w:t>
      </w:r>
    </w:p>
    <w:p>
      <w:pPr>
        <w:spacing w:after="0" w:line="21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fourth quarter of fiscal 2017, we announced that Photronics UK, Ltd., our wholly owned subsidiary, signed an investment agreement with the Hefei State Hi-tech Industry Development Zone to establish a manufacturing facility in Hefei, China. Under the terms of the agreement, through our subsidiary, we will invest a minimum of $160 million, a portion of which may be funded with local borrowings, to build and operate a research and development and manufacturing facility for high-end and mainstream FPD photomasks. The Hefei State Hi-tech Industry Development Zone will provide certain investment incentives and support for this facility, which will have initial capability to produce up to G10.5+ large area masks and AMOLED products. Construction began in late 2017 and production is anticipated to commence during the first half of 2019.</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the fourth quarter of fiscal 2016, Photronics Singapore Pte, Ltd., a wholly owned subsidiary, signed an investment agreement with the Administrative Committee of Xiamen Torch Hi-Tech Industrial Development Zone (Xiamen Torch) to establish an IC manufacturing facility in Xiamen, China. Under the terms of the agreement, we will build and operate an IC facility to engage in research and development, manufacture and sale of photomasks, in return for which Xiamen Torch will provide certain investment incentives and support. This expansion is also substantially supported by customer commitments for its output. As discussed above, in the first quarter of fiscal 2018, we entered into a joint venture agreement with DNP, under which they obtained a 49.99% ownership interest in this facility. The total investment, per the agreement, is $160 million to be funded over the next several years with cash and local borrowings. Construction began in 2017 and production is anticipated to start during the first half of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July 29, 2018 and July 30, 2017</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operating information expressed as a percentage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50"/>
              <w:spacing w:after="0" w:line="198" w:lineRule="exact"/>
              <w:rPr>
                <w:sz w:val="20"/>
                <w:szCs w:val="20"/>
                <w:color w:val="auto"/>
              </w:rPr>
            </w:pPr>
            <w:r>
              <w:rPr>
                <w:rFonts w:ascii="Arial" w:cs="Arial" w:eastAsia="Arial" w:hAnsi="Arial"/>
                <w:sz w:val="18"/>
                <w:szCs w:val="18"/>
                <w:b w:val="1"/>
                <w:bCs w:val="1"/>
                <w:color w:val="auto"/>
              </w:rPr>
              <w:t>July 29,</w:t>
            </w:r>
          </w:p>
        </w:tc>
        <w:tc>
          <w:tcPr>
            <w:tcW w:w="13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April 29,</w:t>
            </w:r>
          </w:p>
        </w:tc>
        <w:tc>
          <w:tcPr>
            <w:tcW w:w="11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30,</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July 29,</w:t>
            </w:r>
          </w:p>
        </w:tc>
        <w:tc>
          <w:tcPr>
            <w:tcW w:w="11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of goods sold</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(73.9)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(74.9)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Note: All of the following tabular comparisons, unless otherwise indicated, are for the three months ended July 29, 2018 (Q3 FY18), April 29, 2018 (Q2 FY18) and July 30, 2017 (Q3 FY17) and for the nine months ended July 29, 2018 (YTD FY18) and July 30, 2017 (YTD FY17), in millions of dollars.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revenue changes by product type and technology level: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w w:val="98"/>
              </w:rPr>
              <w:t>Q3 FY18 Compared with Q2</w:t>
            </w:r>
          </w:p>
        </w:tc>
        <w:tc>
          <w:tcPr>
            <w:tcW w:w="20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Q3 FY18 Compared</w:t>
            </w:r>
          </w:p>
        </w:tc>
        <w:tc>
          <w:tcPr>
            <w:tcW w:w="160" w:type="dxa"/>
            <w:vAlign w:val="bottom"/>
          </w:tcPr>
          <w:p>
            <w:pPr>
              <w:spacing w:after="0"/>
              <w:rPr>
                <w:sz w:val="18"/>
                <w:szCs w:val="18"/>
                <w:color w:val="auto"/>
              </w:rPr>
            </w:pPr>
          </w:p>
        </w:tc>
        <w:tc>
          <w:tcPr>
            <w:tcW w:w="296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9"/>
              </w:rPr>
              <w:t>YTD FY18 Compared with YTD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FY18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with Q3 FY17</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FY17</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98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6"/>
              </w:rPr>
              <w:t>Percent</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4"/>
              </w:rPr>
              <w:t>Increase</w:t>
            </w:r>
          </w:p>
        </w:tc>
        <w:tc>
          <w:tcPr>
            <w:tcW w:w="180" w:type="dxa"/>
            <w:vAlign w:val="bottom"/>
          </w:tcPr>
          <w:p>
            <w:pPr>
              <w:spacing w:after="0"/>
              <w:rPr>
                <w:sz w:val="17"/>
                <w:szCs w:val="17"/>
                <w:color w:val="auto"/>
              </w:rPr>
            </w:pPr>
          </w:p>
        </w:tc>
        <w:tc>
          <w:tcPr>
            <w:tcW w:w="98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6"/>
              </w:rPr>
              <w:t>Percent</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c>
          <w:tcPr>
            <w:tcW w:w="108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0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6"/>
              </w:rPr>
              <w:t>Percent</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Increase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b w:val="1"/>
                <w:bCs w:val="1"/>
                <w:color w:val="auto"/>
              </w:rPr>
              <w:t>Q3 FY18</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Change</w:t>
            </w:r>
          </w:p>
        </w:tc>
        <w:tc>
          <w:tcPr>
            <w:tcW w:w="4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(Decrease)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Change</w:t>
            </w:r>
          </w:p>
        </w:tc>
        <w:tc>
          <w:tcPr>
            <w:tcW w:w="6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(Decrease)</w:t>
            </w: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FY18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Change</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176"/>
        </w:trPr>
        <w:tc>
          <w:tcPr>
            <w:tcW w:w="2000" w:type="dxa"/>
            <w:vAlign w:val="bottom"/>
            <w:gridSpan w:val="4"/>
          </w:tcPr>
          <w:p>
            <w:pPr>
              <w:spacing w:after="0" w:line="176" w:lineRule="exact"/>
              <w:rPr>
                <w:sz w:val="20"/>
                <w:szCs w:val="20"/>
                <w:color w:val="auto"/>
              </w:rPr>
            </w:pPr>
            <w:r>
              <w:rPr>
                <w:rFonts w:ascii="Arial" w:cs="Arial" w:eastAsia="Arial" w:hAnsi="Arial"/>
                <w:sz w:val="18"/>
                <w:szCs w:val="18"/>
                <w:color w:val="auto"/>
              </w:rPr>
              <w:t>IC</w:t>
            </w: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High-end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gridSpan w:val="3"/>
          </w:tcPr>
          <w:p>
            <w:pPr>
              <w:ind w:left="160"/>
              <w:spacing w:after="0"/>
              <w:rPr>
                <w:sz w:val="20"/>
                <w:szCs w:val="20"/>
                <w:color w:val="auto"/>
              </w:rPr>
            </w:pPr>
            <w:r>
              <w:rPr>
                <w:rFonts w:ascii="Arial" w:cs="Arial" w:eastAsia="Arial" w:hAnsi="Arial"/>
                <w:sz w:val="18"/>
                <w:szCs w:val="18"/>
                <w:color w:val="auto"/>
              </w:rPr>
              <w:t>Mainstream</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184.3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Total 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107.3</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305.2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80" w:type="dxa"/>
            <w:vAlign w:val="bottom"/>
            <w:gridSpan w:val="3"/>
          </w:tcPr>
          <w:p>
            <w:pPr>
              <w:spacing w:after="0" w:line="176" w:lineRule="exact"/>
              <w:rPr>
                <w:sz w:val="20"/>
                <w:szCs w:val="20"/>
                <w:color w:val="auto"/>
              </w:rPr>
            </w:pPr>
            <w:r>
              <w:rPr>
                <w:rFonts w:ascii="Arial" w:cs="Arial" w:eastAsia="Arial" w:hAnsi="Arial"/>
                <w:sz w:val="18"/>
                <w:szCs w:val="18"/>
                <w:color w:val="auto"/>
              </w:rPr>
              <w:t>FPD</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High-end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gridSpan w:val="3"/>
          </w:tcPr>
          <w:p>
            <w:pPr>
              <w:ind w:left="160"/>
              <w:spacing w:after="0"/>
              <w:rPr>
                <w:sz w:val="20"/>
                <w:szCs w:val="20"/>
                <w:color w:val="auto"/>
              </w:rPr>
            </w:pPr>
            <w:r>
              <w:rPr>
                <w:rFonts w:ascii="Arial" w:cs="Arial" w:eastAsia="Arial" w:hAnsi="Arial"/>
                <w:sz w:val="18"/>
                <w:szCs w:val="18"/>
                <w:color w:val="auto"/>
              </w:rPr>
              <w:t>Mainstream</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Total FPD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85.4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136.4</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390.6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first quarter of fiscal 2018, we changed the threshold for the definition of high-end IC, from 45 nanometer or smaller to 28 nanometer or smaller, to reflect the overall advancement of technology in the semiconductor industry. All comparisons to prior period results in this MD&amp;A reflect this modification. Our definition of high-end FPD products remains as G8 and above and active matrix organic light-emitting diode (AMOLED) display screens. High-end photomasks typically have higher ASPs (“average selling prices”) than mainstream products.</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quarterly revenues can be affected by the seasonal purchasing tendencies of our customers. As a result, demand for our products is typically negatively impacted during the first, and sometimes the second, quarters of our fiscal year by the North American, European, and Asian holiday periods, as some of our customers reduce their development and/or their buying activities during those periods.</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compare revenue in Q3 FY18 with revenue in Q2 FY18 and Q2 FY17, and revenue YTD FY18 with YTD FY17 by geographic area: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Q3 FY18 with Q2 FY18</w:t>
            </w:r>
          </w:p>
        </w:tc>
        <w:tc>
          <w:tcPr>
            <w:tcW w:w="2280" w:type="dxa"/>
            <w:vAlign w:val="bottom"/>
            <w:gridSpan w:val="5"/>
          </w:tcPr>
          <w:p>
            <w:pPr>
              <w:ind w:left="160"/>
              <w:spacing w:after="0"/>
              <w:rPr>
                <w:sz w:val="20"/>
                <w:szCs w:val="20"/>
                <w:color w:val="auto"/>
              </w:rPr>
            </w:pPr>
            <w:r>
              <w:rPr>
                <w:rFonts w:ascii="Arial" w:cs="Arial" w:eastAsia="Arial" w:hAnsi="Arial"/>
                <w:sz w:val="18"/>
                <w:szCs w:val="18"/>
                <w:b w:val="1"/>
                <w:bCs w:val="1"/>
                <w:color w:val="auto"/>
              </w:rPr>
              <w:t>Q3 FY18 with Q3 FY17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YTD FY18 with YTD FY17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Percent</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Increase</w:t>
            </w:r>
          </w:p>
        </w:tc>
        <w:tc>
          <w:tcPr>
            <w:tcW w:w="220" w:type="dxa"/>
            <w:vAlign w:val="bottom"/>
          </w:tcPr>
          <w:p>
            <w:pPr>
              <w:spacing w:after="0"/>
              <w:rPr>
                <w:sz w:val="17"/>
                <w:szCs w:val="17"/>
                <w:color w:val="auto"/>
              </w:rPr>
            </w:pPr>
          </w:p>
        </w:tc>
        <w:tc>
          <w:tcPr>
            <w:tcW w:w="1220" w:type="dxa"/>
            <w:vAlign w:val="bottom"/>
            <w:tcBorders>
              <w:top w:val="single" w:sz="8" w:color="auto"/>
            </w:tcBorders>
            <w:gridSpan w:val="2"/>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7"/>
              </w:rPr>
              <w:t>Increase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20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Percent</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Q3 FY18</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FY18</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174.7</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Korea</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106.3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Europe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136.4</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390.6</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Revenue increased 4.3% in Q3 FY18 compared with Q2 FY18, as a result of high-end IC and mainstream FPD growth. High-end IC revenue increased 11.2% from Q2 FY18, due to growth in both logic and memory from healthy foundry and captive demand across Asia. We believe this trend will continue into Q4, and demand will keep revenues at least at current levels. FPD revenue increased 2.2% from Q2 FY18 due to increased demand from masks used for displays on mobile applications, specifically LTPS and AMOLED displays. We classify LTPS as mainstream due to the mask size, even though the circuit geometries are similar to AMOLED. Our LTPS revenues are on the rise because of recent widespread adoption of LTPS by smart phone manufacturers. LTPS currently offers most of the performance at one third the price of AMOLED, and as a result has gained significant market share. We believe that as the price gap between LTPS LCD and AMOLED narrows, LTPS equipped phones will eventually transition to AMOLED. Meanwhile, AMOLED for mobile also increased as that market grew and we began to ship product from our new P-800 mask writer in Korea, fortifying our technology leadership in this sector. Despite improved AMOLED revenue, high-end was down sequentially as we pivot away from G8.5 panels used for large-format TVs.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Revenue increased 22.2% in Q3 FY18 compared with Q3 FY17, primarily as a result of high-end IC growth nearly doubling from the prior year’s quarter, as well as a significant increase in revenue from mainstream FPD products. Total IC revenue increased 25.9% from Q3 FY17, due to growth in both logic and memory, from the healthy foundry and captive demand across Asia. IC mainstream decreased 0.4%, as demand was slightly softer. FPD revenue increased 10.3% from Q3 FY17 due to better demand across our products and markets, particularly mobile displays.</w:t>
      </w:r>
    </w:p>
    <w:p>
      <w:pPr>
        <w:spacing w:after="0" w:line="17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Revenue increased 18.5% in YTD Q3 2018 compared with YTD Q3 2017, primarily as a result of high-end IC growth. High-end IC revenue increased 76.3% from YTD 2017, due to growth in both logic and memory from the healthy foundry and captive demand across Asia. IC mainstream decreased 0.7%, as demand was slightly softer. FPD revenue increased 13.1% due to better demand across our products and markets.</w:t>
      </w:r>
    </w:p>
    <w:p>
      <w:pPr>
        <w:spacing w:after="0" w:line="16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there is potential for the favorable demand trend we have experienced throughout 2018 to continue through the fourth quarter, as we expect growth to continue across most of our high-end IC and mainstream markets. Our two China facilities are expected to begin production in the first half of 2019, and we anticipate that our sales and revenue will increase when they come online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w w:val="94"/>
              </w:rPr>
              <w:t>Nine Months Ended</w:t>
            </w: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Percent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ind w:left="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Q3 FY18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Q2 FY18</w:t>
            </w:r>
          </w:p>
        </w:tc>
        <w:tc>
          <w:tcPr>
            <w:tcW w:w="2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Q3 FY17</w:t>
            </w:r>
          </w:p>
        </w:tc>
        <w:tc>
          <w:tcPr>
            <w:tcW w:w="28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FY18</w:t>
            </w:r>
          </w:p>
        </w:tc>
        <w:tc>
          <w:tcPr>
            <w:tcW w:w="28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FY17</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1240" w:type="dxa"/>
            <w:vAlign w:val="bottom"/>
            <w:gridSpan w:val="3"/>
          </w:tcPr>
          <w:p>
            <w:pPr>
              <w:spacing w:after="0"/>
              <w:rPr>
                <w:sz w:val="24"/>
                <w:szCs w:val="24"/>
                <w:color w:val="auto"/>
              </w:rPr>
            </w:pPr>
          </w:p>
        </w:tc>
        <w:tc>
          <w:tcPr>
            <w:tcW w:w="108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400" w:type="dxa"/>
            <w:vAlign w:val="bottom"/>
            <w:gridSpan w:val="2"/>
          </w:tcPr>
          <w:p>
            <w:pPr>
              <w:spacing w:after="0"/>
              <w:rPr>
                <w:sz w:val="24"/>
                <w:szCs w:val="24"/>
                <w:color w:val="auto"/>
              </w:rPr>
            </w:pPr>
          </w:p>
        </w:tc>
        <w:tc>
          <w:tcPr>
            <w:tcW w:w="8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35.6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32.8</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21.7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96.1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20"/>
                <w:szCs w:val="20"/>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25.1%</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19.5%</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increases in gross profit and gross margin in Q3 FY18 from Q2 FY18 were predominantly the result of increased revenue. A modest (2.9%) increase in cost of goods sold was primarily the result of increased material costs (including costs incurred from contracted manufacturers) associated with the increase in revenue.</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Unit sales increases of high-end and mainstream IC and FPD products in Q3 FY18 increased gross profit and gross margin from the prior year’s quarter, with increased volume of high-end IC products being the greatest contributor to the increase. Cost of goods sold increased 12.2%, primarily as a result of increased material costs (including costs incurred from contracted manufacturers) and increased compensation expenses that were the result of the increased sales volume.</w:t>
      </w:r>
    </w:p>
    <w:p>
      <w:pPr>
        <w:spacing w:after="0" w:line="21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Unit sales increases of high-end and mainstream IC products YTD FY18 increased gross profit and gross margin from YTD FY17. Cost of goods sold increased 11.2%, primarily as a result of increased material costs (including costs incurred from contracted manufacturers) and increased compensation expenses associated with the increased sales volume. As we operate in a high fixed cost environment, increases or decreases in our revenues and utilization generally positively or negatively impact our gross profit and gross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100" w:firstLine="243"/>
        <w:spacing w:after="0" w:line="293" w:lineRule="auto"/>
        <w:rPr>
          <w:sz w:val="20"/>
          <w:szCs w:val="20"/>
          <w:color w:val="auto"/>
        </w:rPr>
      </w:pPr>
      <w:r>
        <w:rPr>
          <w:rFonts w:ascii="Arial" w:cs="Arial" w:eastAsia="Arial" w:hAnsi="Arial"/>
          <w:sz w:val="16"/>
          <w:szCs w:val="16"/>
          <w:color w:val="auto"/>
        </w:rPr>
        <w:t>Selling, general and administrative expenses decreased by $1.1 million, or 8.3%, to $12.5 million in Q3 FY18, from $13.6 million in Q2 FY18, primarily due to performance-related compensation expenses incurred in Q2 FY18 and decreased selling expenses. Selling, general and administrative expenses increased in Q3 FY18 by $0.9 million, or 7.4%, from $11.6 million in Q3 FY17, primarily as a result of increased freight expenses and increased travel expenses which primarily resulted from activities related to our expansion into China. On a year-to-date basis, selling, general and administrative expenses increased $4.5 million, or 13.4%, to $37.9 million from $33.4 million. This increase was primarily the result of: increased performance-related compensation costs, freight expenses, professional services fees, and travel expenses, most of which increased as a result of activities related to our expansion into China.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U.S., research and development expenses consist of development efforts related to high-end process technologies for 28nm and smaller IC nodes.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Asia, in addition to the focus on high-end IC technology nodes, G8 and above FPD and AMOLED applications are also under development.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Research and development expense decreased $1.2 million, or 30.5%, from Q2 FY18, primarily as a result of decreased expenditures and related activities in both the U.S. and Asia. Research and development decreased $2.2 million, or 44.9% from Q3 FY17, primarily driven by decreased expenditures in the U.S., which was somewhat offset by increased expenditures in Korea, with the increase primarily relating to FPD products. On a year-to-date basis, research and development expense decreased $1.4 million, or 12.0%, as increased expenditures in Korea somewhat offset decreased spending in the U.S. and Taiwan.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Q3 FY18</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Q2 FY18</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Q3 FY17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YTD FY18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YTD FY17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Interest income and other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7"/>
              </w:rPr>
              <w:t>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2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(0.6)</w:t>
            </w:r>
          </w:p>
        </w:tc>
        <w:tc>
          <w:tcPr>
            <w:tcW w:w="1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center"/>
              <w:ind w:left="670"/>
              <w:spacing w:after="0"/>
              <w:rPr>
                <w:sz w:val="20"/>
                <w:szCs w:val="20"/>
                <w:color w:val="auto"/>
              </w:rPr>
            </w:pPr>
            <w:r>
              <w:rPr>
                <w:rFonts w:ascii="Arial" w:cs="Arial" w:eastAsia="Arial" w:hAnsi="Arial"/>
                <w:sz w:val="18"/>
                <w:szCs w:val="18"/>
                <w:color w:val="auto"/>
                <w:w w:val="87"/>
              </w:rPr>
              <w:t>1.4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Interest income and other income (expense), net decreased from Q2 FY18 by $1.9 million primarily due to less favorable foreign currency exchange gains in Q3 FY18, in addition to gains of $0.6 million recognized on the sale of certain assets in Q2 FY18. Foreign currency exchange gains in Q3 FY18 also contrasted with losses experienced in the prior year quarter, with a favorable net effect of $1.3 million on this element.</w:t>
      </w:r>
    </w:p>
    <w:p>
      <w:pPr>
        <w:spacing w:after="0" w:line="166"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On a year-to-date basis, interest income and other income (expense), net increased as a result of $4.4 million of more favorable foreign currency exchange effect, Q3 FY18 gains on the sale of certain assets, and incentives of $0.3 million we received related to construction of our new FPD facility in China.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0"/>
              </w:rPr>
              <w:t>Three Months Ended</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ind w:left="3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Q3 FY18</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Q2 FY18</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Q3 FY17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FY18</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YTD FY17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7"/>
              </w:rPr>
              <w:t>2.1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non-recognition of tax benefits on losses in jurisdictions with valuation allowances.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effective income tax rate in Q3 FY18, compared with Q2 FY18, decreased primarily due to the Q3 FY18 nonrecurring tax benefits ($0.9 million) related to a settlement with the tax authority in a non-U.S. jurisdiction and the expiration of the statute of limitations ($1.1 million) in the same jurisdiction, and an increased benefit ($1.1 million) from the tax holiday in Taiwan. The effective income tax rate increased in Q3 FY18, compared with Q3 FY17, primarily due to a lower percentage of income before taxes generated in jurisdictions where the Company incurs losses for tax purposes that, due to offsetting valuation allowances, did not result in the recognition of tax benefits. The increase was partially offset by the previously noted Q3 FY18 nonrecurring tax benefits related to the settlement with the tax authority, statute of limitations expiration, and increased tax holiday.</w:t>
      </w:r>
    </w:p>
    <w:p>
      <w:pPr>
        <w:spacing w:after="0" w:line="17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effective income tax rate decreased in YTD FY18, compared with YTD FY17, primarily due to nonrecurring tax benefits ($4.2 million) related to tax reform in the U.S. and Taiwan, increased nonrecurring tax benefits ($0.5 million) related to a settlement with the tax authority in a non-U.S. jurisdiction and the expiration of the statute of limitations ($0.3 million) in the same jurisdiction, and an increased benefit ($1.6 million) from the previously mentioned tax holiday in Taiwan, which were partially offset by a lower percentage of income before taxes generated in jurisdictions where the Company incurs losses for tax purposes that, due to valuation allowances, did not result in the recognition of tax benefits.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w:t>
      </w:r>
    </w:p>
    <w:p>
      <w:pPr>
        <w:spacing w:after="0" w:line="25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Net income attributable to noncontrolling interests was $6.8 million in Q3 FY18, an increase of $2.3 million and an increase of $6.0 million from Q2 FY18 and Q3 FY17, respectively. Year-to-date, noncontrolling interests’ share increased $11.9 million from YTD FY17. The changes from all comparative periods were due to changes in net income at our IC manufacturing facility in Taiwan, in which we hold a 50.01% ownership interest.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working capital at the end of Q3 FY18 was $346.1 million, compared with $367.3 million at the end of fiscal year 2017. The decrease is primarily attributable to the reclassification of our $57.5 million principal amount senior convertible notes as current status, which was somewhat offset by increased accounts receivable and inventory balances, reflecting the increased operations activity from the end of fiscal year 2017. Cash and cash equivalents increased in fiscal year 2018 by $24.7 million from $308.0 million at October 29, 2017. Net cash provided by operating activities was $87.0 million in YTD FY18, compared with $73.8 million in YTD FY17. Increased net income exceeded decreases resulting from changes in operating accounts. Increased accounts receivable balance resulting from increased revenue in fiscal year 2018 was the most significant contributor to the change. Noncash expenses did not change significantly from the prior year. Net cash used in investing activities was $63.9 million in YTD FY18, an increase of $19.5 million from the $44.5 million used in YTD FY17. The increase was primarily attributable to increased capital expenditures of $25.6 million principally related to our expansion into China; the increase attributable to higher capital expenditures was partially offset by cash of $5.4 million used to acquire a business in YTD FY17 that was not repeated in YTD FY18. Net cash flows from financing activities increased from funds used of $9.9 million in YTD FY17 to $2.7 million provided in YTD FY18, primarily due to the receipt of $18.0 million from a noncontrolling interest for their investment in our recently established joint venture in China and increased proceeds received from share-based arrangements, partially offset by the payment of a dividend to the noncontrolling interest of our IC facility in Taiwan of $8.2 million and $6.8 million used to acquire our common stock under a share repurchase program.</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July 29, 2018 and October 29, 2017, total cash and cash equivalents included $204 million and $190.0 million, respectively, held by our foreign subsidiaries.</w:t>
      </w:r>
    </w:p>
    <w:p>
      <w:pPr>
        <w:spacing w:after="0" w:line="19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credit facility, which expires in December 2018, has a $50 million limit with an expansion capacity to $75 million, and is secured by substantially all of our assets located in the United States and common stock we own in certain of our foreign subsidiaries. The credit facility stipulates that we may not pay cash dividends on Photronics, Inc. stock, and contains the following financial covenants: minimum interest coverage ratio, total leverage ratio and minimum unrestricted cash balance, all of which we were in compliance with at July 29, 2018. We had no outstanding borrowings against the credit facility at July 29, 2018, and $50 million was available for borrowing. The interest rate on the credit facility (3.59% at July 29, 2018) is based on our total leverage ratio at LIBOR plus a spread, as defined in the credit facility. In April 2018, our credit facility was amended to change the definition of “Specified Capital Expenditures”, which is used to calculate the interest coverage ratio, and in August 2018 the credit facility was amended to allow the Company to sell, transfer, lease or otherwise dispose of its assets to a Subsidiary Guarantor.</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of July 29, 2018, we had capital commitments outstanding of approximately $181 million, nearly all of which related to building and equipping of our China facilities (discussed below). We intend to finance our capital expenditures with our working capital, cash generated from operations, and, if necessary, additional borrowings. We have entered into a joint venture that is constructing an IC facility in China with an estimated total investment of $160 million. Our remaining funding commitment for the joint venture is approximately $62 million which we will fulfill over the next several quarters. We have also commenced construction of an FPD facility in China, in which, to date, we have invested $26 million, and will invest an additional $134 million over the next several years.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capital requirements exceed our existing cash, cash generated by operations, and cash available under our credit facility.</w:t>
      </w:r>
    </w:p>
    <w:p>
      <w:pPr>
        <w:spacing w:after="0" w:line="182"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Our liquidity, as we operate in a high fixed 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facility.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January 2018, Photronics, through its wholly-owned Singapore subsidiary, and DNP, through its wholly-owned subsidiary, “DNP Asia Pacific PTE, Ltd.” entered into a joint venture under which DNP obtained a 49.99% interest in our IC business in Xiamen, China. The joint venture, known as “Photronics DNP Mask Corporation Xiamen” (“PDMCX”), was established to develop and manufacture photomasks for leading edge and advanced generation semiconductors. Under the Joint Venture Operating Agreement of Photronics DNP Mask Corporation Xiamen (“the Agreement”), DNP is afforded, under certain circumstances, the right to put its interest in PDMCX to Photronics. These circumstances include disputes regarding the strategic direction of PDMCX that arise after the initial two year term of the Agreement that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the net assets of PDMCX, incur a loss. As of July 29, 2018, Photronics and DNP each had net investments in PDMCX of $16.1 million.</w:t>
      </w:r>
    </w:p>
    <w:p>
      <w:pPr>
        <w:spacing w:after="0" w:line="18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 majority of our revenue growth is expected to continue to come from the Asian region, predominantly in China. In response to this expectation, we have entered into a joint venture that will complete the construction of an IC research and development and manufacturing facility in Xiamen, China, in late 2018. Production is anticipated to begin at this facility during the first half of 2019. In addition, in August 2017, we entered into an investment agreement to construct an FPD manufacturing facility in Hefei, China. Construction of this facility commenced in Q1 FY18, and production there is anticipated to begin during the first half of 2019.</w:t>
      </w:r>
    </w:p>
    <w:p>
      <w:pPr>
        <w:spacing w:after="0" w:line="21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continue to assess our global manufacturing strategy and monitor our revenue and related cash flows from operations. This ongoing assessment could result in future facility closures, asset redeployments, impairments of intangible or long-lived assets, workforce reductions, or the addition of increased manufacturing facilities, all of which would be based on market conditions and customer requirements.</w:t>
      </w:r>
    </w:p>
    <w:p>
      <w:pPr>
        <w:spacing w:after="0" w:line="20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future results of operations and the other forward-looking statements contained in this filing involve a number of risks and uncertainties. While various risks and uncertainties were discussed in Part 1, Item 1A in our Annual Report on Form 10-K for the year ended October 29, 2017, a number of other unforeseen factors could cause actual results to differ materially from our expectations.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See “Item 1. Condensed Consolidated Financial Statements – Notes to Condensed Consolidated Financial Statements – Note 13 – Recent Accounting Pronouncements” for recent accounting pronouncements that may affect the Company’s financial reporting.</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have transactions and balances in Japanese yen.</w:t>
      </w:r>
    </w:p>
    <w:p>
      <w:pPr>
        <w:spacing w:after="0" w:line="21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and collect for products in a currency other than the functional currency of the country where the products are produced, or purchase products in a currency that differs from the functional currency of the purchasing entity. For example, we are currently shipping a significant quantity of photomasks into China, while our China facilities are under construction.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As of July 29, 2018, a 10% adverse movement in the value of currencies different than the functional currencies of our subsidiaries would have resulted in a net unrealized pre-tax loss of $6.0 million, which represents a decrease of $1.1 million from April 29, 2018. The decrease is primarily the result of decreased exposures of the U.S. dollar to the New Taiwan dollar, which was somewhat offset by increased exposures of the U.S. dollar to the South Korean won. As of July 29, 2018, the same adverse movement would represent a decrease of $6.9 million from October 29, 2017, which is primarily the result of decreased U.S. dollar and Japanese yen denominated exposures in Taiwan, and decreased exposure to U.S. dollar denominated exposures in China.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At July 29, 2018, we did not have any variable rate borrowings. A 10% change in interest rates would not have had a material effect on our consolidated financial position, results of operations, or cash flows in the three month or nine month periods ended July 29, 2018.</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year 2018 that has materially affected, or is reasonably likely to materially affect, our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General Data Protection Regulation (GDPR), which went into effect in the European Union (EU) on May 25, 2018, applies to the collection, use, retention, security, processing, and transfer of personally identifiable information of residents of EU countries. The GDPR created a range of new compliance obligations, and imposes significant fines and sanctions for violations. It is possible that the GDPR may be interpreted or applied in a manner that is adverse to us, unforeseen by us, or otherwise inconsistent with our practices; or that we may otherwise fail to construe its requirements in ways that are satisfactory to the EU authorities.</w:t>
      </w:r>
    </w:p>
    <w:p>
      <w:pPr>
        <w:spacing w:after="0" w:line="215"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Any failure or perceived failure by us to comply with the GDPR, or with any applicable regulatory requirements or orders, including but not limited to privacy, data protection, information security, or consumer protection-related privacy laws and regulations, in one or more jurisdictions within the EU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20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have been no other material changes to risks relating to our business as disclosed in Part 1, Item 1A of our Form 10-K for the year ended October 29, 2017.</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July 2018, the Company’s Board of Directors authorized the repurchase of up to $20 million of its common stock, to be effectuated in open-market transactions or in accordance with a repurchase plan under rule 10b5-1 of the Securities Act of 1933 (as amended). The share repurchase program commenced on July 10, 2018, and will expire no later than July 7, 2019. As of July 29, 2018, we had repurchased 0.8 million shares at a cost of $6.8 million (or $8.72 per share), $0.9 million of which was pending settlement at that date. The table below presents activity under this share repurchase program.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2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Paid</w:t>
            </w:r>
          </w:p>
        </w:tc>
        <w:tc>
          <w:tcPr>
            <w:tcW w:w="100" w:type="dxa"/>
            <w:vAlign w:val="bottom"/>
          </w:tcPr>
          <w:p>
            <w:pPr>
              <w:spacing w:after="0"/>
              <w:rPr>
                <w:sz w:val="18"/>
                <w:szCs w:val="18"/>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Purchased as Part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Shares That May</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Publicly Announced</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Yet Be Purchased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6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9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10, 2018 – July 29, 2018</w:t>
            </w:r>
          </w:p>
        </w:tc>
        <w:tc>
          <w:tcPr>
            <w:tcW w:w="2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2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754"/>
              <w:spacing w:after="0"/>
              <w:rPr>
                <w:sz w:val="20"/>
                <w:szCs w:val="20"/>
                <w:color w:val="auto"/>
              </w:rPr>
            </w:pPr>
            <w:r>
              <w:rPr>
                <w:rFonts w:ascii="Arial" w:cs="Arial" w:eastAsia="Arial" w:hAnsi="Arial"/>
                <w:sz w:val="14"/>
                <w:szCs w:val="14"/>
                <w:color w:val="auto"/>
                <w:w w:val="76"/>
              </w:rPr>
              <w:t>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6"/>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2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8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4"/>
          </w:tcPr>
          <w:p>
            <w:pPr>
              <w:ind w:left="500"/>
              <w:spacing w:after="0"/>
              <w:rPr>
                <w:sz w:val="20"/>
                <w:szCs w:val="20"/>
                <w:color w:val="auto"/>
              </w:rPr>
            </w:pPr>
            <w:r>
              <w:rPr>
                <w:rFonts w:ascii="Arial" w:cs="Arial" w:eastAsia="Arial" w:hAnsi="Arial"/>
                <w:sz w:val="18"/>
                <w:szCs w:val="18"/>
                <w:color w:val="auto"/>
              </w:rPr>
              <w:t>(a)   Exhibits</w:t>
            </w:r>
          </w:p>
        </w:tc>
        <w:tc>
          <w:tcPr>
            <w:tcW w:w="8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8900" w:type="dxa"/>
            <w:vAlign w:val="bottom"/>
          </w:tcPr>
          <w:p>
            <w:pPr>
              <w:ind w:left="4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gridSpan w:val="5"/>
            <w:shd w:val="clear" w:color="auto" w:fill="CCEEFF"/>
          </w:tcPr>
          <w:p>
            <w:pPr>
              <w:ind w:left="136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10.</w:t>
              </w:r>
              <w:r>
                <w:rPr>
                  <w:rFonts w:ascii="Arial" w:cs="Arial" w:eastAsia="Arial" w:hAnsi="Arial"/>
                  <w:sz w:val="18"/>
                  <w:szCs w:val="18"/>
                  <w:u w:val="single" w:color="auto"/>
                  <w:color w:val="0000EE"/>
                </w:rPr>
                <w:t>37</w:t>
              </w:r>
            </w:hyperlink>
          </w:p>
        </w:tc>
        <w:tc>
          <w:tcPr>
            <w:tcW w:w="89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3"/>
              </w:rPr>
              <w:t>Amendment No.4 dated as of August 17, 2018 to the Third Amended and Restated Credit Agreement dated as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8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December 5,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4"/>
            <w:shd w:val="clear" w:color="auto" w:fill="CCEEFF"/>
          </w:tcPr>
          <w:p>
            <w:pPr>
              <w:ind w:left="13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20" w:type="dxa"/>
            <w:vAlign w:val="bottom"/>
            <w:shd w:val="clear" w:color="auto" w:fill="CCEEFF"/>
          </w:tcPr>
          <w:p>
            <w:pPr>
              <w:spacing w:after="0"/>
              <w:rPr>
                <w:sz w:val="15"/>
                <w:szCs w:val="15"/>
                <w:color w:val="auto"/>
              </w:rPr>
            </w:pPr>
          </w:p>
        </w:tc>
        <w:tc>
          <w:tcPr>
            <w:tcW w:w="89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6"/>
              </w:rPr>
              <w:t>Certification of Chief Executive Officer pursuant to Rule 13a-14(a)/15d-14(a) of the Securities Exchange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8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1934, as 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4"/>
            <w:shd w:val="clear" w:color="auto" w:fill="CCEEFF"/>
          </w:tcPr>
          <w:p>
            <w:pPr>
              <w:ind w:left="13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20" w:type="dxa"/>
            <w:vAlign w:val="bottom"/>
            <w:shd w:val="clear" w:color="auto" w:fill="CCEEFF"/>
          </w:tcPr>
          <w:p>
            <w:pPr>
              <w:spacing w:after="0"/>
              <w:rPr>
                <w:sz w:val="15"/>
                <w:szCs w:val="15"/>
                <w:color w:val="auto"/>
              </w:rPr>
            </w:pPr>
          </w:p>
        </w:tc>
        <w:tc>
          <w:tcPr>
            <w:tcW w:w="89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6"/>
              </w:rPr>
              <w:t>Certification of Chief Financial Officer pursuant to Rule 13a-14(a)/15d-14(a) of the Securities Exchange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8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1934, as 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4"/>
            <w:shd w:val="clear" w:color="auto" w:fill="CCEEFF"/>
          </w:tcPr>
          <w:p>
            <w:pPr>
              <w:ind w:left="13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720" w:type="dxa"/>
            <w:vAlign w:val="bottom"/>
            <w:shd w:val="clear" w:color="auto" w:fill="CCEEFF"/>
          </w:tcPr>
          <w:p>
            <w:pPr>
              <w:spacing w:after="0"/>
              <w:rPr>
                <w:sz w:val="15"/>
                <w:szCs w:val="15"/>
                <w:color w:val="auto"/>
              </w:rPr>
            </w:pPr>
          </w:p>
        </w:tc>
        <w:tc>
          <w:tcPr>
            <w:tcW w:w="89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8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4"/>
            <w:shd w:val="clear" w:color="auto" w:fill="CCEEFF"/>
          </w:tcPr>
          <w:p>
            <w:pPr>
              <w:ind w:left="136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720" w:type="dxa"/>
            <w:vAlign w:val="bottom"/>
            <w:shd w:val="clear" w:color="auto" w:fill="CCEEFF"/>
          </w:tcPr>
          <w:p>
            <w:pPr>
              <w:spacing w:after="0"/>
              <w:rPr>
                <w:sz w:val="15"/>
                <w:szCs w:val="15"/>
                <w:color w:val="auto"/>
              </w:rPr>
            </w:pPr>
          </w:p>
        </w:tc>
        <w:tc>
          <w:tcPr>
            <w:tcW w:w="89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8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8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8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8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8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8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8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00" w:type="dxa"/>
            <w:vAlign w:val="bottom"/>
          </w:tcPr>
          <w:p>
            <w:pPr>
              <w:ind w:left="2620"/>
              <w:spacing w:after="0"/>
              <w:rPr>
                <w:sz w:val="20"/>
                <w:szCs w:val="20"/>
                <w:color w:val="auto"/>
              </w:rPr>
            </w:pPr>
            <w:r>
              <w:rPr>
                <w:rFonts w:ascii="Arial" w:cs="Arial" w:eastAsia="Arial" w:hAnsi="Arial"/>
                <w:sz w:val="18"/>
                <w:szCs w:val="18"/>
                <w:b w:val="1"/>
                <w:bCs w:val="1"/>
                <w:color w:val="auto"/>
              </w:rPr>
              <w:t>SIGNATURES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097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10.37</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17,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5, 2013</w:t>
      </w:r>
    </w:p>
    <w:p>
      <w:pPr>
        <w:spacing w:after="0" w:line="25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THIS AMENDMENT NO. 4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August 17, 2018 by and among Photronics,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financial institutions listed on the signature pages hereof and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that certain Third Amended and Restated Credit Agreement dated as of December 5, 2013 by and among the Company, the Foreign Subsidiary Borrowers party thereto from time to time, the Lenders party thereto from time to time, the Collateral Agent and the Administrative Agent (as may be further amended,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 has requested that the Lenders and the Administrative Agent agree to certain amendments to the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Lenders party hereto and the Administrative Agent have agreed to such amendments on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Company, the Lenders party hereto and the Administrative Agent have agreed to enter into this Amendment.</w:t>
      </w:r>
    </w:p>
    <w:p>
      <w:pPr>
        <w:spacing w:after="0" w:line="208" w:lineRule="exact"/>
        <w:rPr>
          <w:sz w:val="20"/>
          <w:szCs w:val="20"/>
          <w:color w:val="auto"/>
        </w:rPr>
      </w:pPr>
    </w:p>
    <w:p>
      <w:pPr>
        <w:ind w:firstLine="1305"/>
        <w:spacing w:after="0" w:line="277" w:lineRule="auto"/>
        <w:tabs>
          <w:tab w:leader="none" w:pos="187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Effective as of the date of satisfaction of the conditions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Credit Agreement is hereby amended as follows:</w:t>
      </w:r>
    </w:p>
    <w:p>
      <w:pPr>
        <w:spacing w:after="0" w:line="197" w:lineRule="exact"/>
        <w:rPr>
          <w:sz w:val="20"/>
          <w:szCs w:val="20"/>
          <w:color w:val="auto"/>
        </w:rPr>
      </w:pPr>
    </w:p>
    <w:p>
      <w:pPr>
        <w:ind w:left="1820" w:hanging="515"/>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Section 6.03(a)(iii)</w:t>
      </w:r>
      <w:r>
        <w:rPr>
          <w:rFonts w:ascii="Arial" w:cs="Arial" w:eastAsia="Arial" w:hAnsi="Arial"/>
          <w:sz w:val="18"/>
          <w:szCs w:val="18"/>
          <w:color w:val="auto"/>
        </w:rPr>
        <w:t xml:space="preserve"> of the Credit Agreement is amended and restated in its entirety as follows:</w:t>
      </w:r>
    </w:p>
    <w:p>
      <w:pPr>
        <w:spacing w:after="0" w:line="252" w:lineRule="exact"/>
        <w:rPr>
          <w:sz w:val="20"/>
          <w:szCs w:val="20"/>
          <w:color w:val="auto"/>
        </w:rPr>
      </w:pPr>
    </w:p>
    <w:p>
      <w:pPr>
        <w:ind w:left="660" w:right="20" w:firstLine="648"/>
        <w:spacing w:after="0" w:line="342" w:lineRule="auto"/>
        <w:rPr>
          <w:sz w:val="20"/>
          <w:szCs w:val="20"/>
          <w:color w:val="auto"/>
        </w:rPr>
      </w:pPr>
      <w:r>
        <w:rPr>
          <w:rFonts w:ascii="Arial" w:cs="Arial" w:eastAsia="Arial" w:hAnsi="Arial"/>
          <w:sz w:val="16"/>
          <w:szCs w:val="16"/>
          <w:color w:val="auto"/>
        </w:rPr>
        <w:t>“ (iii) (A) any Loan Party (other than the Company) or any Subsidiary may sell, transfer, lease or otherwise dispose of its assets to, or otherwise dissolve into, a Loan Party and (B) the Company may sell, transfer, lease or otherwise dispose of its assets to, a Subsidiary Guarantor,”;</w:t>
      </w:r>
    </w:p>
    <w:p>
      <w:pPr>
        <w:spacing w:after="0" w:line="151" w:lineRule="exact"/>
        <w:rPr>
          <w:sz w:val="20"/>
          <w:szCs w:val="20"/>
          <w:color w:val="auto"/>
        </w:rPr>
      </w:pPr>
    </w:p>
    <w:p>
      <w:pPr>
        <w:jc w:val="both"/>
        <w:ind w:firstLine="1305"/>
        <w:spacing w:after="0" w:line="302" w:lineRule="auto"/>
        <w:tabs>
          <w:tab w:leader="none" w:pos="1864"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 The effectiveness of this Amendment is subject to the conditions precedent that (a) the Administrative Agent shall have received counterparts of (i) this Amendment duly executed by the Company, the Required Lenders and the Administrative Agent and (ii) the Consent and Reaffirmation attached hereto duly executed by the Subsidiary Guarantors and (b) the Company shall have paid, to the extent invoiced, reasonable attorneys’ fees and expenses of the Administrative Agent in connection with this Amendment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ind w:left="1900" w:hanging="595"/>
        <w:spacing w:after="0"/>
        <w:tabs>
          <w:tab w:leader="none" w:pos="1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 and Acknowledgements and Confirmations</w:t>
      </w:r>
      <w:r>
        <w:rPr>
          <w:rFonts w:ascii="Arial" w:cs="Arial" w:eastAsia="Arial" w:hAnsi="Arial"/>
          <w:sz w:val="16"/>
          <w:szCs w:val="16"/>
          <w:color w:val="auto"/>
        </w:rPr>
        <w:t>. The Company hereby represents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warrants as follows:</w:t>
      </w:r>
    </w:p>
    <w:p>
      <w:pPr>
        <w:spacing w:after="0" w:line="238" w:lineRule="exact"/>
        <w:rPr>
          <w:sz w:val="20"/>
          <w:szCs w:val="20"/>
          <w:color w:val="auto"/>
        </w:rPr>
      </w:pPr>
    </w:p>
    <w:p>
      <w:pPr>
        <w:jc w:val="both"/>
        <w:ind w:firstLine="1305"/>
        <w:spacing w:after="0" w:line="312" w:lineRule="auto"/>
        <w:tabs>
          <w:tab w:leader="none" w:pos="182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3" w:lineRule="exact"/>
        <w:rPr>
          <w:rFonts w:ascii="Arial" w:cs="Arial" w:eastAsia="Arial" w:hAnsi="Arial"/>
          <w:sz w:val="16"/>
          <w:szCs w:val="16"/>
          <w:color w:val="auto"/>
        </w:rPr>
      </w:pPr>
    </w:p>
    <w:p>
      <w:pPr>
        <w:ind w:firstLine="1305"/>
        <w:spacing w:after="0" w:line="342" w:lineRule="auto"/>
        <w:tabs>
          <w:tab w:leader="none" w:pos="1835"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the date hereof and giving effect to the terms of this Amendment, (i) no Default shall have occurred and be continuing and (ii) the representations and warranties of the Company set forth in the Credit Agreement, as amended hereby, are true and correct as of the date hereof.</w:t>
      </w:r>
    </w:p>
    <w:p>
      <w:pPr>
        <w:spacing w:after="0" w:line="151" w:lineRule="exact"/>
        <w:rPr>
          <w:sz w:val="20"/>
          <w:szCs w:val="20"/>
          <w:color w:val="auto"/>
        </w:rPr>
      </w:pPr>
    </w:p>
    <w:p>
      <w:pPr>
        <w:ind w:left="1840" w:hanging="535"/>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252" w:lineRule="exact"/>
        <w:rPr>
          <w:sz w:val="20"/>
          <w:szCs w:val="20"/>
          <w:color w:val="auto"/>
        </w:rPr>
      </w:pPr>
    </w:p>
    <w:p>
      <w:pPr>
        <w:ind w:right="20" w:firstLine="1305"/>
        <w:spacing w:after="0" w:line="277" w:lineRule="auto"/>
        <w:tabs>
          <w:tab w:leader="none" w:pos="18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Credit Agreement as amended hereby.</w:t>
      </w:r>
    </w:p>
    <w:p>
      <w:pPr>
        <w:spacing w:after="0" w:line="197" w:lineRule="exact"/>
        <w:rPr>
          <w:rFonts w:ascii="Arial" w:cs="Arial" w:eastAsia="Arial" w:hAnsi="Arial"/>
          <w:sz w:val="18"/>
          <w:szCs w:val="18"/>
          <w:color w:val="auto"/>
        </w:rPr>
      </w:pPr>
    </w:p>
    <w:p>
      <w:pPr>
        <w:ind w:firstLine="1305"/>
        <w:spacing w:after="0" w:line="277" w:lineRule="auto"/>
        <w:tabs>
          <w:tab w:leader="none" w:pos="18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19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208" w:lineRule="exact"/>
        <w:rPr>
          <w:rFonts w:ascii="Arial" w:cs="Arial" w:eastAsia="Arial" w:hAnsi="Arial"/>
          <w:sz w:val="18"/>
          <w:szCs w:val="18"/>
          <w:color w:val="auto"/>
        </w:rPr>
      </w:pPr>
    </w:p>
    <w:p>
      <w:pPr>
        <w:ind w:left="1820" w:hanging="515"/>
        <w:spacing w:after="0"/>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Amendment shall constitute a Loan Document.</w:t>
      </w:r>
    </w:p>
    <w:p>
      <w:pPr>
        <w:spacing w:after="0" w:line="252" w:lineRule="exact"/>
        <w:rPr>
          <w:sz w:val="20"/>
          <w:szCs w:val="20"/>
          <w:color w:val="auto"/>
        </w:rPr>
      </w:pPr>
    </w:p>
    <w:p>
      <w:pPr>
        <w:ind w:left="1840" w:hanging="535"/>
        <w:spacing w:after="0"/>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construed in accordance with and governed by the law of the State of New York.</w:t>
      </w:r>
    </w:p>
    <w:p>
      <w:pPr>
        <w:spacing w:after="0" w:line="263" w:lineRule="exact"/>
        <w:rPr>
          <w:rFonts w:ascii="Arial" w:cs="Arial" w:eastAsia="Arial" w:hAnsi="Arial"/>
          <w:sz w:val="17"/>
          <w:szCs w:val="17"/>
          <w:color w:val="auto"/>
        </w:rPr>
      </w:pPr>
    </w:p>
    <w:p>
      <w:pPr>
        <w:ind w:right="20" w:firstLine="1305"/>
        <w:spacing w:after="0" w:line="277" w:lineRule="auto"/>
        <w:tabs>
          <w:tab w:leader="none" w:pos="185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187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left="100"/>
        <w:spacing w:after="0"/>
        <w:rPr>
          <w:sz w:val="20"/>
          <w:szCs w:val="20"/>
          <w:color w:val="auto"/>
        </w:rPr>
      </w:pPr>
      <w:r>
        <w:rPr>
          <w:rFonts w:ascii="Arial" w:cs="Arial" w:eastAsia="Arial" w:hAnsi="Arial"/>
          <w:sz w:val="16"/>
          <w:szCs w:val="16"/>
          <w:color w:val="auto"/>
        </w:rPr>
        <w:t>IN WITNESS WHEREOF, this Amendment has been duly executed as of the day and year first above written.</w:t>
      </w:r>
    </w:p>
    <w:p>
      <w:pPr>
        <w:sectPr>
          <w:pgSz w:w="11900" w:h="16838" w:orient="portrait"/>
          <w:cols w:equalWidth="0" w:num="1">
            <w:col w:w="9019"/>
          </w:cols>
          <w:pgMar w:left="1440" w:top="125" w:right="1440" w:bottom="1440" w:gutter="0" w:footer="0" w:header="0"/>
        </w:sectPr>
      </w:pPr>
    </w:p>
    <w:p>
      <w:pPr>
        <w:spacing w:after="0" w:line="2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23495</wp:posOffset>
            </wp:positionV>
            <wp:extent cx="21869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4</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269240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3" w:name="page34"/>
    <w:bookmarkEnd w:id="33"/>
    <w:p>
      <w:pPr>
        <w:ind w:left="3860"/>
        <w:spacing w:after="0"/>
        <w:rPr>
          <w:sz w:val="20"/>
          <w:szCs w:val="20"/>
          <w:color w:val="auto"/>
        </w:rPr>
      </w:pPr>
      <w:r>
        <w:rPr>
          <w:rFonts w:ascii="Arial" w:cs="Arial" w:eastAsia="Arial" w:hAnsi="Arial"/>
          <w:sz w:val="17"/>
          <w:szCs w:val="17"/>
          <w:color w:val="auto"/>
        </w:rPr>
        <w:t>JPMORGAN CHASE BANK, N.A., individually as a Lender</w:t>
      </w:r>
    </w:p>
    <w:p>
      <w:pPr>
        <w:spacing w:after="0" w:line="3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and as Administrative Agent</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23495</wp:posOffset>
            </wp:positionV>
            <wp:extent cx="21869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4</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269240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3860"/>
        <w:spacing w:after="0"/>
        <w:rPr>
          <w:sz w:val="20"/>
          <w:szCs w:val="20"/>
          <w:color w:val="auto"/>
        </w:rPr>
      </w:pPr>
      <w:r>
        <w:rPr>
          <w:rFonts w:ascii="Arial" w:cs="Arial" w:eastAsia="Arial" w:hAnsi="Arial"/>
          <w:sz w:val="17"/>
          <w:szCs w:val="17"/>
          <w:color w:val="auto"/>
        </w:rPr>
        <w:t>RBS CITIZENS, NATIONAL ASSOCIATION,</w:t>
      </w:r>
    </w:p>
    <w:p>
      <w:pPr>
        <w:spacing w:after="0" w:line="3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23495</wp:posOffset>
            </wp:positionV>
            <wp:extent cx="21869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4</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269240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3860"/>
        <w:spacing w:after="0"/>
        <w:rPr>
          <w:sz w:val="20"/>
          <w:szCs w:val="20"/>
          <w:color w:val="auto"/>
        </w:rPr>
      </w:pPr>
      <w:r>
        <w:rPr>
          <w:rFonts w:ascii="Arial" w:cs="Arial" w:eastAsia="Arial" w:hAnsi="Arial"/>
          <w:sz w:val="18"/>
          <w:szCs w:val="18"/>
          <w:color w:val="auto"/>
        </w:rPr>
        <w:t>TD BANK, N.A.,</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23495</wp:posOffset>
            </wp:positionV>
            <wp:extent cx="21869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4</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269240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CONSENT AND REAFFIRMATION</w:t>
      </w:r>
    </w:p>
    <w:p>
      <w:pPr>
        <w:spacing w:after="0" w:line="252" w:lineRule="exact"/>
        <w:rPr>
          <w:sz w:val="20"/>
          <w:szCs w:val="20"/>
          <w:color w:val="auto"/>
        </w:rPr>
      </w:pPr>
    </w:p>
    <w:p>
      <w:pPr>
        <w:jc w:val="both"/>
        <w:ind w:firstLine="1297"/>
        <w:spacing w:after="0" w:line="217" w:lineRule="exact"/>
        <w:rPr>
          <w:sz w:val="20"/>
          <w:szCs w:val="20"/>
          <w:color w:val="auto"/>
        </w:rPr>
      </w:pPr>
      <w:r>
        <w:rPr>
          <w:rFonts w:ascii="Arial" w:cs="Arial" w:eastAsia="Arial" w:hAnsi="Arial"/>
          <w:sz w:val="17"/>
          <w:szCs w:val="17"/>
          <w:color w:val="auto"/>
        </w:rPr>
        <w:t>Each of the undersigned hereby acknowledges receipt of a copy of the foregoing Amendment No. 4 to the Third Amended and Restated Credit Agreement dated as of December 5, 2013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Photronics,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Foreign Subsidiary Borrowers from time to time party thereto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the financial 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Collateral Agent, which Amendment No. 4 is dated as of August 17, 2018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7"/>
          <w:szCs w:val="17"/>
          <w:color w:val="auto"/>
        </w:rPr>
        <w:t>‑</w:t>
      </w:r>
      <w:r>
        <w:rPr>
          <w:rFonts w:ascii="Arial" w:cs="Arial" w:eastAsia="Arial" w:hAnsi="Arial"/>
          <w:sz w:val="17"/>
          <w:szCs w:val="17"/>
          <w:color w:val="auto"/>
        </w:rPr>
        <w:t>referenced documents shall be a reference to the Credit Agreement as so modified by the Amendment and as the same may from time to time hereafter be amended, modified or restated.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17,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PHOTRONICS IDAHO,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5387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TRIANJA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5387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PHOTRONICS TEXAS ALLEN,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5387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PHOTRONICS CALIFORNIA,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5387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Consent and Reaffirmation to Signature Page to Amendment No. 4</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right="240" w:hanging="486"/>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hanging="486"/>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700" w:hanging="486"/>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80" w:hanging="486"/>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60" w:hanging="486"/>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140" w:hanging="486"/>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5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right="240" w:hanging="486"/>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hanging="486"/>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700" w:hanging="486"/>
        <w:spacing w:after="0" w:line="342"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80" w:hanging="486"/>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60" w:hanging="486"/>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140" w:hanging="486"/>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1780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500" w:right="54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29, 2018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1780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83"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John P. Jordan,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500" w:right="54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29, 2018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1780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28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ldblquote"/>
      <w:numFmt w:val="bullet"/>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4"/>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2019-12-28T19:38:49Z</dcterms:created>
  <dcterms:modified xsi:type="dcterms:W3CDTF">2019-12-28T19:38:49Z</dcterms:modified>
</cp:coreProperties>
</file>