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Calibri" w:hAnsi="Calibri"/>
          <w:sz w:val="22"/>
        </w:rPr>
      </w:pPr>
      <w:bookmarkStart w:id="0" w:name="plab-20260826.htm"/>
      <w:bookmarkStart w:id="1" w:name="ksplab20260826"/>
      <w:bookmarkEnd w:id="0"/>
      <w:bookmarkEnd w:id="1"/>
      <w:r>
        <w:rPr>
          <w:rFonts w:ascii="Times New Roman" w:hAnsi="Times New Roman"/>
          <w:b/>
          <w:color w:val="000000"/>
          <w:sz w:val="28"/>
        </w:rPr>
        <w:t>UNITED STATES</w:t>
      </w:r>
      <w:r>
        <w:rPr>
          <w:rFonts w:ascii="Times New Roman" w:hAnsi="Times New Roman"/>
          <w:color w:val="000000"/>
          <w:sz w:val="28"/>
        </w:rPr>
        <w:br/>
      </w:r>
      <w:r>
        <w:rPr>
          <w:rFonts w:ascii="Times New Roman" w:hAnsi="Times New Roman"/>
          <w:b/>
          <w:color w:val="000000"/>
          <w:sz w:val="28"/>
        </w:rPr>
        <w:t>SECURITIES AND EXCHANGE COMMISSION</w:t>
      </w:r>
      <w:r>
        <w:rPr>
          <w:rFonts w:ascii="Times New Roman" w:hAnsi="Times New Roman"/>
          <w:color w:val="000000"/>
          <w:sz w:val="28"/>
        </w:rPr>
        <w:br/>
      </w:r>
      <w:r>
        <w:rPr>
          <w:rFonts w:ascii="Times New Roman" w:hAnsi="Times New Roman"/>
          <w:b/>
          <w:color w:val="000000"/>
          <w:sz w:val="24"/>
        </w:rPr>
        <w:t>Washington, DC 20549</w:t>
      </w:r>
      <w:r>
        <w:rPr>
          <w:rFonts w:ascii="Calibri" w:hAnsi="Calibri"/>
          <w:sz w:val="22"/>
        </w:rPr>
        <w:t xml:space="preserve"> </w:t>
      </w:r>
    </w:p>
    <w:p>
      <w:pPr>
        <w:pStyle w:val="TextBody"/>
        <w:bidi w:val="0"/>
        <w:spacing w:before="0" w:after="0"/>
        <w:jc w:val="center"/>
        <w:rPr/>
      </w:pPr>
      <w:r>
        <w:rPr/>
        <w:t xml:space="preserve">  </w:t>
      </w:r>
    </w:p>
    <w:p>
      <w:pPr>
        <w:pStyle w:val="TextBody"/>
        <w:bidi w:val="0"/>
        <w:spacing w:before="0" w:after="0"/>
        <w:jc w:val="center"/>
        <w:rPr>
          <w:rFonts w:ascii="Calibri" w:hAnsi="Calibri"/>
          <w:sz w:val="22"/>
        </w:rPr>
      </w:pPr>
      <w:r>
        <w:rPr>
          <w:rFonts w:ascii="Times New Roman" w:hAnsi="Times New Roman"/>
          <w:b/>
          <w:color w:val="000000"/>
          <w:sz w:val="36"/>
        </w:rPr>
        <w:t>FORM 8-K</w:t>
      </w:r>
      <w:r>
        <w:rPr>
          <w:rFonts w:ascii="Calibri" w:hAnsi="Calibri"/>
          <w:sz w:val="22"/>
        </w:rPr>
        <w:t xml:space="preserve"> </w:t>
      </w:r>
    </w:p>
    <w:p>
      <w:pPr>
        <w:pStyle w:val="TextBody"/>
        <w:bidi w:val="0"/>
        <w:spacing w:before="0" w:after="0"/>
        <w:jc w:val="center"/>
        <w:rPr/>
      </w:pPr>
      <w:r>
        <w:rPr/>
        <w:t xml:space="preserve">  </w:t>
      </w:r>
    </w:p>
    <w:p>
      <w:pPr>
        <w:pStyle w:val="TextBody"/>
        <w:bidi w:val="0"/>
        <w:spacing w:before="0" w:after="0"/>
        <w:jc w:val="center"/>
        <w:rPr>
          <w:rFonts w:ascii="Calibri" w:hAnsi="Calibri"/>
          <w:sz w:val="22"/>
        </w:rPr>
      </w:pPr>
      <w:r>
        <w:rPr>
          <w:rFonts w:ascii="Times New Roman" w:hAnsi="Times New Roman"/>
          <w:b/>
          <w:color w:val="000000"/>
          <w:sz w:val="20"/>
        </w:rPr>
        <w:t>CURRENT REPORT</w:t>
      </w:r>
      <w:r>
        <w:rPr>
          <w:rFonts w:ascii="Calibri" w:hAnsi="Calibri"/>
          <w:sz w:val="22"/>
        </w:rPr>
        <w:t xml:space="preserve"> </w:t>
      </w:r>
    </w:p>
    <w:p>
      <w:pPr>
        <w:pStyle w:val="TextBody"/>
        <w:bidi w:val="0"/>
        <w:spacing w:before="0" w:after="0"/>
        <w:jc w:val="center"/>
        <w:rPr/>
      </w:pPr>
      <w:r>
        <w:rPr/>
        <w:t xml:space="preserve">  </w:t>
      </w:r>
    </w:p>
    <w:p>
      <w:pPr>
        <w:pStyle w:val="TextBody"/>
        <w:bidi w:val="0"/>
        <w:spacing w:before="0" w:after="0"/>
        <w:jc w:val="center"/>
        <w:rPr/>
      </w:pPr>
      <w:r>
        <w:rPr>
          <w:color w:val="000000"/>
        </w:rPr>
        <w:t> </w:t>
      </w:r>
      <w:r>
        <w:rPr>
          <w:rFonts w:ascii="Times New Roman" w:hAnsi="Times New Roman"/>
          <w:b/>
          <w:color w:val="000000"/>
          <w:sz w:val="20"/>
        </w:rPr>
        <w:t>Pursuant to Section 13 or 15(d) of the Securities Exchange Act of 1934</w:t>
      </w:r>
      <w:r>
        <w:rPr>
          <w:rFonts w:ascii="Calibri" w:hAnsi="Calibri"/>
          <w:sz w:val="22"/>
        </w:rPr>
        <w:t xml:space="preserve"> </w:t>
      </w:r>
    </w:p>
    <w:p>
      <w:pPr>
        <w:pStyle w:val="TextBody"/>
        <w:bidi w:val="0"/>
        <w:spacing w:before="0" w:after="0"/>
        <w:jc w:val="left"/>
        <w:rPr/>
      </w:pPr>
      <w:r>
        <w:rPr/>
        <w:t xml:space="preserve">  </w:t>
      </w:r>
    </w:p>
    <w:tbl>
      <w:tblPr>
        <w:tblW w:w="5938" w:type="dxa"/>
        <w:jc w:val="left"/>
        <w:tblInd w:w="0" w:type="dxa"/>
        <w:tblLayout w:type="fixed"/>
        <w:tblCellMar>
          <w:top w:w="0" w:type="dxa"/>
          <w:left w:w="0" w:type="dxa"/>
          <w:bottom w:w="0" w:type="dxa"/>
          <w:right w:w="0" w:type="dxa"/>
        </w:tblCellMar>
      </w:tblPr>
      <w:tblGrid>
        <w:gridCol w:w="3931"/>
        <w:gridCol w:w="446"/>
        <w:gridCol w:w="1561"/>
      </w:tblGrid>
      <w:tr>
        <w:trPr/>
        <w:tc>
          <w:tcPr>
            <w:tcW w:w="3931" w:type="dxa"/>
            <w:tcBorders/>
            <w:vAlign w:val="center"/>
          </w:tcPr>
          <w:p>
            <w:pPr>
              <w:pStyle w:val="TableContents"/>
              <w:bidi w:val="0"/>
              <w:spacing w:before="0" w:after="0"/>
              <w:jc w:val="center"/>
              <w:rPr/>
            </w:pPr>
            <w:r>
              <w:rPr>
                <w:rFonts w:ascii="Times New Roman" w:hAnsi="Times New Roman"/>
                <w:sz w:val="20"/>
              </w:rPr>
              <w:t>Date of report (Date of earliest event reported) </w:t>
            </w:r>
            <w:r>
              <w:rPr/>
              <w:t xml:space="preserve"> </w:t>
            </w:r>
          </w:p>
        </w:tc>
        <w:tc>
          <w:tcPr>
            <w:tcW w:w="446" w:type="dxa"/>
            <w:tcBorders/>
            <w:tcMar>
              <w:top w:w="28" w:type="dxa"/>
              <w:left w:w="28" w:type="dxa"/>
              <w:bottom w:w="28" w:type="dxa"/>
              <w:right w:w="28" w:type="dxa"/>
            </w:tcMar>
            <w:vAlign w:val="center"/>
          </w:tcPr>
          <w:p>
            <w:pPr>
              <w:pStyle w:val="TableContents"/>
              <w:bidi w:val="0"/>
              <w:spacing w:before="0" w:after="0"/>
              <w:jc w:val="left"/>
              <w:rPr/>
            </w:pPr>
            <w:r>
              <w:rPr/>
              <w:t xml:space="preserve">      </w:t>
            </w:r>
          </w:p>
        </w:tc>
        <w:tc>
          <w:tcPr>
            <w:tcW w:w="1561" w:type="dxa"/>
            <w:tcBorders>
              <w:bottom w:val="single" w:sz="12" w:space="0" w:color="000000"/>
            </w:tcBorders>
            <w:tcMar>
              <w:bottom w:w="28" w:type="dxa"/>
            </w:tcMar>
            <w:vAlign w:val="center"/>
          </w:tcPr>
          <w:p>
            <w:pPr>
              <w:pStyle w:val="TableContents"/>
              <w:bidi w:val="0"/>
              <w:spacing w:before="0" w:after="0"/>
              <w:jc w:val="left"/>
              <w:rPr/>
            </w:pPr>
            <w:r>
              <w:rPr>
                <w:rFonts w:ascii="Times New Roman" w:hAnsi="Times New Roman"/>
                <w:b/>
                <w:sz w:val="20"/>
              </w:rPr>
              <w:t>August 26, 2026</w:t>
            </w:r>
            <w:r>
              <w:rPr/>
              <w:t xml:space="preserve"> </w:t>
            </w:r>
          </w:p>
        </w:tc>
      </w:tr>
    </w:tbl>
    <w:p>
      <w:pPr>
        <w:pStyle w:val="TextBody"/>
        <w:bidi w:val="0"/>
        <w:spacing w:before="0" w:after="0"/>
        <w:jc w:val="center"/>
        <w:rPr/>
      </w:pPr>
      <w:r>
        <w:rPr>
          <w:color w:val="000000"/>
        </w:rPr>
        <w:t> </w:t>
      </w:r>
      <w:r>
        <w:rPr/>
        <w:t xml:space="preserve"> </w:t>
      </w:r>
    </w:p>
    <w:p>
      <w:pPr>
        <w:pStyle w:val="TextBody"/>
        <w:bidi w:val="0"/>
        <w:spacing w:before="0" w:after="0"/>
        <w:jc w:val="center"/>
        <w:rPr/>
      </w:pPr>
      <w:r>
        <w:rPr/>
        <w:drawing>
          <wp:inline distT="0" distB="0" distL="0" distR="0">
            <wp:extent cx="971550"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1550" cy="971550"/>
                    </a:xfrm>
                    <a:prstGeom prst="rect">
                      <a:avLst/>
                    </a:prstGeom>
                  </pic:spPr>
                </pic:pic>
              </a:graphicData>
            </a:graphic>
          </wp:inline>
        </w:drawing>
      </w:r>
      <w:r>
        <w:rPr/>
        <w:t xml:space="preserve"> </w:t>
      </w:r>
    </w:p>
    <w:p>
      <w:pPr>
        <w:pStyle w:val="TextBody"/>
        <w:bidi w:val="0"/>
        <w:spacing w:before="0" w:after="0"/>
        <w:jc w:val="center"/>
        <w:rPr/>
      </w:pPr>
      <w:r>
        <w:rPr/>
        <w:t xml:space="preserve">  </w:t>
      </w:r>
    </w:p>
    <w:p>
      <w:pPr>
        <w:pStyle w:val="TextBody"/>
        <w:bidi w:val="0"/>
        <w:spacing w:before="0" w:after="0"/>
        <w:jc w:val="center"/>
        <w:rPr>
          <w:rFonts w:ascii="Calibri" w:hAnsi="Calibri"/>
          <w:sz w:val="22"/>
        </w:rPr>
      </w:pPr>
      <w:r>
        <w:rPr>
          <w:rFonts w:ascii="Times New Roman" w:hAnsi="Times New Roman"/>
          <w:b/>
          <w:color w:val="000000"/>
          <w:sz w:val="40"/>
        </w:rPr>
        <w:t>PHOTRONICS, INC.</w:t>
      </w:r>
      <w:r>
        <w:rPr>
          <w:rFonts w:ascii="Calibri" w:hAnsi="Calibri"/>
          <w:sz w:val="22"/>
        </w:rPr>
        <w:t xml:space="preserve"> </w:t>
      </w:r>
    </w:p>
    <w:p>
      <w:pPr>
        <w:pStyle w:val="TextBody"/>
        <w:bidi w:val="0"/>
        <w:spacing w:before="0" w:after="200"/>
        <w:jc w:val="center"/>
        <w:rPr>
          <w:rFonts w:ascii="Calibri" w:hAnsi="Calibri"/>
          <w:sz w:val="22"/>
        </w:rPr>
      </w:pPr>
      <w:r>
        <w:rPr>
          <w:rFonts w:ascii="Times New Roman" w:hAnsi="Times New Roman"/>
          <w:sz w:val="22"/>
        </w:rPr>
        <w:t>(Exact name of registrant as specified in its charter)</w:t>
      </w:r>
      <w:r>
        <w:rPr>
          <w:rFonts w:ascii="Calibri" w:hAnsi="Calibri"/>
          <w:sz w:val="22"/>
        </w:rPr>
        <w:t xml:space="preserve"> </w:t>
      </w:r>
    </w:p>
    <w:p>
      <w:pPr>
        <w:pStyle w:val="TextBody"/>
        <w:bidi w:val="0"/>
        <w:spacing w:before="0" w:after="0"/>
        <w:jc w:val="left"/>
        <w:rPr/>
      </w:pPr>
      <w:r>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3"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tbl>
      <w:tblPr>
        <w:tblW w:w="9963" w:type="dxa"/>
        <w:jc w:val="left"/>
        <w:tblInd w:w="0" w:type="dxa"/>
        <w:tblLayout w:type="fixed"/>
        <w:tblCellMar>
          <w:top w:w="0" w:type="dxa"/>
          <w:left w:w="0" w:type="dxa"/>
          <w:bottom w:w="0" w:type="dxa"/>
          <w:right w:w="0" w:type="dxa"/>
        </w:tblCellMar>
      </w:tblPr>
      <w:tblGrid>
        <w:gridCol w:w="4456"/>
        <w:gridCol w:w="2566"/>
        <w:gridCol w:w="2941"/>
      </w:tblGrid>
      <w:tr>
        <w:trPr/>
        <w:tc>
          <w:tcPr>
            <w:tcW w:w="4456" w:type="dxa"/>
            <w:tcBorders/>
            <w:vAlign w:val="center"/>
          </w:tcPr>
          <w:p>
            <w:pPr>
              <w:pStyle w:val="TableContents"/>
              <w:bidi w:val="0"/>
              <w:spacing w:before="0" w:after="200"/>
              <w:jc w:val="left"/>
              <w:rPr/>
            </w:pPr>
            <w:r>
              <w:rPr>
                <w:rFonts w:ascii="Times New Roman" w:hAnsi="Times New Roman"/>
                <w:b/>
                <w:sz w:val="20"/>
                <w:u w:val="single"/>
              </w:rPr>
              <w:t>Connecticut</w:t>
            </w:r>
            <w:r>
              <w:rPr/>
              <w:t xml:space="preserve"> </w:t>
            </w:r>
          </w:p>
        </w:tc>
        <w:tc>
          <w:tcPr>
            <w:tcW w:w="2566" w:type="dxa"/>
            <w:tcBorders/>
            <w:vAlign w:val="center"/>
          </w:tcPr>
          <w:p>
            <w:pPr>
              <w:pStyle w:val="TableContents"/>
              <w:bidi w:val="0"/>
              <w:spacing w:before="0" w:after="200"/>
              <w:jc w:val="left"/>
              <w:rPr/>
            </w:pPr>
            <w:r>
              <w:rPr>
                <w:rFonts w:ascii="Times New Roman" w:hAnsi="Times New Roman"/>
                <w:b/>
                <w:sz w:val="20"/>
                <w:u w:val="single"/>
              </w:rPr>
              <w:t>0-15451</w:t>
            </w:r>
            <w:r>
              <w:rPr/>
              <w:t xml:space="preserve"> </w:t>
            </w:r>
          </w:p>
        </w:tc>
        <w:tc>
          <w:tcPr>
            <w:tcW w:w="2941" w:type="dxa"/>
            <w:tcBorders/>
            <w:vAlign w:val="center"/>
          </w:tcPr>
          <w:p>
            <w:pPr>
              <w:pStyle w:val="TableContents"/>
              <w:bidi w:val="0"/>
              <w:spacing w:before="0" w:after="200"/>
              <w:jc w:val="left"/>
              <w:rPr/>
            </w:pPr>
            <w:r>
              <w:rPr/>
              <w:t>   </w:t>
            </w:r>
            <w:r>
              <w:rPr>
                <w:rFonts w:ascii="Times New Roman" w:hAnsi="Times New Roman"/>
                <w:b/>
                <w:sz w:val="20"/>
                <w:u w:val="single"/>
              </w:rPr>
              <w:t>06-0854886</w:t>
            </w:r>
            <w:r>
              <w:rPr/>
              <w:t xml:space="preserve"> </w:t>
            </w:r>
          </w:p>
        </w:tc>
      </w:tr>
      <w:tr>
        <w:trPr/>
        <w:tc>
          <w:tcPr>
            <w:tcW w:w="4456" w:type="dxa"/>
            <w:tcBorders/>
            <w:vAlign w:val="center"/>
          </w:tcPr>
          <w:p>
            <w:pPr>
              <w:pStyle w:val="TableContents"/>
              <w:bidi w:val="0"/>
              <w:spacing w:before="0" w:after="200"/>
              <w:jc w:val="left"/>
              <w:rPr/>
            </w:pPr>
            <w:r>
              <w:rPr>
                <w:rFonts w:ascii="Times New Roman" w:hAnsi="Times New Roman"/>
                <w:sz w:val="20"/>
              </w:rPr>
              <w:t>(</w:t>
            </w:r>
            <w:r>
              <w:rPr>
                <w:rFonts w:ascii="Times New Roman" w:hAnsi="Times New Roman"/>
                <w:i/>
                <w:sz w:val="20"/>
              </w:rPr>
              <w:t xml:space="preserve">State or Other Jurisdiction of Incorporation) </w:t>
            </w:r>
          </w:p>
        </w:tc>
        <w:tc>
          <w:tcPr>
            <w:tcW w:w="2566" w:type="dxa"/>
            <w:tcBorders/>
            <w:vAlign w:val="center"/>
          </w:tcPr>
          <w:p>
            <w:pPr>
              <w:pStyle w:val="TableContents"/>
              <w:bidi w:val="0"/>
              <w:spacing w:before="0" w:after="200"/>
              <w:jc w:val="left"/>
              <w:rPr/>
            </w:pPr>
            <w:r>
              <w:rPr>
                <w:rFonts w:ascii="Times New Roman" w:hAnsi="Times New Roman"/>
                <w:i/>
                <w:sz w:val="20"/>
              </w:rPr>
              <w:t>(Commission File Number)     </w:t>
            </w:r>
            <w:r>
              <w:rPr/>
              <w:t xml:space="preserve"> </w:t>
            </w:r>
          </w:p>
        </w:tc>
        <w:tc>
          <w:tcPr>
            <w:tcW w:w="2941" w:type="dxa"/>
            <w:tcBorders/>
            <w:vAlign w:val="center"/>
          </w:tcPr>
          <w:p>
            <w:pPr>
              <w:pStyle w:val="TableContents"/>
              <w:bidi w:val="0"/>
              <w:spacing w:before="0" w:after="200"/>
              <w:jc w:val="left"/>
              <w:rPr/>
            </w:pPr>
            <w:r>
              <w:rPr>
                <w:rFonts w:ascii="Times New Roman" w:hAnsi="Times New Roman"/>
                <w:i/>
                <w:sz w:val="20"/>
              </w:rPr>
              <w:t>(IRS Employer Identification No.)</w:t>
            </w:r>
            <w:r>
              <w:rPr/>
              <w:t xml:space="preserve"> </w:t>
            </w:r>
          </w:p>
        </w:tc>
      </w:tr>
      <w:tr>
        <w:trPr/>
        <w:tc>
          <w:tcPr>
            <w:tcW w:w="4456" w:type="dxa"/>
            <w:tcBorders/>
            <w:vAlign w:val="center"/>
          </w:tcPr>
          <w:p>
            <w:pPr>
              <w:pStyle w:val="TableContents"/>
              <w:bidi w:val="0"/>
              <w:spacing w:before="0" w:after="200"/>
              <w:jc w:val="left"/>
              <w:rPr/>
            </w:pPr>
            <w:r>
              <w:rPr/>
              <w:t xml:space="preserve">  </w:t>
            </w:r>
          </w:p>
        </w:tc>
        <w:tc>
          <w:tcPr>
            <w:tcW w:w="2566" w:type="dxa"/>
            <w:tcBorders/>
            <w:vAlign w:val="center"/>
          </w:tcPr>
          <w:p>
            <w:pPr>
              <w:pStyle w:val="TableContents"/>
              <w:bidi w:val="0"/>
              <w:spacing w:before="0" w:after="283"/>
              <w:jc w:val="left"/>
              <w:rPr/>
            </w:pPr>
            <w:r>
              <w:rPr/>
              <w:t xml:space="preserve">  </w:t>
            </w:r>
          </w:p>
        </w:tc>
        <w:tc>
          <w:tcPr>
            <w:tcW w:w="2941" w:type="dxa"/>
            <w:tcBorders/>
            <w:vAlign w:val="center"/>
          </w:tcPr>
          <w:p>
            <w:pPr>
              <w:pStyle w:val="TableContents"/>
              <w:bidi w:val="0"/>
              <w:spacing w:before="0" w:after="0"/>
              <w:jc w:val="left"/>
              <w:rPr/>
            </w:pPr>
            <w:r>
              <w:rPr/>
              <w:t xml:space="preserve">  </w:t>
            </w:r>
          </w:p>
        </w:tc>
      </w:tr>
      <w:tr>
        <w:trPr/>
        <w:tc>
          <w:tcPr>
            <w:tcW w:w="4456" w:type="dxa"/>
            <w:tcBorders/>
            <w:vAlign w:val="center"/>
          </w:tcPr>
          <w:p>
            <w:pPr>
              <w:pStyle w:val="TableContents"/>
              <w:bidi w:val="0"/>
              <w:spacing w:before="0" w:after="200"/>
              <w:jc w:val="left"/>
              <w:rPr/>
            </w:pPr>
            <w:r>
              <w:rPr>
                <w:rFonts w:ascii="Times New Roman" w:hAnsi="Times New Roman"/>
                <w:b/>
                <w:sz w:val="20"/>
                <w:u w:val="single"/>
              </w:rPr>
              <w:t>15 Secor Road, Brookfield, CT</w:t>
            </w:r>
            <w:r>
              <w:rPr/>
              <w:t xml:space="preserve"> </w:t>
            </w:r>
          </w:p>
        </w:tc>
        <w:tc>
          <w:tcPr>
            <w:tcW w:w="2566" w:type="dxa"/>
            <w:tcBorders/>
            <w:vAlign w:val="center"/>
          </w:tcPr>
          <w:p>
            <w:pPr>
              <w:pStyle w:val="TableContents"/>
              <w:bidi w:val="0"/>
              <w:spacing w:before="0" w:after="283"/>
              <w:jc w:val="left"/>
              <w:rPr/>
            </w:pPr>
            <w:r>
              <w:rPr/>
              <w:t xml:space="preserve">  </w:t>
            </w:r>
          </w:p>
        </w:tc>
        <w:tc>
          <w:tcPr>
            <w:tcW w:w="2941" w:type="dxa"/>
            <w:tcBorders/>
            <w:vAlign w:val="center"/>
          </w:tcPr>
          <w:p>
            <w:pPr>
              <w:pStyle w:val="TableContents"/>
              <w:bidi w:val="0"/>
              <w:spacing w:before="0" w:after="0"/>
              <w:jc w:val="left"/>
              <w:rPr/>
            </w:pPr>
            <w:r>
              <w:rPr>
                <w:rFonts w:ascii="Times New Roman" w:hAnsi="Times New Roman"/>
                <w:b/>
                <w:sz w:val="20"/>
                <w:u w:val="single"/>
              </w:rPr>
              <w:t>06804</w:t>
            </w:r>
            <w:r>
              <w:rPr/>
              <w:t xml:space="preserve"> </w:t>
            </w:r>
          </w:p>
        </w:tc>
      </w:tr>
      <w:tr>
        <w:trPr/>
        <w:tc>
          <w:tcPr>
            <w:tcW w:w="4456" w:type="dxa"/>
            <w:tcBorders/>
            <w:vAlign w:val="center"/>
          </w:tcPr>
          <w:p>
            <w:pPr>
              <w:pStyle w:val="TableContents"/>
              <w:bidi w:val="0"/>
              <w:spacing w:before="0" w:after="200"/>
              <w:jc w:val="left"/>
              <w:rPr/>
            </w:pPr>
            <w:r>
              <w:rPr>
                <w:rFonts w:ascii="Times New Roman" w:hAnsi="Times New Roman"/>
                <w:sz w:val="20"/>
              </w:rPr>
              <w:t>(Address of principal executive offices)</w:t>
            </w:r>
            <w:r>
              <w:rPr/>
              <w:t xml:space="preserve"> </w:t>
            </w:r>
          </w:p>
        </w:tc>
        <w:tc>
          <w:tcPr>
            <w:tcW w:w="2566" w:type="dxa"/>
            <w:tcBorders/>
            <w:vAlign w:val="center"/>
          </w:tcPr>
          <w:p>
            <w:pPr>
              <w:pStyle w:val="TableContents"/>
              <w:bidi w:val="0"/>
              <w:spacing w:before="0" w:after="283"/>
              <w:jc w:val="left"/>
              <w:rPr/>
            </w:pPr>
            <w:r>
              <w:rPr/>
              <w:t xml:space="preserve">  </w:t>
            </w:r>
          </w:p>
        </w:tc>
        <w:tc>
          <w:tcPr>
            <w:tcW w:w="2941" w:type="dxa"/>
            <w:tcBorders/>
            <w:vAlign w:val="center"/>
          </w:tcPr>
          <w:p>
            <w:pPr>
              <w:pStyle w:val="TableContents"/>
              <w:bidi w:val="0"/>
              <w:spacing w:before="0" w:after="0"/>
              <w:jc w:val="left"/>
              <w:rPr/>
            </w:pPr>
            <w:r>
              <w:rPr>
                <w:rFonts w:ascii="Times New Roman" w:hAnsi="Times New Roman"/>
                <w:sz w:val="20"/>
              </w:rPr>
              <w:t>(Zip Code)</w:t>
            </w:r>
            <w:r>
              <w:rPr/>
              <w:t xml:space="preserve"> </w:t>
            </w:r>
          </w:p>
          <w:p>
            <w:pPr>
              <w:pStyle w:val="TableContents"/>
              <w:bidi w:val="0"/>
              <w:spacing w:before="0" w:after="200"/>
              <w:jc w:val="left"/>
              <w:rPr/>
            </w:pPr>
            <w:r>
              <w:rPr/>
              <w:t xml:space="preserve">  </w:t>
            </w:r>
          </w:p>
        </w:tc>
      </w:tr>
      <w:tr>
        <w:trPr/>
        <w:tc>
          <w:tcPr>
            <w:tcW w:w="4456" w:type="dxa"/>
            <w:tcBorders/>
            <w:vAlign w:val="center"/>
          </w:tcPr>
          <w:p>
            <w:pPr>
              <w:pStyle w:val="TableContents"/>
              <w:bidi w:val="0"/>
              <w:spacing w:before="0" w:after="200"/>
              <w:jc w:val="left"/>
              <w:rPr/>
            </w:pPr>
            <w:r>
              <w:rPr>
                <w:rFonts w:ascii="Times New Roman" w:hAnsi="Times New Roman"/>
                <w:sz w:val="20"/>
              </w:rPr>
              <w:t>Registrant’s Telephone Number, including area code</w:t>
            </w:r>
            <w:r>
              <w:rPr/>
              <w:t xml:space="preserve"> </w:t>
            </w:r>
          </w:p>
        </w:tc>
        <w:tc>
          <w:tcPr>
            <w:tcW w:w="2566" w:type="dxa"/>
            <w:tcBorders/>
            <w:vAlign w:val="center"/>
          </w:tcPr>
          <w:p>
            <w:pPr>
              <w:pStyle w:val="TableContents"/>
              <w:bidi w:val="0"/>
              <w:spacing w:before="0" w:after="283"/>
              <w:jc w:val="left"/>
              <w:rPr/>
            </w:pPr>
            <w:r>
              <w:rPr/>
              <w:t xml:space="preserve">  </w:t>
            </w:r>
          </w:p>
        </w:tc>
        <w:tc>
          <w:tcPr>
            <w:tcW w:w="2941" w:type="dxa"/>
            <w:tcBorders/>
            <w:vAlign w:val="center"/>
          </w:tcPr>
          <w:p>
            <w:pPr>
              <w:pStyle w:val="TableContents"/>
              <w:bidi w:val="0"/>
              <w:spacing w:before="0" w:after="0"/>
              <w:jc w:val="left"/>
              <w:rPr/>
            </w:pPr>
            <w:r>
              <w:rPr>
                <w:rFonts w:ascii="Times New Roman" w:hAnsi="Times New Roman"/>
                <w:b/>
                <w:sz w:val="20"/>
                <w:u w:val="single"/>
              </w:rPr>
              <w:t>(203) 775-9000</w:t>
            </w:r>
            <w:r>
              <w:rPr/>
              <w:t xml:space="preserve"> </w:t>
            </w:r>
          </w:p>
        </w:tc>
      </w:tr>
      <w:tr>
        <w:trPr/>
        <w:tc>
          <w:tcPr>
            <w:tcW w:w="4456" w:type="dxa"/>
            <w:tcBorders/>
            <w:vAlign w:val="center"/>
          </w:tcPr>
          <w:p>
            <w:pPr>
              <w:pStyle w:val="TableContents"/>
              <w:bidi w:val="0"/>
              <w:spacing w:before="0" w:after="283"/>
              <w:jc w:val="left"/>
              <w:rPr/>
            </w:pPr>
            <w:r>
              <w:rPr/>
              <w:t xml:space="preserve">  </w:t>
            </w:r>
          </w:p>
        </w:tc>
        <w:tc>
          <w:tcPr>
            <w:tcW w:w="2566" w:type="dxa"/>
            <w:tcBorders/>
            <w:vAlign w:val="center"/>
          </w:tcPr>
          <w:p>
            <w:pPr>
              <w:pStyle w:val="TableContents"/>
              <w:bidi w:val="0"/>
              <w:spacing w:before="0" w:after="283"/>
              <w:jc w:val="left"/>
              <w:rPr/>
            </w:pPr>
            <w:r>
              <w:rPr/>
              <w:t xml:space="preserve">  </w:t>
            </w:r>
          </w:p>
        </w:tc>
        <w:tc>
          <w:tcPr>
            <w:tcW w:w="2941" w:type="dxa"/>
            <w:tcBorders/>
            <w:vAlign w:val="center"/>
          </w:tcPr>
          <w:p>
            <w:pPr>
              <w:pStyle w:val="TableContents"/>
              <w:bidi w:val="0"/>
              <w:spacing w:before="0" w:after="283"/>
              <w:jc w:val="left"/>
              <w:rPr/>
            </w:pPr>
            <w:r>
              <w:rPr/>
              <w:t xml:space="preserve">  </w:t>
            </w:r>
          </w:p>
        </w:tc>
      </w:tr>
    </w:tbl>
    <w:p>
      <w:pPr>
        <w:pStyle w:val="TextBody"/>
        <w:bidi w:val="0"/>
        <w:spacing w:before="0" w:after="200"/>
        <w:jc w:val="left"/>
        <w:rPr/>
      </w:pPr>
      <w:r>
        <w:rPr/>
        <w:t xml:space="preserve">  </w:t>
      </w:r>
    </w:p>
    <w:p>
      <w:pPr>
        <w:pStyle w:val="TextBody"/>
        <w:bidi w:val="0"/>
        <w:spacing w:before="0" w:after="0"/>
        <w:jc w:val="center"/>
        <w:rPr>
          <w:rFonts w:ascii="Calibri" w:hAnsi="Calibri"/>
          <w:sz w:val="22"/>
        </w:rPr>
      </w:pPr>
      <w:r>
        <w:rPr>
          <w:rFonts w:ascii="Times New Roman" w:hAnsi="Times New Roman"/>
          <w:color w:val="000000"/>
          <w:sz w:val="20"/>
        </w:rPr>
        <w:t>__________________________________________________________</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color w:val="000000"/>
          <w:sz w:val="20"/>
        </w:rPr>
        <w:t>(Former name or former address, if changed since last report)</w:t>
      </w:r>
      <w:r>
        <w:rPr>
          <w:rFonts w:ascii="Calibri" w:hAnsi="Calibri"/>
          <w:sz w:val="22"/>
        </w:rPr>
        <w:t xml:space="preserve"> </w:t>
      </w:r>
    </w:p>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color w:val="000000"/>
          <w:sz w:val="20"/>
        </w:rPr>
        <w:t>Securities registered or to be registered pursuant to Section 12(b) of the Act:</w:t>
      </w:r>
      <w:r>
        <w:rPr>
          <w:rFonts w:ascii="Calibri" w:hAnsi="Calibri"/>
          <w:sz w:val="22"/>
        </w:rPr>
        <w:t xml:space="preserve"> </w:t>
      </w:r>
    </w:p>
    <w:p>
      <w:pPr>
        <w:pStyle w:val="TextBody"/>
        <w:bidi w:val="0"/>
        <w:spacing w:before="0" w:after="0"/>
        <w:jc w:val="left"/>
        <w:rPr/>
      </w:pPr>
      <w:r>
        <w:rPr/>
        <w:t xml:space="preserve">  </w:t>
      </w:r>
    </w:p>
    <w:tbl>
      <w:tblPr>
        <w:tblW w:w="9528" w:type="dxa"/>
        <w:jc w:val="left"/>
        <w:tblInd w:w="-15" w:type="dxa"/>
        <w:tblLayout w:type="fixed"/>
        <w:tblCellMar>
          <w:top w:w="28" w:type="dxa"/>
          <w:left w:w="28" w:type="dxa"/>
          <w:bottom w:w="28" w:type="dxa"/>
          <w:right w:w="28" w:type="dxa"/>
        </w:tblCellMar>
      </w:tblPr>
      <w:tblGrid>
        <w:gridCol w:w="4081"/>
        <w:gridCol w:w="1681"/>
        <w:gridCol w:w="3766"/>
      </w:tblGrid>
      <w:tr>
        <w:trPr/>
        <w:tc>
          <w:tcPr>
            <w:tcW w:w="408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pPr>
            <w:r>
              <w:rPr/>
              <w:t xml:space="preserve">  </w:t>
            </w:r>
          </w:p>
          <w:p>
            <w:pPr>
              <w:pStyle w:val="TableContents"/>
              <w:bidi w:val="0"/>
              <w:spacing w:before="0" w:after="0"/>
              <w:ind w:left="45" w:right="0" w:hanging="0"/>
              <w:jc w:val="center"/>
              <w:rPr/>
            </w:pPr>
            <w:r>
              <w:rPr>
                <w:rFonts w:ascii="Times New Roman" w:hAnsi="Times New Roman"/>
                <w:sz w:val="20"/>
              </w:rPr>
              <w:t>Title of each class</w:t>
            </w:r>
            <w:r>
              <w:rPr/>
              <w:t xml:space="preserve"> </w:t>
            </w:r>
          </w:p>
        </w:tc>
        <w:tc>
          <w:tcPr>
            <w:tcW w:w="168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42" w:right="0" w:hanging="0"/>
              <w:jc w:val="left"/>
              <w:rPr/>
            </w:pPr>
            <w:r>
              <w:rPr/>
              <w:t xml:space="preserve">  </w:t>
            </w:r>
          </w:p>
          <w:p>
            <w:pPr>
              <w:pStyle w:val="TableContents"/>
              <w:bidi w:val="0"/>
              <w:spacing w:before="0" w:after="0"/>
              <w:ind w:left="42" w:right="0" w:hanging="0"/>
              <w:jc w:val="center"/>
              <w:rPr/>
            </w:pPr>
            <w:r>
              <w:rPr>
                <w:rFonts w:ascii="Times New Roman" w:hAnsi="Times New Roman"/>
                <w:sz w:val="20"/>
              </w:rPr>
              <w:t>Trading Symbol(s)</w:t>
            </w:r>
            <w:r>
              <w:rPr/>
              <w:t xml:space="preserve"> </w:t>
            </w:r>
          </w:p>
        </w:tc>
        <w:tc>
          <w:tcPr>
            <w:tcW w:w="37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left"/>
              <w:rPr/>
            </w:pPr>
            <w:r>
              <w:rPr/>
              <w:t xml:space="preserve">  </w:t>
            </w:r>
          </w:p>
          <w:p>
            <w:pPr>
              <w:pStyle w:val="TableContents"/>
              <w:bidi w:val="0"/>
              <w:spacing w:before="0" w:after="0"/>
              <w:ind w:left="45" w:right="0" w:hanging="0"/>
              <w:jc w:val="center"/>
              <w:rPr/>
            </w:pPr>
            <w:r>
              <w:rPr>
                <w:rFonts w:ascii="Times New Roman" w:hAnsi="Times New Roman"/>
                <w:sz w:val="20"/>
              </w:rPr>
              <w:t>Name of each exchange on which registered</w:t>
            </w:r>
            <w:r>
              <w:rPr/>
              <w:t xml:space="preserve"> </w:t>
            </w:r>
          </w:p>
        </w:tc>
      </w:tr>
      <w:tr>
        <w:trPr/>
        <w:tc>
          <w:tcPr>
            <w:tcW w:w="408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center"/>
              <w:rPr/>
            </w:pPr>
            <w:r>
              <w:rPr>
                <w:rFonts w:ascii="Times New Roman" w:hAnsi="Times New Roman"/>
                <w:b/>
                <w:sz w:val="20"/>
              </w:rPr>
              <w:t>COMMON STOCK, $0.01 par value per share</w:t>
            </w:r>
            <w:r>
              <w:rPr/>
              <w:t xml:space="preserve"> </w:t>
            </w:r>
          </w:p>
        </w:tc>
        <w:tc>
          <w:tcPr>
            <w:tcW w:w="168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42" w:right="0" w:hanging="0"/>
              <w:jc w:val="center"/>
              <w:rPr/>
            </w:pPr>
            <w:r>
              <w:rPr>
                <w:rFonts w:ascii="Times New Roman" w:hAnsi="Times New Roman"/>
                <w:b/>
                <w:sz w:val="20"/>
              </w:rPr>
              <w:t>PLAB</w:t>
            </w:r>
            <w:r>
              <w:rPr/>
              <w:t xml:space="preserve"> </w:t>
            </w:r>
          </w:p>
        </w:tc>
        <w:tc>
          <w:tcPr>
            <w:tcW w:w="37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45" w:right="0" w:hanging="0"/>
              <w:jc w:val="center"/>
              <w:rPr/>
            </w:pPr>
            <w:r>
              <w:rPr>
                <w:rFonts w:ascii="Times New Roman" w:hAnsi="Times New Roman"/>
                <w:b/>
                <w:sz w:val="20"/>
              </w:rPr>
              <w:t>NASDAQ Global Select Market</w:t>
            </w:r>
            <w:r>
              <w:rPr/>
              <w:t xml:space="preserve">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rFonts w:ascii="Calibri" w:hAnsi="Calibri"/>
          <w:sz w:val="22"/>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r>
        <w:rPr>
          <w:rFonts w:ascii="Calibri" w:hAnsi="Calibri"/>
          <w:sz w:val="22"/>
        </w:rPr>
        <w:t xml:space="preserve"> </w:t>
      </w:r>
    </w:p>
    <w:p>
      <w:pPr>
        <w:pStyle w:val="TextBody"/>
        <w:bidi w:val="0"/>
        <w:spacing w:before="0" w:after="0"/>
        <w:jc w:val="left"/>
        <w:rPr/>
      </w:pPr>
      <w:r>
        <w:rPr/>
        <w:t xml:space="preserve">  </w:t>
      </w:r>
    </w:p>
    <w:tbl>
      <w:tblPr>
        <w:tblW w:w="9632" w:type="dxa"/>
        <w:jc w:val="left"/>
        <w:tblInd w:w="0" w:type="dxa"/>
        <w:tblLayout w:type="fixed"/>
        <w:tblCellMar>
          <w:top w:w="28" w:type="dxa"/>
          <w:left w:w="28" w:type="dxa"/>
          <w:bottom w:w="28" w:type="dxa"/>
          <w:right w:w="28" w:type="dxa"/>
        </w:tblCellMar>
      </w:tblPr>
      <w:tblGrid>
        <w:gridCol w:w="391"/>
        <w:gridCol w:w="9241"/>
      </w:tblGrid>
      <w:tr>
        <w:trPr/>
        <w:tc>
          <w:tcPr>
            <w:tcW w:w="391" w:type="dxa"/>
            <w:tcBorders/>
            <w:vAlign w:val="center"/>
          </w:tcPr>
          <w:p>
            <w:pPr>
              <w:pStyle w:val="TableContents"/>
              <w:bidi w:val="0"/>
              <w:spacing w:before="0" w:after="0"/>
              <w:jc w:val="left"/>
              <w:rPr/>
            </w:pPr>
            <w:r>
              <w:rPr/>
              <w:t xml:space="preserve">☐ </w:t>
            </w:r>
          </w:p>
        </w:tc>
        <w:tc>
          <w:tcPr>
            <w:tcW w:w="9241" w:type="dxa"/>
            <w:tcBorders/>
            <w:vAlign w:val="center"/>
          </w:tcPr>
          <w:p>
            <w:pPr>
              <w:pStyle w:val="TableContents"/>
              <w:bidi w:val="0"/>
              <w:spacing w:before="0" w:after="0"/>
              <w:jc w:val="both"/>
              <w:rPr/>
            </w:pPr>
            <w:r>
              <w:rPr>
                <w:rFonts w:ascii="Times New Roman" w:hAnsi="Times New Roman"/>
                <w:sz w:val="20"/>
              </w:rPr>
              <w:t>Written communications pursuant to Rule 425 under the Securities Act (17 CFR 230.425)</w:t>
            </w:r>
            <w:r>
              <w:rPr/>
              <w:t xml:space="preserve"> </w:t>
            </w:r>
          </w:p>
        </w:tc>
      </w:tr>
      <w:tr>
        <w:trPr/>
        <w:tc>
          <w:tcPr>
            <w:tcW w:w="391" w:type="dxa"/>
            <w:tcBorders/>
            <w:vAlign w:val="center"/>
          </w:tcPr>
          <w:p>
            <w:pPr>
              <w:pStyle w:val="TableContents"/>
              <w:bidi w:val="0"/>
              <w:spacing w:before="0" w:after="0"/>
              <w:jc w:val="left"/>
              <w:rPr/>
            </w:pPr>
            <w:r>
              <w:rPr/>
              <w:t xml:space="preserve">☐ </w:t>
            </w:r>
          </w:p>
        </w:tc>
        <w:tc>
          <w:tcPr>
            <w:tcW w:w="9241" w:type="dxa"/>
            <w:tcBorders/>
            <w:vAlign w:val="center"/>
          </w:tcPr>
          <w:p>
            <w:pPr>
              <w:pStyle w:val="TableContents"/>
              <w:bidi w:val="0"/>
              <w:spacing w:before="0" w:after="0"/>
              <w:jc w:val="both"/>
              <w:rPr/>
            </w:pPr>
            <w:r>
              <w:rPr>
                <w:rFonts w:ascii="Times New Roman" w:hAnsi="Times New Roman"/>
                <w:sz w:val="20"/>
              </w:rPr>
              <w:t>Soliciting material pursuant to Rule 14a-12 under the Exchange Act (17 CFR 240.14a-12)</w:t>
            </w:r>
            <w:r>
              <w:rPr/>
              <w:t xml:space="preserve"> </w:t>
            </w:r>
          </w:p>
        </w:tc>
      </w:tr>
      <w:tr>
        <w:trPr/>
        <w:tc>
          <w:tcPr>
            <w:tcW w:w="391" w:type="dxa"/>
            <w:tcBorders/>
            <w:vAlign w:val="center"/>
          </w:tcPr>
          <w:p>
            <w:pPr>
              <w:pStyle w:val="TableContents"/>
              <w:bidi w:val="0"/>
              <w:spacing w:before="0" w:after="0"/>
              <w:jc w:val="left"/>
              <w:rPr/>
            </w:pPr>
            <w:r>
              <w:rPr/>
              <w:t xml:space="preserve">☐ </w:t>
            </w:r>
          </w:p>
        </w:tc>
        <w:tc>
          <w:tcPr>
            <w:tcW w:w="9241" w:type="dxa"/>
            <w:tcBorders/>
            <w:vAlign w:val="center"/>
          </w:tcPr>
          <w:p>
            <w:pPr>
              <w:pStyle w:val="TableContents"/>
              <w:bidi w:val="0"/>
              <w:spacing w:before="0" w:after="0"/>
              <w:jc w:val="both"/>
              <w:rPr/>
            </w:pPr>
            <w:r>
              <w:rPr>
                <w:rFonts w:ascii="Times New Roman" w:hAnsi="Times New Roman"/>
                <w:sz w:val="20"/>
              </w:rPr>
              <w:t>Pre-commencement communications pursuant to Rule 14d-2(b) under the Exchange Act (17 CFR 240.14d-2(b))</w:t>
            </w:r>
            <w:r>
              <w:rPr/>
              <w:t xml:space="preserve"> </w:t>
            </w:r>
          </w:p>
        </w:tc>
      </w:tr>
      <w:tr>
        <w:trPr/>
        <w:tc>
          <w:tcPr>
            <w:tcW w:w="391" w:type="dxa"/>
            <w:tcBorders/>
            <w:vAlign w:val="center"/>
          </w:tcPr>
          <w:p>
            <w:pPr>
              <w:pStyle w:val="TableContents"/>
              <w:bidi w:val="0"/>
              <w:spacing w:before="0" w:after="0"/>
              <w:jc w:val="left"/>
              <w:rPr/>
            </w:pPr>
            <w:r>
              <w:rPr/>
              <w:t xml:space="preserve">☐ </w:t>
            </w:r>
          </w:p>
        </w:tc>
        <w:tc>
          <w:tcPr>
            <w:tcW w:w="9241" w:type="dxa"/>
            <w:tcBorders/>
            <w:vAlign w:val="center"/>
          </w:tcPr>
          <w:p>
            <w:pPr>
              <w:pStyle w:val="TableContents"/>
              <w:bidi w:val="0"/>
              <w:spacing w:before="0" w:after="0"/>
              <w:jc w:val="both"/>
              <w:rPr/>
            </w:pPr>
            <w:r>
              <w:rPr>
                <w:rFonts w:ascii="Times New Roman" w:hAnsi="Times New Roman"/>
                <w:sz w:val="20"/>
              </w:rPr>
              <w:t>Pre-commencement communications pursuant to Rule 13e-4(c) under the Exchange Act (17 CFR 240.13e-4(c))</w:t>
            </w:r>
            <w:r>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r>
        <w:rPr>
          <w:rFonts w:ascii="Calibri" w:hAnsi="Calibri"/>
          <w:sz w:val="22"/>
        </w:rPr>
        <w:t xml:space="preserve"> </w:t>
      </w:r>
    </w:p>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color w:val="000000"/>
          <w:sz w:val="20"/>
        </w:rPr>
        <w:t xml:space="preserve">Emerging growth company </w:t>
      </w:r>
      <w:r>
        <w:rPr>
          <w:rFonts w:ascii="Calibri" w:hAnsi="Calibri"/>
          <w:color w:val="000000"/>
          <w:sz w:val="22"/>
        </w:rPr>
        <w:t>☐</w:t>
      </w:r>
      <w:r>
        <w:rPr>
          <w:rFonts w:ascii="Calibri" w:hAnsi="Calibri"/>
          <w:sz w:val="22"/>
        </w:rPr>
        <w:t xml:space="preserve"> </w:t>
      </w:r>
    </w:p>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Calibri" w:hAnsi="Calibri"/>
          <w:color w:val="000000"/>
          <w:sz w:val="22"/>
        </w:rPr>
        <w:t>☐</w:t>
      </w:r>
      <w:r>
        <w:rPr>
          <w:rFonts w:ascii="Calibri" w:hAnsi="Calibri"/>
          <w:sz w:val="22"/>
        </w:rPr>
        <w:t xml:space="preserve"> </w:t>
      </w:r>
    </w:p>
    <w:p>
      <w:pPr>
        <w:pStyle w:val="TextBody"/>
        <w:bidi w:val="0"/>
        <w:spacing w:before="0" w:after="200"/>
        <w:jc w:val="left"/>
        <w:rPr>
          <w:bdr w:val="single" w:sz="12" w:space="1" w:color="000000"/>
        </w:rPr>
      </w:pPr>
      <w:r>
        <w:rPr>
          <w:bdr w:val="single" w:sz="12" w:space="1" w:color="000000"/>
        </w:rPr>
        <w:t xml:space="preserve">  </w:t>
      </w:r>
    </w:p>
    <w:p>
      <w:pPr>
        <w:pStyle w:val="TextBody"/>
        <w:bidi w:val="0"/>
        <w:spacing w:before="0" w:after="0"/>
        <w:jc w:val="left"/>
        <w:rPr/>
      </w:pPr>
      <w:r>
        <w:rPr/>
        <w:t xml:space="preserve">  </w:t>
      </w:r>
    </w:p>
    <w:p>
      <w:pPr>
        <w:pStyle w:val="TextBody"/>
        <w:bidi w:val="0"/>
        <w:spacing w:before="0" w:after="200"/>
        <w:ind w:left="0" w:right="0" w:hanging="1080"/>
        <w:jc w:val="left"/>
        <w:rPr>
          <w:rFonts w:ascii="Calibri" w:hAnsi="Calibri"/>
          <w:sz w:val="22"/>
        </w:rPr>
      </w:pPr>
      <w:r>
        <w:rPr>
          <w:rFonts w:ascii="Times New Roman" w:hAnsi="Times New Roman"/>
          <w:b/>
          <w:color w:val="000000"/>
          <w:sz w:val="20"/>
          <w:u w:val="single"/>
        </w:rPr>
        <w:t>Results of Operations and Financial Condition.</w:t>
      </w:r>
      <w:r>
        <w:rPr>
          <w:rFonts w:ascii="Calibri" w:hAnsi="Calibri"/>
          <w:sz w:val="22"/>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685800" cy="175260"/>
                <wp:effectExtent l="0" t="0" r="0" b="0"/>
                <wp:wrapSquare wrapText="right"/>
                <wp:docPr id="5" name="Frame4"/>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extBody"/>
                              <w:bidi w:val="0"/>
                              <w:spacing w:before="0" w:after="283"/>
                              <w:jc w:val="left"/>
                              <w:rPr/>
                            </w:pPr>
                            <w:r>
                              <w:rPr>
                                <w:rFonts w:ascii="Times New Roman" w:hAnsi="Times New Roman"/>
                                <w:b/>
                                <w:color w:val="000000"/>
                                <w:sz w:val="20"/>
                                <w:u w:val="single"/>
                              </w:rPr>
                              <w:t>Item 2.02.</w:t>
                            </w:r>
                            <w:r>
                              <w:rPr/>
                              <w:t xml:space="preserve"> </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color w:val="000000"/>
                          <w:sz w:val="20"/>
                          <w:u w:val="single"/>
                        </w:rPr>
                        <w:t>Item 2.02.</w:t>
                      </w:r>
                      <w:r>
                        <w:rPr/>
                        <w:t xml:space="preserve"> </w:t>
                      </w:r>
                    </w:p>
                  </w:txbxContent>
                </v:textbox>
                <w10:wrap type="square" side="right"/>
              </v:rect>
            </w:pict>
          </mc:Fallback>
        </mc:AlternateContent>
      </w:r>
    </w:p>
    <w:p>
      <w:pPr>
        <w:pStyle w:val="TextBody"/>
        <w:bidi w:val="0"/>
        <w:spacing w:before="0" w:after="0"/>
        <w:jc w:val="left"/>
        <w:rPr>
          <w:rFonts w:ascii="Calibri" w:hAnsi="Calibri"/>
          <w:sz w:val="22"/>
        </w:rPr>
      </w:pPr>
      <w:r>
        <w:rPr>
          <w:rFonts w:ascii="Times New Roman" w:hAnsi="Times New Roman"/>
          <w:color w:val="000000"/>
          <w:sz w:val="20"/>
        </w:rPr>
        <w:t>On August 26, 2026, Photronics, Inc. (the “Company”) issued a press release reporting third quarter fiscal 2026 financial results.</w:t>
      </w:r>
      <w:r>
        <w:rPr>
          <w:rFonts w:ascii="Calibri" w:hAnsi="Calibri"/>
          <w:sz w:val="22"/>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August 26, 2026, the Company will conduct a conference call with respect to its financial results and other matters during which it will also disclose a slide presentation. </w:t>
      </w:r>
    </w:p>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color w:val="000000"/>
          <w:sz w:val="20"/>
        </w:rPr>
        <w:t>A copy of the press release reporting the third quarter fiscal 2026 earnings is furnished as Exhibit 99.1 to this report and a copy of the slide presentation is furnished as Exhibit 99.2 to this report. The information contained in this Item 2.02 and the attached Exhibits 99.1 and 99.2 shall not be deemed “filed” for purposes of Section 18 of the Securities Exchange Act of 1934 and shall not be incorporated by reference in any filing under the Securities Act of 1933 except as shall be expressly set forth by specific reference in such filing.</w:t>
      </w:r>
      <w:r>
        <w:rPr>
          <w:rFonts w:ascii="Calibri" w:hAnsi="Calibri"/>
          <w:sz w:val="22"/>
        </w:rPr>
        <w:t xml:space="preserve"> </w:t>
      </w:r>
    </w:p>
    <w:p>
      <w:pPr>
        <w:pStyle w:val="TextBody"/>
        <w:bidi w:val="0"/>
        <w:spacing w:before="0" w:after="0"/>
        <w:jc w:val="left"/>
        <w:rPr/>
      </w:pPr>
      <w:r>
        <w:rPr/>
        <w:t xml:space="preserve">  </w:t>
      </w:r>
    </w:p>
    <w:p>
      <w:pPr>
        <w:pStyle w:val="HorizontalLine"/>
        <w:bidi w:val="0"/>
        <w:spacing w:before="0" w:after="200"/>
        <w:jc w:val="left"/>
        <w:rPr/>
      </w:pPr>
      <w:r>
        <w:rPr/>
      </w:r>
    </w:p>
    <w:p>
      <w:pPr>
        <w:pStyle w:val="TextBody"/>
        <w:bidi w:val="0"/>
        <w:spacing w:before="0" w:after="200"/>
        <w:jc w:val="left"/>
        <w:rPr>
          <w:rFonts w:ascii="Calibri" w:hAnsi="Calibri"/>
          <w:sz w:val="22"/>
        </w:rPr>
      </w:pPr>
      <w:r>
        <w:rPr>
          <w:rFonts w:ascii="Times New Roman" w:hAnsi="Times New Roman"/>
          <w:b/>
          <w:color w:val="000000"/>
          <w:sz w:val="20"/>
          <w:u w:val="single"/>
        </w:rPr>
        <w:t>Item 9.01.</w:t>
      </w:r>
      <w:r>
        <w:rPr>
          <w:rFonts w:ascii="Calibri" w:hAnsi="Calibri"/>
          <w:color w:val="000000"/>
          <w:sz w:val="22"/>
        </w:rPr>
        <w:t> </w:t>
      </w:r>
      <w:r>
        <w:rPr>
          <w:rFonts w:ascii="Times New Roman" w:hAnsi="Times New Roman"/>
          <w:b/>
          <w:color w:val="000000"/>
          <w:sz w:val="20"/>
          <w:u w:val="single"/>
        </w:rPr>
        <w:t>Financial Statements and Exhibits.</w:t>
      </w:r>
      <w:r>
        <w:rPr>
          <w:rFonts w:ascii="Calibri" w:hAnsi="Calibri"/>
          <w:sz w:val="22"/>
        </w:rPr>
        <w:t xml:space="preserve"> </w:t>
      </w:r>
    </w:p>
    <w:tbl>
      <w:tblPr>
        <w:tblW w:w="7614" w:type="dxa"/>
        <w:jc w:val="left"/>
        <w:tblInd w:w="0" w:type="dxa"/>
        <w:tblLayout w:type="fixed"/>
        <w:tblCellMar>
          <w:top w:w="28" w:type="dxa"/>
          <w:left w:w="28" w:type="dxa"/>
          <w:bottom w:w="28" w:type="dxa"/>
          <w:right w:w="28" w:type="dxa"/>
        </w:tblCellMar>
      </w:tblPr>
      <w:tblGrid>
        <w:gridCol w:w="221"/>
        <w:gridCol w:w="526"/>
        <w:gridCol w:w="206"/>
        <w:gridCol w:w="6661"/>
      </w:tblGrid>
      <w:tr>
        <w:trPr/>
        <w:tc>
          <w:tcPr>
            <w:tcW w:w="221" w:type="dxa"/>
            <w:tcBorders/>
            <w:vAlign w:val="center"/>
          </w:tcPr>
          <w:p>
            <w:pPr>
              <w:pStyle w:val="TableContents"/>
              <w:bidi w:val="0"/>
              <w:spacing w:before="0" w:after="283"/>
              <w:jc w:val="left"/>
              <w:rPr/>
            </w:pPr>
            <w:r>
              <w:rPr/>
              <w:t xml:space="preserve">  </w:t>
            </w:r>
          </w:p>
        </w:tc>
        <w:tc>
          <w:tcPr>
            <w:tcW w:w="526" w:type="dxa"/>
            <w:tcBorders/>
            <w:vAlign w:val="center"/>
          </w:tcPr>
          <w:p>
            <w:pPr>
              <w:pStyle w:val="TableContents"/>
              <w:bidi w:val="0"/>
              <w:spacing w:before="0" w:after="0"/>
              <w:jc w:val="left"/>
              <w:rPr/>
            </w:pPr>
            <w:r>
              <w:rPr>
                <w:rFonts w:ascii="Times New Roman" w:hAnsi="Times New Roman"/>
                <w:sz w:val="20"/>
              </w:rPr>
              <w:t>(d)</w:t>
            </w:r>
            <w:r>
              <w:rPr/>
              <w:t xml:space="preserve"> </w:t>
            </w:r>
          </w:p>
        </w:tc>
        <w:tc>
          <w:tcPr>
            <w:tcW w:w="206" w:type="dxa"/>
            <w:tcBorders/>
            <w:vAlign w:val="center"/>
          </w:tcPr>
          <w:p>
            <w:pPr>
              <w:pStyle w:val="TableContents"/>
              <w:bidi w:val="0"/>
              <w:spacing w:before="0" w:after="0"/>
              <w:jc w:val="left"/>
              <w:rPr/>
            </w:pPr>
            <w:r>
              <w:rPr/>
              <w:t xml:space="preserve">  </w:t>
            </w:r>
          </w:p>
        </w:tc>
        <w:tc>
          <w:tcPr>
            <w:tcW w:w="6661" w:type="dxa"/>
            <w:tcBorders/>
            <w:vAlign w:val="center"/>
          </w:tcPr>
          <w:p>
            <w:pPr>
              <w:pStyle w:val="TableContents"/>
              <w:bidi w:val="0"/>
              <w:spacing w:before="0" w:after="0"/>
              <w:jc w:val="left"/>
              <w:rPr/>
            </w:pPr>
            <w:r>
              <w:rPr/>
              <w:t> </w:t>
            </w:r>
            <w:r>
              <w:rPr>
                <w:rFonts w:ascii="Times New Roman" w:hAnsi="Times New Roman"/>
                <w:sz w:val="20"/>
              </w:rPr>
              <w:t>Exhibits</w:t>
            </w:r>
            <w:r>
              <w:rPr/>
              <w:t xml:space="preserve"> </w:t>
            </w:r>
          </w:p>
          <w:p>
            <w:pPr>
              <w:pStyle w:val="TableContents"/>
              <w:bidi w:val="0"/>
              <w:spacing w:before="0" w:after="0"/>
              <w:jc w:val="left"/>
              <w:rPr/>
            </w:pPr>
            <w:r>
              <w:rPr/>
              <w:t xml:space="preserve">  </w:t>
            </w:r>
          </w:p>
        </w:tc>
      </w:tr>
      <w:tr>
        <w:trPr/>
        <w:tc>
          <w:tcPr>
            <w:tcW w:w="221" w:type="dxa"/>
            <w:tcBorders/>
            <w:vAlign w:val="center"/>
          </w:tcPr>
          <w:p>
            <w:pPr>
              <w:pStyle w:val="TableContents"/>
              <w:bidi w:val="0"/>
              <w:spacing w:before="0" w:after="283"/>
              <w:jc w:val="left"/>
              <w:rPr/>
            </w:pPr>
            <w:r>
              <w:rPr/>
              <w:t xml:space="preserve">  </w:t>
            </w:r>
          </w:p>
        </w:tc>
        <w:tc>
          <w:tcPr>
            <w:tcW w:w="526" w:type="dxa"/>
            <w:tcBorders/>
            <w:vAlign w:val="center"/>
          </w:tcPr>
          <w:p>
            <w:pPr>
              <w:pStyle w:val="TableContents"/>
              <w:bidi w:val="0"/>
              <w:spacing w:before="0" w:after="0"/>
              <w:jc w:val="left"/>
              <w:rPr/>
            </w:pPr>
            <w:hyperlink w:anchor="new_id-0">
              <w:r>
                <w:rPr>
                  <w:rStyle w:val="InternetLink"/>
                  <w:rFonts w:ascii="Times New Roman" w:hAnsi="Times New Roman"/>
                  <w:sz w:val="20"/>
                  <w:u w:val="single"/>
                </w:rPr>
                <w:t>99.1</w:t>
              </w:r>
            </w:hyperlink>
            <w:r>
              <w:rPr/>
              <w:t xml:space="preserve"> </w:t>
            </w:r>
          </w:p>
        </w:tc>
        <w:tc>
          <w:tcPr>
            <w:tcW w:w="206" w:type="dxa"/>
            <w:tcBorders/>
            <w:vAlign w:val="center"/>
          </w:tcPr>
          <w:p>
            <w:pPr>
              <w:pStyle w:val="TableContents"/>
              <w:bidi w:val="0"/>
              <w:spacing w:before="0" w:after="0"/>
              <w:jc w:val="left"/>
              <w:rPr/>
            </w:pPr>
            <w:r>
              <w:rPr/>
              <w:t xml:space="preserve">  </w:t>
            </w:r>
          </w:p>
        </w:tc>
        <w:tc>
          <w:tcPr>
            <w:tcW w:w="6661" w:type="dxa"/>
            <w:tcBorders/>
            <w:vAlign w:val="center"/>
          </w:tcPr>
          <w:p>
            <w:pPr>
              <w:pStyle w:val="TableContents"/>
              <w:bidi w:val="0"/>
              <w:spacing w:before="0" w:after="0"/>
              <w:jc w:val="left"/>
              <w:rPr/>
            </w:pPr>
            <w:r>
              <w:rPr/>
              <w:t> </w:t>
            </w:r>
            <w:r>
              <w:rPr>
                <w:rFonts w:ascii="Times New Roman" w:hAnsi="Times New Roman"/>
                <w:sz w:val="20"/>
              </w:rPr>
              <w:t>Press Release dated August 26, 2026.</w:t>
            </w:r>
            <w:r>
              <w:rPr/>
              <w:t xml:space="preserve"> </w:t>
            </w:r>
          </w:p>
        </w:tc>
      </w:tr>
      <w:tr>
        <w:trPr/>
        <w:tc>
          <w:tcPr>
            <w:tcW w:w="221" w:type="dxa"/>
            <w:tcBorders/>
            <w:vAlign w:val="center"/>
          </w:tcPr>
          <w:p>
            <w:pPr>
              <w:pStyle w:val="TableContents"/>
              <w:bidi w:val="0"/>
              <w:spacing w:before="0" w:after="283"/>
              <w:jc w:val="left"/>
              <w:rPr/>
            </w:pPr>
            <w:r>
              <w:rPr/>
              <w:t xml:space="preserve">  </w:t>
            </w:r>
          </w:p>
        </w:tc>
        <w:tc>
          <w:tcPr>
            <w:tcW w:w="526" w:type="dxa"/>
            <w:tcBorders/>
            <w:vAlign w:val="center"/>
          </w:tcPr>
          <w:p>
            <w:pPr>
              <w:pStyle w:val="TableContents"/>
              <w:bidi w:val="0"/>
              <w:spacing w:before="0" w:after="0"/>
              <w:jc w:val="left"/>
              <w:rPr/>
            </w:pPr>
            <w:r>
              <w:fldChar w:fldCharType="begin"/>
            </w:r>
            <w:r>
              <w:rPr>
                <w:rStyle w:val="InternetLink"/>
                <w:sz w:val="20"/>
                <w:u w:val="single"/>
                <w:rFonts w:ascii="Times New Roman" w:hAnsi="Times New Roman"/>
              </w:rPr>
              <w:instrText xml:space="preserve"> HYPERLINK "plab8-K_3q-earn-exhibit99-2.pdf" \l "null"</w:instrText>
            </w:r>
            <w:r>
              <w:rPr>
                <w:rStyle w:val="InternetLink"/>
                <w:sz w:val="20"/>
                <w:u w:val="single"/>
                <w:rFonts w:ascii="Times New Roman" w:hAnsi="Times New Roman"/>
              </w:rPr>
              <w:fldChar w:fldCharType="separate"/>
            </w:r>
            <w:r>
              <w:rPr>
                <w:rStyle w:val="InternetLink"/>
                <w:rFonts w:ascii="Times New Roman" w:hAnsi="Times New Roman"/>
                <w:sz w:val="20"/>
                <w:u w:val="single"/>
              </w:rPr>
              <w:t>99.2</w:t>
            </w:r>
            <w:r>
              <w:rPr>
                <w:rStyle w:val="InternetLink"/>
                <w:sz w:val="20"/>
                <w:u w:val="single"/>
                <w:rFonts w:ascii="Times New Roman" w:hAnsi="Times New Roman"/>
              </w:rPr>
              <w:fldChar w:fldCharType="end"/>
            </w:r>
            <w:r>
              <w:rPr/>
              <w:t xml:space="preserve"> </w:t>
            </w:r>
          </w:p>
        </w:tc>
        <w:tc>
          <w:tcPr>
            <w:tcW w:w="206" w:type="dxa"/>
            <w:tcBorders/>
            <w:vAlign w:val="center"/>
          </w:tcPr>
          <w:p>
            <w:pPr>
              <w:pStyle w:val="TableContents"/>
              <w:bidi w:val="0"/>
              <w:spacing w:before="0" w:after="0"/>
              <w:jc w:val="left"/>
              <w:rPr/>
            </w:pPr>
            <w:r>
              <w:rPr/>
              <w:t xml:space="preserve">  </w:t>
            </w:r>
          </w:p>
        </w:tc>
        <w:tc>
          <w:tcPr>
            <w:tcW w:w="6661" w:type="dxa"/>
            <w:tcBorders/>
            <w:vAlign w:val="center"/>
          </w:tcPr>
          <w:p>
            <w:pPr>
              <w:pStyle w:val="TableContents"/>
              <w:bidi w:val="0"/>
              <w:spacing w:before="0" w:after="0"/>
              <w:jc w:val="left"/>
              <w:rPr/>
            </w:pPr>
            <w:r>
              <w:rPr>
                <w:rFonts w:ascii="Times New Roman" w:hAnsi="Times New Roman"/>
                <w:sz w:val="20"/>
              </w:rPr>
              <w:t>Photronics Q3 2026 Financial Results Conference Call August 26, 2026 slides.</w:t>
            </w:r>
            <w:r>
              <w:rPr/>
              <w:t xml:space="preserve"> </w:t>
            </w:r>
          </w:p>
        </w:tc>
      </w:tr>
      <w:tr>
        <w:trPr/>
        <w:tc>
          <w:tcPr>
            <w:tcW w:w="221" w:type="dxa"/>
            <w:tcBorders/>
            <w:vAlign w:val="center"/>
          </w:tcPr>
          <w:p>
            <w:pPr>
              <w:pStyle w:val="TableContents"/>
              <w:bidi w:val="0"/>
              <w:spacing w:before="0" w:after="0"/>
              <w:jc w:val="left"/>
              <w:rPr/>
            </w:pPr>
            <w:r>
              <w:rPr/>
              <w:t xml:space="preserve">  </w:t>
            </w:r>
          </w:p>
        </w:tc>
        <w:tc>
          <w:tcPr>
            <w:tcW w:w="526" w:type="dxa"/>
            <w:tcBorders/>
            <w:vAlign w:val="center"/>
          </w:tcPr>
          <w:p>
            <w:pPr>
              <w:pStyle w:val="TableContents"/>
              <w:bidi w:val="0"/>
              <w:spacing w:before="0" w:after="0"/>
              <w:jc w:val="left"/>
              <w:rPr/>
            </w:pPr>
            <w:r>
              <w:rPr>
                <w:rFonts w:ascii="Times New Roman" w:hAnsi="Times New Roman"/>
                <w:sz w:val="20"/>
                <w:u w:val="single"/>
              </w:rPr>
              <w:t>10.4</w:t>
            </w:r>
            <w:r>
              <w:rPr/>
              <w:t xml:space="preserve"> </w:t>
            </w:r>
          </w:p>
        </w:tc>
        <w:tc>
          <w:tcPr>
            <w:tcW w:w="206" w:type="dxa"/>
            <w:tcBorders/>
            <w:vAlign w:val="center"/>
          </w:tcPr>
          <w:p>
            <w:pPr>
              <w:pStyle w:val="TableContents"/>
              <w:bidi w:val="0"/>
              <w:spacing w:before="0" w:after="0"/>
              <w:jc w:val="left"/>
              <w:rPr/>
            </w:pPr>
            <w:r>
              <w:rPr/>
              <w:t xml:space="preserve">  </w:t>
            </w:r>
          </w:p>
        </w:tc>
        <w:tc>
          <w:tcPr>
            <w:tcW w:w="6661" w:type="dxa"/>
            <w:tcBorders/>
            <w:vAlign w:val="center"/>
          </w:tcPr>
          <w:p>
            <w:pPr>
              <w:pStyle w:val="TableContents"/>
              <w:bidi w:val="0"/>
              <w:spacing w:before="0" w:after="0"/>
              <w:jc w:val="left"/>
              <w:rPr/>
            </w:pPr>
            <w:r>
              <w:rPr>
                <w:rFonts w:ascii="Times New Roman" w:hAnsi="Times New Roman"/>
                <w:sz w:val="20"/>
              </w:rPr>
              <w:t>Cover Page Interactive Data File (embedded within the Inline XBLR document)</w:t>
            </w:r>
            <w:r>
              <w:rPr/>
              <w:t xml:space="preserve">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Calibri" w:hAnsi="Calibri"/>
          <w:sz w:val="22"/>
        </w:rPr>
      </w:pPr>
      <w:r>
        <w:rPr>
          <w:rFonts w:ascii="Times New Roman" w:hAnsi="Times New Roman"/>
          <w:b/>
          <w:sz w:val="22"/>
        </w:rPr>
        <w:t>SIGNATURES</w:t>
      </w:r>
      <w:r>
        <w:rPr>
          <w:rFonts w:ascii="Calibri" w:hAnsi="Calibri"/>
          <w:sz w:val="22"/>
        </w:rPr>
        <w:t xml:space="preserve"> </w:t>
      </w:r>
    </w:p>
    <w:p>
      <w:pPr>
        <w:pStyle w:val="TextBody"/>
        <w:bidi w:val="0"/>
        <w:spacing w:before="0" w:after="0"/>
        <w:jc w:val="left"/>
        <w:rPr>
          <w:rFonts w:ascii="Calibri" w:hAnsi="Calibri"/>
          <w:sz w:val="22"/>
        </w:rPr>
      </w:pPr>
      <w:r>
        <w:rPr>
          <w:rFonts w:ascii="Times New Roman" w:hAnsi="Times New Roman"/>
          <w:sz w:val="22"/>
        </w:rPr>
        <w:t>Pursuant to the requirements of the Securities Exchange Act of 1934, the Registrant has duly caused this report to be signed on its behalf by the undersigned hereunto duly authorized.</w:t>
      </w:r>
      <w:r>
        <w:rPr>
          <w:rFonts w:ascii="Calibri" w:hAnsi="Calibri"/>
          <w:sz w:val="22"/>
        </w:rPr>
        <w:t xml:space="preserve"> </w:t>
      </w:r>
    </w:p>
    <w:p>
      <w:pPr>
        <w:pStyle w:val="TextBody"/>
        <w:bidi w:val="0"/>
        <w:spacing w:before="0" w:after="200"/>
        <w:jc w:val="left"/>
        <w:rPr/>
      </w:pPr>
      <w:r>
        <w:rPr/>
        <w:t xml:space="preserve">  </w:t>
      </w:r>
    </w:p>
    <w:p>
      <w:pPr>
        <w:pStyle w:val="TextBody"/>
        <w:bidi w:val="0"/>
        <w:spacing w:before="0" w:after="0"/>
        <w:ind w:left="3600" w:right="0" w:firstLine="720"/>
        <w:jc w:val="left"/>
        <w:rPr>
          <w:rFonts w:ascii="Times New Roman" w:hAnsi="Times New Roman"/>
          <w:b/>
          <w:sz w:val="22"/>
        </w:rPr>
      </w:pPr>
      <w:r>
        <w:rPr>
          <w:rFonts w:ascii="Times New Roman" w:hAnsi="Times New Roman"/>
          <w:b/>
          <w:sz w:val="22"/>
        </w:rPr>
        <w:t xml:space="preserve">PHOTRONICS, INC. </w:t>
      </w:r>
    </w:p>
    <w:p>
      <w:pPr>
        <w:pStyle w:val="TextBody"/>
        <w:bidi w:val="0"/>
        <w:spacing w:before="0" w:after="0"/>
        <w:ind w:left="3600" w:right="0" w:firstLine="720"/>
        <w:jc w:val="left"/>
        <w:rPr>
          <w:rFonts w:ascii="Times New Roman" w:hAnsi="Times New Roman"/>
          <w:b/>
          <w:sz w:val="22"/>
        </w:rPr>
      </w:pPr>
      <w:r>
        <w:rPr>
          <w:rFonts w:ascii="Times New Roman" w:hAnsi="Times New Roman"/>
          <w:b/>
          <w:sz w:val="22"/>
        </w:rPr>
        <w:t xml:space="preserve">(Registrant) </w:t>
      </w:r>
    </w:p>
    <w:p>
      <w:pPr>
        <w:pStyle w:val="TextBody"/>
        <w:bidi w:val="0"/>
        <w:spacing w:before="0" w:after="200"/>
        <w:jc w:val="left"/>
        <w:rPr/>
      </w:pPr>
      <w:r>
        <w:rPr/>
        <w:t xml:space="preserve">  </w:t>
      </w:r>
    </w:p>
    <w:p>
      <w:pPr>
        <w:pStyle w:val="TextBody"/>
        <w:bidi w:val="0"/>
        <w:spacing w:before="0" w:after="0"/>
        <w:ind w:left="3600" w:right="0" w:firstLine="720"/>
        <w:jc w:val="left"/>
        <w:rPr>
          <w:rFonts w:ascii="Calibri" w:hAnsi="Calibri"/>
          <w:sz w:val="22"/>
        </w:rPr>
      </w:pPr>
      <w:r>
        <w:rPr>
          <w:rFonts w:ascii="Times New Roman" w:hAnsi="Times New Roman"/>
          <w:sz w:val="22"/>
        </w:rPr>
        <w:t xml:space="preserve">By: </w:t>
      </w:r>
      <w:r>
        <w:rPr>
          <w:rFonts w:ascii="Times New Roman" w:hAnsi="Times New Roman"/>
          <w:sz w:val="22"/>
          <w:u w:val="single"/>
        </w:rPr>
        <w:t>/s/ Christopher J. Lutzo</w:t>
      </w:r>
      <w:r>
        <w:rPr>
          <w:rFonts w:ascii="Calibri" w:hAnsi="Calibri"/>
          <w:sz w:val="22"/>
        </w:rPr>
        <w:t xml:space="preserve"> </w:t>
      </w:r>
    </w:p>
    <w:p>
      <w:pPr>
        <w:pStyle w:val="TextBody"/>
        <w:bidi w:val="0"/>
        <w:spacing w:before="0" w:after="0"/>
        <w:jc w:val="left"/>
        <w:rPr>
          <w:rFonts w:ascii="Calibri" w:hAnsi="Calibri"/>
          <w:sz w:val="22"/>
        </w:rPr>
      </w:pPr>
      <w:r>
        <w:rPr>
          <w:rFonts w:ascii="Times New Roman" w:hAnsi="Times New Roman"/>
          <w:sz w:val="22"/>
        </w:rPr>
        <w:t>Christopher J. Lutzo</w:t>
      </w:r>
      <w:r>
        <w:rPr>
          <w:rFonts w:ascii="Calibri" w:hAnsi="Calibri"/>
          <w:sz w:val="22"/>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6"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7"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8"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9"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0"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1"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914400" cy="175260"/>
                <wp:effectExtent l="0" t="0" r="0" b="0"/>
                <wp:wrapSquare wrapText="right"/>
                <wp:docPr id="12" name="Frame1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rFonts w:ascii="Times New Roman" w:hAnsi="Times New Roman"/>
                              </w:rPr>
                              <w:t>Name:</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Name:</w:t>
                      </w:r>
                      <w:r>
                        <w:rPr/>
                        <w:t xml:space="preserve"> </w:t>
                      </w:r>
                    </w:p>
                  </w:txbxContent>
                </v:textbox>
                <w10:wrap type="square" side="right"/>
              </v:rect>
            </w:pict>
          </mc:Fallback>
        </mc:AlternateContent>
      </w:r>
    </w:p>
    <w:p>
      <w:pPr>
        <w:pStyle w:val="TextBody"/>
        <w:bidi w:val="0"/>
        <w:spacing w:before="0" w:after="0"/>
        <w:ind w:left="0" w:right="0" w:hanging="2880"/>
        <w:jc w:val="left"/>
        <w:rPr>
          <w:rFonts w:ascii="Times New Roman" w:hAnsi="Times New Roman"/>
          <w:sz w:val="22"/>
        </w:rPr>
      </w:pPr>
      <w:r>
        <w:rPr>
          <w:rFonts w:ascii="Times New Roman" w:hAnsi="Times New Roman"/>
          <w:sz w:val="22"/>
        </w:rPr>
        <w:t xml:space="preserve">Vice President,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828800" cy="175260"/>
                <wp:effectExtent l="0" t="0" r="0" b="0"/>
                <wp:wrapSquare wrapText="right"/>
                <wp:docPr id="13" name="Frame12"/>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4"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5"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6"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rPr>
                              <w:t>Title: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rPr>
                        <w:t>Title:</w:t>
                      </w:r>
                      <w:r>
                        <w:rPr/>
                        <w:t xml:space="preserve"> </w:t>
                      </w:r>
                    </w:p>
                  </w:txbxContent>
                </v:textbox>
                <w10:wrap type="square" side="right"/>
              </v:rect>
            </w:pict>
          </mc:Fallback>
        </mc:AlternateContent>
      </w:r>
    </w:p>
    <w:p>
      <w:pPr>
        <w:pStyle w:val="TextBody"/>
        <w:bidi w:val="0"/>
        <w:spacing w:before="0" w:after="0"/>
        <w:ind w:left="4320" w:right="0" w:firstLine="720"/>
        <w:jc w:val="left"/>
        <w:rPr>
          <w:rFonts w:ascii="Calibri" w:hAnsi="Calibri"/>
          <w:sz w:val="22"/>
        </w:rPr>
      </w:pPr>
      <w:r>
        <w:rPr>
          <w:rFonts w:ascii="Times New Roman" w:hAnsi="Times New Roman"/>
          <w:sz w:val="22"/>
        </w:rPr>
        <w:t>General Counsel and Secretary</w:t>
      </w:r>
      <w:r>
        <w:rPr>
          <w:rFonts w:ascii="Calibri" w:hAnsi="Calibri"/>
          <w:sz w:val="22"/>
        </w:rPr>
        <w:t xml:space="preserve"> </w:t>
      </w:r>
    </w:p>
    <w:p>
      <w:pPr>
        <w:pStyle w:val="TextBody"/>
        <w:bidi w:val="0"/>
        <w:spacing w:before="0" w:after="0"/>
        <w:ind w:left="4320" w:right="0" w:hanging="0"/>
        <w:jc w:val="left"/>
        <w:rPr/>
      </w:pPr>
      <w:r>
        <w:rPr/>
        <w:t xml:space="preserve">  </w:t>
      </w:r>
    </w:p>
    <w:p>
      <w:pPr>
        <w:pStyle w:val="TextBody"/>
        <w:bidi w:val="0"/>
        <w:spacing w:before="0" w:after="200"/>
        <w:jc w:val="left"/>
        <w:rPr>
          <w:rFonts w:ascii="Calibri" w:hAnsi="Calibri"/>
          <w:sz w:val="22"/>
        </w:rPr>
      </w:pPr>
      <w:r>
        <w:rPr>
          <w:rFonts w:ascii="Times New Roman" w:hAnsi="Times New Roman"/>
          <w:sz w:val="22"/>
        </w:rPr>
        <w:t>Date:  August 26, 2026</w:t>
      </w:r>
      <w:r>
        <w:rPr>
          <w:rFonts w:ascii="Calibri" w:hAnsi="Calibri"/>
          <w:sz w:val="22"/>
        </w:rPr>
        <w:t xml:space="preserve"> </w:t>
      </w:r>
    </w:p>
    <w:p>
      <w:pPr>
        <w:pStyle w:val="TextBody"/>
        <w:bidi w:val="0"/>
        <w:spacing w:before="0" w:after="240"/>
        <w:ind w:left="0" w:right="0" w:hanging="0"/>
        <w:jc w:val="left"/>
        <w:rPr/>
      </w:pPr>
      <w:bookmarkStart w:id="2" w:name="plabQ32026EarningsEx99-1PR.htm"/>
      <w:bookmarkStart w:id="3" w:name="ksplabQ32026EarningsEx991PR"/>
      <w:bookmarkEnd w:id="2"/>
      <w:bookmarkEnd w:id="3"/>
      <w:r>
        <w:rPr/>
        <w:drawing>
          <wp:inline distT="0" distB="0" distL="0" distR="0">
            <wp:extent cx="1082675" cy="1193165"/>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1082675" cy="1193165"/>
                    </a:xfrm>
                    <a:prstGeom prst="rect">
                      <a:avLst/>
                    </a:prstGeom>
                  </pic:spPr>
                </pic:pic>
              </a:graphicData>
            </a:graphic>
          </wp:inline>
        </w:drawing>
      </w:r>
      <w:r>
        <w:rPr/>
        <w:t xml:space="preserve"> </w:t>
      </w:r>
      <w:r>
        <w:br w:type="page"/>
      </w:r>
    </w:p>
    <w:p>
      <w:pPr>
        <w:pStyle w:val="TextBody"/>
        <w:bidi w:val="0"/>
        <w:spacing w:before="0" w:after="0"/>
        <w:ind w:left="0" w:right="0" w:hanging="0"/>
        <w:jc w:val="center"/>
        <w:rPr>
          <w:rFonts w:ascii="Arial" w:hAnsi="Arial"/>
          <w:b/>
          <w:sz w:val="32"/>
        </w:rPr>
      </w:pPr>
      <w:r>
        <w:rPr>
          <w:rFonts w:ascii="Calibri" w:hAnsi="Calibri"/>
          <w:b/>
          <w:sz w:val="32"/>
        </w:rPr>
        <w:t>Photronics Reports Third Quarter 2026 Results</w:t>
      </w:r>
      <w:r>
        <w:rPr>
          <w:rFonts w:ascii="Arial" w:hAnsi="Arial"/>
          <w:b/>
          <w:sz w:val="32"/>
        </w:rPr>
        <w:t xml:space="preserve"> </w:t>
      </w:r>
    </w:p>
    <w:p>
      <w:pPr>
        <w:pStyle w:val="TextBody"/>
        <w:bidi w:val="0"/>
        <w:spacing w:before="0" w:after="0"/>
        <w:jc w:val="left"/>
        <w:rPr/>
      </w:pPr>
      <w:r>
        <w:rPr/>
        <w:t xml:space="preserve">  </w:t>
      </w:r>
    </w:p>
    <w:p>
      <w:pPr>
        <w:pStyle w:val="TextBody"/>
        <w:bidi w:val="0"/>
        <w:spacing w:lineRule="auto" w:line="422" w:before="0" w:after="240"/>
        <w:ind w:left="0" w:right="0" w:hanging="0"/>
        <w:jc w:val="both"/>
        <w:rPr>
          <w:sz w:val="24"/>
        </w:rPr>
      </w:pPr>
      <w:r>
        <w:rPr>
          <w:sz w:val="22"/>
        </w:rPr>
        <w:t>BROOKFIELD, Conn. August 26, 2026 (GLOBE NEWSWIRE) — Photronics, Inc.</w:t>
      </w:r>
      <w:r>
        <w:rPr>
          <w:sz w:val="24"/>
        </w:rPr>
        <w:t> </w:t>
      </w:r>
      <w:r>
        <w:rPr>
          <w:sz w:val="22"/>
        </w:rPr>
        <w:t>(NASDAQ:PLAB), a worldwide leader in photomask technologies and solutions, today reported financial results for its third quarter of fiscal year 2026 ended August 2, 2026.</w:t>
      </w:r>
      <w:r>
        <w:rPr>
          <w:sz w:val="24"/>
        </w:rPr>
        <w:t xml:space="preserve"> </w:t>
      </w:r>
    </w:p>
    <w:p>
      <w:pPr>
        <w:pStyle w:val="TextBody"/>
        <w:bidi w:val="0"/>
        <w:spacing w:lineRule="auto" w:line="422" w:before="240" w:after="240"/>
        <w:ind w:left="0" w:right="0" w:hanging="0"/>
        <w:jc w:val="both"/>
        <w:rPr/>
      </w:pPr>
      <w:r>
        <w:rPr>
          <w:sz w:val="22"/>
        </w:rPr>
        <w:t>Commenting on the third quarter performance, Chairman and CEO George Macricostas said, “We are pleased to recognize a recovery of some of the temporarily delayed semiconductor design releases that occurred back in our fiscal Q2. Continued high fab utilization rates throughout the industry have been a positive influence toward node migration trends, resulting in a record percentage for our high-end I.C. business at 44% of total I.C. revenue. Our investments in the U.S. and Korea remain on track as we continue to strengthen our position at the high end of the market over the coming years.”</w:t>
      </w:r>
      <w:r>
        <w:rPr/>
        <w:t xml:space="preserve"> </w:t>
      </w:r>
    </w:p>
    <w:p>
      <w:pPr>
        <w:pStyle w:val="TextBody"/>
        <w:bidi w:val="0"/>
        <w:spacing w:lineRule="auto" w:line="422" w:before="240" w:after="283"/>
        <w:jc w:val="both"/>
        <w:rPr>
          <w:sz w:val="24"/>
        </w:rPr>
      </w:pPr>
      <w:r>
        <w:rPr>
          <w:b/>
          <w:sz w:val="22"/>
        </w:rPr>
        <w:t>Third Quarter Fiscal 2026 Results</w:t>
      </w:r>
      <w:r>
        <w:rPr>
          <w:sz w:val="24"/>
        </w:rPr>
        <w:t xml:space="preserve"> </w:t>
      </w:r>
    </w:p>
    <w:p>
      <w:pPr>
        <w:pStyle w:val="TextBody"/>
        <w:bidi w:val="0"/>
        <w:spacing w:before="0" w:after="0"/>
        <w:ind w:left="360" w:right="0" w:hanging="0"/>
        <w:jc w:val="left"/>
        <w:rPr/>
      </w:pPr>
      <w:r>
        <w:rPr/>
        <w:t xml:space="preserve">• </w:t>
      </w:r>
    </w:p>
    <w:p>
      <w:pPr>
        <w:pStyle w:val="TextBody"/>
        <w:bidi w:val="0"/>
        <w:spacing w:before="0" w:after="0"/>
        <w:ind w:left="1080" w:right="0" w:hanging="0"/>
        <w:jc w:val="both"/>
        <w:rPr>
          <w:sz w:val="22"/>
        </w:rPr>
      </w:pPr>
      <w:r>
        <w:rPr>
          <w:sz w:val="22"/>
        </w:rPr>
        <w:t xml:space="preserve">Revenue was $216.0 million, an increase of 2.7% year-over-year and 2.9% sequentially. </w:t>
      </w:r>
    </w:p>
    <w:p>
      <w:pPr>
        <w:pStyle w:val="TextBody"/>
        <w:bidi w:val="0"/>
        <w:spacing w:before="0" w:after="0"/>
        <w:ind w:left="360" w:right="0" w:hanging="0"/>
        <w:jc w:val="left"/>
        <w:rPr/>
      </w:pPr>
      <w:r>
        <w:rPr/>
        <w:t xml:space="preserve">• </w:t>
      </w:r>
    </w:p>
    <w:p>
      <w:pPr>
        <w:pStyle w:val="TextBody"/>
        <w:bidi w:val="0"/>
        <w:spacing w:before="0" w:after="0"/>
        <w:ind w:left="1080" w:right="0" w:hanging="0"/>
        <w:jc w:val="both"/>
        <w:rPr>
          <w:sz w:val="22"/>
        </w:rPr>
      </w:pPr>
      <w:r>
        <w:rPr>
          <w:sz w:val="22"/>
        </w:rPr>
        <w:t xml:space="preserve">GAAP Net income attributable to Photronics, Inc. shareholders was $28.9 million, or $0.49 per diluted share, compared with $22.9 million, or $0.39 per diluted share, in the third quarter of 2025 and $31.4 million, or $0.54 per diluted share, in the second quarter of 2026. </w:t>
      </w:r>
    </w:p>
    <w:p>
      <w:pPr>
        <w:pStyle w:val="TextBody"/>
        <w:bidi w:val="0"/>
        <w:spacing w:before="0" w:after="0"/>
        <w:ind w:left="360" w:right="0" w:hanging="0"/>
        <w:jc w:val="left"/>
        <w:rPr/>
      </w:pPr>
      <w:r>
        <w:rPr/>
        <w:t xml:space="preserve">• </w:t>
      </w:r>
    </w:p>
    <w:p>
      <w:pPr>
        <w:pStyle w:val="TextBody"/>
        <w:bidi w:val="0"/>
        <w:spacing w:before="0" w:after="0"/>
        <w:ind w:left="1080" w:right="0" w:hanging="0"/>
        <w:jc w:val="both"/>
        <w:rPr>
          <w:sz w:val="22"/>
        </w:rPr>
      </w:pPr>
      <w:r>
        <w:rPr>
          <w:sz w:val="22"/>
        </w:rPr>
        <w:t xml:space="preserve">Non-GAAP Net income attributable to Photronics, Inc. shareholders was $29.4 million, or $0.50 per diluted share, compared with $29.4 million, or $0.51 per diluted share in the third quarter of 2025 and $24.9 million, or $0.42 per diluted share, in the second quarter of 2026. </w:t>
      </w:r>
    </w:p>
    <w:p>
      <w:pPr>
        <w:pStyle w:val="TextBody"/>
        <w:bidi w:val="0"/>
        <w:spacing w:before="0" w:after="0"/>
        <w:ind w:left="360" w:right="0" w:hanging="0"/>
        <w:jc w:val="left"/>
        <w:rPr/>
      </w:pPr>
      <w:r>
        <w:rPr/>
        <w:t xml:space="preserve">• </w:t>
      </w:r>
    </w:p>
    <w:p>
      <w:pPr>
        <w:pStyle w:val="TextBody"/>
        <w:bidi w:val="0"/>
        <w:spacing w:before="0" w:after="0"/>
        <w:ind w:left="1080" w:right="0" w:hanging="0"/>
        <w:jc w:val="both"/>
        <w:rPr>
          <w:sz w:val="22"/>
        </w:rPr>
      </w:pPr>
      <w:r>
        <w:rPr>
          <w:sz w:val="22"/>
        </w:rPr>
        <w:t xml:space="preserve">IC revenue was $154.7 million, an increase of 5% both year-over-year and sequentially. </w:t>
      </w:r>
    </w:p>
    <w:p>
      <w:pPr>
        <w:pStyle w:val="TextBody"/>
        <w:bidi w:val="0"/>
        <w:spacing w:before="0" w:after="0"/>
        <w:ind w:left="360" w:right="0" w:hanging="0"/>
        <w:jc w:val="left"/>
        <w:rPr/>
      </w:pPr>
      <w:r>
        <w:rPr/>
        <w:t xml:space="preserve">• </w:t>
      </w:r>
    </w:p>
    <w:p>
      <w:pPr>
        <w:pStyle w:val="TextBody"/>
        <w:bidi w:val="0"/>
        <w:spacing w:before="0" w:after="0"/>
        <w:ind w:left="1080" w:right="0" w:hanging="0"/>
        <w:jc w:val="both"/>
        <w:rPr>
          <w:sz w:val="22"/>
        </w:rPr>
      </w:pPr>
      <w:r>
        <w:rPr>
          <w:sz w:val="22"/>
        </w:rPr>
        <w:t xml:space="preserve">FPD revenue was $61.4 million, a decrease of 2% both year-over-year and sequentially. </w:t>
      </w:r>
    </w:p>
    <w:p>
      <w:pPr>
        <w:pStyle w:val="TextBody"/>
        <w:bidi w:val="0"/>
        <w:spacing w:before="0" w:after="0"/>
        <w:ind w:left="360" w:right="0" w:hanging="0"/>
        <w:jc w:val="left"/>
        <w:rPr/>
      </w:pPr>
      <w:r>
        <w:rPr/>
        <w:t xml:space="preserve">• </w:t>
      </w:r>
    </w:p>
    <w:p>
      <w:pPr>
        <w:pStyle w:val="TextBody"/>
        <w:bidi w:val="0"/>
        <w:spacing w:before="0" w:after="0"/>
        <w:ind w:left="1080" w:right="0" w:hanging="0"/>
        <w:jc w:val="both"/>
        <w:rPr>
          <w:sz w:val="22"/>
        </w:rPr>
      </w:pPr>
      <w:r>
        <w:rPr>
          <w:sz w:val="22"/>
        </w:rPr>
        <w:t xml:space="preserve">Cash, cash equivalents and short-term investments at the end of the quarter were $672.8 million, of which $503.5 million was associated with our Joint Ventures, of which we own 50.01%. </w:t>
      </w:r>
    </w:p>
    <w:p>
      <w:pPr>
        <w:pStyle w:val="TextBody"/>
        <w:bidi w:val="0"/>
        <w:spacing w:before="0" w:after="0"/>
        <w:ind w:left="360" w:right="0" w:hanging="0"/>
        <w:jc w:val="left"/>
        <w:rPr/>
      </w:pPr>
      <w:r>
        <w:rPr/>
        <w:t xml:space="preserve">• </w:t>
      </w:r>
    </w:p>
    <w:p>
      <w:pPr>
        <w:pStyle w:val="TextBody"/>
        <w:bidi w:val="0"/>
        <w:spacing w:before="0" w:after="0"/>
        <w:ind w:left="1080" w:right="0" w:hanging="0"/>
        <w:jc w:val="both"/>
        <w:rPr>
          <w:sz w:val="22"/>
        </w:rPr>
      </w:pPr>
      <w:r>
        <w:rPr>
          <w:sz w:val="22"/>
        </w:rPr>
        <w:t xml:space="preserve">Cash generated from operating activities was $76.3 million, and cash invested in organic growth through capital expenditures was $37.0 million. </w:t>
      </w:r>
    </w:p>
    <w:p>
      <w:pPr>
        <w:pStyle w:val="TextBody"/>
        <w:bidi w:val="0"/>
        <w:spacing w:lineRule="auto" w:line="422" w:before="240" w:after="120"/>
        <w:jc w:val="both"/>
        <w:rPr/>
      </w:pPr>
      <w:r>
        <w:rPr>
          <w:b/>
          <w:sz w:val="22"/>
        </w:rPr>
        <w:t>Fourth Quarter Fiscal 2026 Guidance</w:t>
      </w:r>
      <w:r>
        <w:rPr/>
        <w:t xml:space="preserve"> </w:t>
      </w:r>
    </w:p>
    <w:p>
      <w:pPr>
        <w:pStyle w:val="TextBody"/>
        <w:bidi w:val="0"/>
        <w:spacing w:before="0" w:after="120"/>
        <w:jc w:val="both"/>
        <w:rPr/>
      </w:pPr>
      <w:r>
        <w:rPr>
          <w:sz w:val="22"/>
        </w:rPr>
        <w:t>For the fourth quarter of fiscal 2026, Photronics expects:</w:t>
      </w:r>
      <w:r>
        <w:rPr/>
        <w:t xml:space="preserve"> </w:t>
      </w:r>
    </w:p>
    <w:p>
      <w:pPr>
        <w:pStyle w:val="TextBody"/>
        <w:bidi w:val="0"/>
        <w:spacing w:before="0" w:after="0"/>
        <w:ind w:left="360" w:right="0" w:hanging="0"/>
        <w:jc w:val="left"/>
        <w:rPr/>
      </w:pPr>
      <w:r>
        <w:rPr/>
        <w:t xml:space="preserve">• </w:t>
      </w:r>
    </w:p>
    <w:p>
      <w:pPr>
        <w:pStyle w:val="TextBody"/>
        <w:bidi w:val="0"/>
        <w:spacing w:before="0" w:after="0"/>
        <w:ind w:left="1080" w:right="0" w:hanging="0"/>
        <w:jc w:val="both"/>
        <w:rPr>
          <w:sz w:val="22"/>
        </w:rPr>
      </w:pPr>
      <w:r>
        <w:rPr>
          <w:sz w:val="22"/>
        </w:rPr>
        <w:t xml:space="preserve">Revenue to be between $207 million and $227 million, </w:t>
      </w:r>
    </w:p>
    <w:p>
      <w:pPr>
        <w:pStyle w:val="TextBody"/>
        <w:bidi w:val="0"/>
        <w:spacing w:before="0" w:after="0"/>
        <w:ind w:left="360" w:right="0" w:hanging="0"/>
        <w:jc w:val="left"/>
        <w:rPr/>
      </w:pPr>
      <w:r>
        <w:rPr/>
        <w:t xml:space="preserve">• </w:t>
      </w:r>
    </w:p>
    <w:p>
      <w:pPr>
        <w:pStyle w:val="TextBody"/>
        <w:bidi w:val="0"/>
        <w:spacing w:before="0" w:after="0"/>
        <w:ind w:left="1080" w:right="0" w:hanging="0"/>
        <w:jc w:val="both"/>
        <w:rPr>
          <w:sz w:val="22"/>
        </w:rPr>
      </w:pPr>
      <w:r>
        <w:rPr>
          <w:sz w:val="22"/>
        </w:rPr>
        <w:t xml:space="preserve">Operating margin to be between 19% and 24%, and </w:t>
      </w:r>
    </w:p>
    <w:p>
      <w:pPr>
        <w:pStyle w:val="TextBody"/>
        <w:bidi w:val="0"/>
        <w:spacing w:before="0" w:after="0"/>
        <w:ind w:left="360" w:right="0" w:hanging="0"/>
        <w:jc w:val="left"/>
        <w:rPr/>
      </w:pPr>
      <w:r>
        <w:rPr/>
        <w:t xml:space="preserve">• </w:t>
      </w:r>
    </w:p>
    <w:p>
      <w:pPr>
        <w:pStyle w:val="TextBody"/>
        <w:bidi w:val="0"/>
        <w:spacing w:before="0" w:after="0"/>
        <w:ind w:left="1080" w:right="0" w:hanging="0"/>
        <w:jc w:val="both"/>
        <w:rPr>
          <w:sz w:val="22"/>
        </w:rPr>
      </w:pPr>
      <w:r>
        <w:rPr>
          <w:sz w:val="22"/>
        </w:rPr>
        <w:t xml:space="preserve">Non-GAAP diluted EPS attributable to Photronics, Inc. shareholders to be between $0.40 and $0.56 per share. </w:t>
      </w:r>
    </w:p>
    <w:p>
      <w:pPr>
        <w:pStyle w:val="TextBody"/>
        <w:bidi w:val="0"/>
        <w:spacing w:before="120" w:after="120"/>
        <w:jc w:val="both"/>
        <w:rPr>
          <w:sz w:val="24"/>
        </w:rPr>
      </w:pPr>
      <w:r>
        <w:rPr>
          <w:sz w:val="22"/>
        </w:rPr>
        <w:t>Estimated Non-GAAP diluted earnings per share attributable to Photronics, Inc. shareholders is a Non-GAAP financial measure. Please refer to “Non-GAAP Financial Measures” below for details regarding this measure, as well as the tables providing a reconciliation of historical non-GAAP financial measures to the most comparable U.S. GAAP measures.</w:t>
      </w:r>
      <w:r>
        <w:rPr>
          <w:sz w:val="24"/>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422" w:before="120" w:after="120"/>
        <w:jc w:val="both"/>
        <w:rPr>
          <w:sz w:val="24"/>
        </w:rPr>
      </w:pPr>
      <w:r>
        <w:rPr>
          <w:b/>
          <w:sz w:val="22"/>
        </w:rPr>
        <w:t>Earnings Conference Call and Webcast</w:t>
      </w:r>
      <w:r>
        <w:rPr>
          <w:sz w:val="24"/>
        </w:rPr>
        <w:t xml:space="preserve"> </w:t>
      </w:r>
    </w:p>
    <w:p>
      <w:pPr>
        <w:pStyle w:val="TextBody"/>
        <w:bidi w:val="0"/>
        <w:spacing w:before="0" w:after="120"/>
        <w:jc w:val="both"/>
        <w:rPr>
          <w:sz w:val="24"/>
        </w:rPr>
      </w:pPr>
      <w:r>
        <w:rPr>
          <w:sz w:val="22"/>
        </w:rPr>
        <w:t>An earnings conference call and webcast to discuss these results is scheduled for 8:30 a.m. Eastern time on August 26, 2026. The call will be broadcast live and on-demand on the Events and Presentations</w:t>
      </w:r>
      <w:r>
        <w:rPr>
          <w:sz w:val="24"/>
        </w:rPr>
        <w:t xml:space="preserve"> </w:t>
      </w:r>
      <w:r>
        <w:rPr>
          <w:sz w:val="22"/>
        </w:rPr>
        <w:t xml:space="preserve">link on the Photronics website. Analysts and investors who wish to participate in the Q&amp;A portion of the call should click </w:t>
      </w:r>
      <w:r>
        <w:rPr>
          <w:sz w:val="24"/>
        </w:rPr>
        <w:t>Conference Registration</w:t>
      </w:r>
      <w:r>
        <w:rPr>
          <w:sz w:val="22"/>
        </w:rPr>
        <w:t>. It is suggested that participants register fifteen minutes prior to the call's scheduled start time.</w:t>
      </w:r>
      <w:r>
        <w:rPr>
          <w:sz w:val="24"/>
        </w:rPr>
        <w:t xml:space="preserve">  </w:t>
      </w:r>
    </w:p>
    <w:p>
      <w:pPr>
        <w:pStyle w:val="TextBody"/>
        <w:bidi w:val="0"/>
        <w:spacing w:before="0" w:after="240"/>
        <w:ind w:left="0" w:right="0" w:hanging="0"/>
        <w:jc w:val="both"/>
        <w:rPr>
          <w:sz w:val="24"/>
        </w:rPr>
      </w:pPr>
      <w:r>
        <w:rPr>
          <w:b/>
          <w:sz w:val="22"/>
        </w:rPr>
        <w:t>About Photronics</w:t>
      </w:r>
      <w:r>
        <w:rPr>
          <w:sz w:val="24"/>
        </w:rPr>
        <w:t xml:space="preserve"> </w:t>
      </w:r>
    </w:p>
    <w:p>
      <w:pPr>
        <w:pStyle w:val="TextBody"/>
        <w:bidi w:val="0"/>
        <w:spacing w:before="0" w:after="240"/>
        <w:jc w:val="both"/>
        <w:rPr/>
      </w:pPr>
      <w:r>
        <w:rPr>
          <w:sz w:val="18"/>
        </w:rPr>
        <w:t>Photronics</w:t>
      </w:r>
      <w:r>
        <w:rPr/>
        <w:t xml:space="preserve"> </w:t>
      </w:r>
      <w:r>
        <w:rPr>
          <w:sz w:val="18"/>
        </w:rPr>
        <w:t>is a leading worldwide manufacturer of integrated circuit (IC) and flat panel display (FPD) photomasks</w:t>
      </w:r>
      <w:r>
        <w:rPr/>
        <w:t>, </w:t>
      </w:r>
      <w:r>
        <w:rPr>
          <w:sz w:val="18"/>
        </w:rPr>
        <w:t>which are high precision photographic quartz or glass plates that contain microscopic images of electronic circuits. Photomasks are a key element in the manufacture of ICs and FPDs and are used as masters to transfer circuit patterns onto semiconductor wafers and FPD substrates. Founded in 1969, Photronics has been a trusted photomask supplier for over 56 years. The company operates 11 strategically located manufacturing facilities</w:t>
      </w:r>
      <w:r>
        <w:rPr/>
        <w:t> </w:t>
      </w:r>
      <w:r>
        <w:rPr>
          <w:sz w:val="18"/>
        </w:rPr>
        <w:t>in Asia, Europe, and North America. Additional information on the company can be accessed at www.photronics.com</w:t>
      </w:r>
      <w:r>
        <w:rPr>
          <w:color w:val="0000FF"/>
          <w:sz w:val="18"/>
          <w:u w:val="single"/>
        </w:rPr>
        <w:t>.</w:t>
      </w:r>
      <w:r>
        <w:rPr/>
        <w:t xml:space="preserve"> </w:t>
      </w:r>
    </w:p>
    <w:p>
      <w:pPr>
        <w:pStyle w:val="TextBody"/>
        <w:bidi w:val="0"/>
        <w:spacing w:before="0" w:after="240"/>
        <w:ind w:left="0" w:right="0" w:hanging="0"/>
        <w:jc w:val="left"/>
        <w:rPr>
          <w:sz w:val="24"/>
        </w:rPr>
      </w:pPr>
      <w:r>
        <w:rPr>
          <w:b/>
          <w:sz w:val="22"/>
        </w:rPr>
        <w:t>Forward-Looking Statements</w:t>
      </w:r>
      <w:r>
        <w:rPr>
          <w:sz w:val="24"/>
        </w:rPr>
        <w:t xml:space="preserve"> </w:t>
      </w:r>
    </w:p>
    <w:p>
      <w:pPr>
        <w:pStyle w:val="TextBody"/>
        <w:bidi w:val="0"/>
        <w:spacing w:before="0" w:after="240"/>
        <w:ind w:left="0" w:right="0" w:hanging="0"/>
        <w:jc w:val="both"/>
        <w:rPr/>
      </w:pPr>
      <w:r>
        <w:rPr>
          <w:sz w:val="16"/>
        </w:rPr>
        <w:t>Certain statements in this press release constitute “forward-looking statements” regarding our industry, our strategic position, and our financial and operating results.  These forward-looking statements are subject to a number of risks and uncertainties that could cause actual results, performance or achievements to differ materially.  </w:t>
      </w:r>
      <w:r>
        <w:rPr>
          <w:color w:val="000000"/>
          <w:sz w:val="16"/>
        </w:rPr>
        <w:t>Please refer to Item 1A “Risk Factors” in our Annual Report on Form 10-K for the fiscal year ended October 31, 2025 and other subsequent filings with the Securities and Exchange Commission. These documents contain and identify important factors that could cause our actual results to differ materially from those contained in these forward-looking statements.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r>
        <w:rPr/>
        <w:t xml:space="preserve">  </w:t>
      </w:r>
    </w:p>
    <w:p>
      <w:pPr>
        <w:pStyle w:val="TextBody"/>
        <w:bidi w:val="0"/>
        <w:spacing w:before="0" w:after="240"/>
        <w:ind w:left="0" w:right="0" w:hanging="0"/>
        <w:jc w:val="both"/>
        <w:rPr/>
      </w:pPr>
      <w:r>
        <w:rPr>
          <w:b/>
          <w:sz w:val="22"/>
        </w:rPr>
        <w:t>Non-GAAP Financial Measures</w:t>
      </w:r>
      <w:r>
        <w:rPr/>
        <w:t xml:space="preserve"> </w:t>
      </w:r>
    </w:p>
    <w:p>
      <w:pPr>
        <w:pStyle w:val="TextBody"/>
        <w:bidi w:val="0"/>
        <w:spacing w:before="0" w:after="240"/>
        <w:ind w:left="0" w:right="0" w:hanging="0"/>
        <w:jc w:val="both"/>
        <w:rPr>
          <w:sz w:val="16"/>
        </w:rPr>
      </w:pPr>
      <w:r>
        <w:rPr>
          <w:sz w:val="16"/>
        </w:rPr>
        <w:t xml:space="preserve">Non-GAAP Net Income attributable to Photronics, Inc. shareholders and non-GAAP diluted earnings per share attributable to Photronics, Inc. shareholders are "non-GAAP financial measures" as such term is defined by Regulation G of the Securities and Exchange Commission, and may differ from similarly named non-GAAP financial measures used by other companies. The attached financial supplement reconciles Photronics, Inc. historical financial results under GAAP to non-GAAP financial information. We believe these non-GAAP financial measures that exclude certain items are useful for analysts and investors to evaluate our on-going performance because they enable a more meaningful comparison of our projected performance with our historical results.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GAAP equivalent, are significant components of the condensed consolidated statements of income and must be considered in performing a comprehensive assessment of overall financial performance. Please refer to the non-GAAP reconciliations below. </w:t>
      </w:r>
    </w:p>
    <w:p>
      <w:pPr>
        <w:pStyle w:val="TextBody"/>
        <w:bidi w:val="0"/>
        <w:spacing w:before="0" w:after="240"/>
        <w:ind w:left="43" w:right="0" w:hanging="0"/>
        <w:jc w:val="both"/>
        <w:rPr/>
      </w:pPr>
      <w:r>
        <w:rPr>
          <w:sz w:val="16"/>
        </w:rPr>
        <w:t>Photronics, Inc. does not provide a quantitative reconciliation of the Company’s projected range of Non-GAAP diluted earnings per share attributable to Photronics, Inc. shareholders to U.S. GAAP diluted earnings per share attributable to Photronics, Inc. shareholders, which is the most directly comparable GAAP measure, in reliance on the unreasonable efforts exception provided under Item 10(e)(1)(i)(B) of Regulation S-K. The Company’s Non-GAAP diluted earnings per share attributable to Photronics, Inc. shareholders guidance for the fiscal quarter ending October 31, 2026 excludes certain items that are inherently uncertain and difficult to predict, including certain unpredictable charges and benefits such as foreign exchange (gain) loss; estimated tax effects of foreign exchange (gain) loss; and estimated noncontrolling interest effects of the foregoing. Due to the uncertainty of the amount or timing of these future excluded items, management does not forecast them for internal use and therefore cannot create a quantitative Non-GAAP diluted earnings per share attributable to Photronics, Inc. shareholders to U.S. GAAP diluted earnings per share attributable to Photronics, Inc. shareholders reconciliation without unreasonable efforts. A quantitative reconciliation of Non-GAAP diluted earnings per share attributable to Photronics, Inc. shareholders to U.S. GAAP diluted earnings per share attributable to Photronics, Inc. shareholders would imply a degree of precision and certainty as to these future items that does not exist and could be confusing to investors. From a qualitative perspective, it is anticipated that the differences between Non-GAAP diluted earnings per share attributable to Photronics, Inc. shareholders to U.S. GAAP diluted earnings per share attributable to Photronics, Inc. shareholders will consist of items similar to those described in the financial tables later in this release, including, for example and without limitation, foreign exchange (gain) loss; estimated tax effects of foreign exchange (gain) loss; and estimated noncontrolling interest effects of the foregoing. The timing and amount of any of these excluded items could significantly impact the Company’s U.S. GAAP diluted earnings per share attributable to Photronics, Inc. shareholders for a particular period.</w:t>
      </w:r>
      <w:r>
        <w:rPr/>
        <w:t xml:space="preserve"> </w:t>
      </w:r>
    </w:p>
    <w:p>
      <w:pPr>
        <w:pStyle w:val="TextBody"/>
        <w:bidi w:val="0"/>
        <w:spacing w:before="120" w:after="120"/>
        <w:jc w:val="both"/>
        <w:rPr/>
      </w:pPr>
      <w:r>
        <w:rPr>
          <w:sz w:val="16"/>
        </w:rPr>
        <w:t>Totals presented may not sum due to rounding.</w:t>
      </w:r>
      <w:r>
        <w:rPr/>
        <w:t xml:space="preserve"> </w:t>
      </w:r>
    </w:p>
    <w:p>
      <w:pPr>
        <w:pStyle w:val="TextBody"/>
        <w:bidi w:val="0"/>
        <w:spacing w:before="0" w:after="0"/>
        <w:jc w:val="both"/>
        <w:rPr/>
      </w:pPr>
      <w:r>
        <w:rPr>
          <w:b/>
          <w:sz w:val="18"/>
        </w:rPr>
        <w:t>For Further Information:</w:t>
      </w:r>
      <w:r>
        <w:rPr/>
        <w:t xml:space="preserve"> </w:t>
      </w:r>
    </w:p>
    <w:p>
      <w:pPr>
        <w:pStyle w:val="TextBody"/>
        <w:bidi w:val="0"/>
        <w:spacing w:before="0" w:after="0"/>
        <w:ind w:left="0" w:right="36" w:hanging="0"/>
        <w:jc w:val="left"/>
        <w:rPr/>
      </w:pPr>
      <w:r>
        <w:rPr>
          <w:sz w:val="18"/>
        </w:rPr>
        <w:t>Ted Moreau</w:t>
      </w:r>
      <w:r>
        <w:rPr/>
        <w:t xml:space="preserve"> </w:t>
      </w:r>
    </w:p>
    <w:p>
      <w:pPr>
        <w:pStyle w:val="TextBody"/>
        <w:bidi w:val="0"/>
        <w:spacing w:before="0" w:after="0"/>
        <w:ind w:left="0" w:right="36" w:hanging="0"/>
        <w:jc w:val="left"/>
        <w:rPr/>
      </w:pPr>
      <w:r>
        <w:rPr>
          <w:sz w:val="18"/>
        </w:rPr>
        <w:t>VP, Investor Relations</w:t>
      </w:r>
      <w:r>
        <w:rPr/>
        <w:t xml:space="preserve"> </w:t>
      </w:r>
    </w:p>
    <w:p>
      <w:pPr>
        <w:pStyle w:val="TextBody"/>
        <w:bidi w:val="0"/>
        <w:spacing w:before="0" w:after="0"/>
        <w:ind w:left="0" w:right="36" w:hanging="0"/>
        <w:jc w:val="left"/>
        <w:rPr/>
      </w:pPr>
      <w:r>
        <w:rPr>
          <w:sz w:val="18"/>
        </w:rPr>
        <w:t>tmoreau@photronics.com</w:t>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tbl>
      <w:tblPr>
        <w:tblW w:w="13740" w:type="dxa"/>
        <w:jc w:val="left"/>
        <w:tblInd w:w="0" w:type="dxa"/>
        <w:tblLayout w:type="fixed"/>
        <w:tblCellMar>
          <w:top w:w="0" w:type="dxa"/>
          <w:left w:w="0" w:type="dxa"/>
          <w:bottom w:w="0" w:type="dxa"/>
          <w:right w:w="0" w:type="dxa"/>
        </w:tblCellMar>
      </w:tblPr>
      <w:tblGrid>
        <w:gridCol w:w="5693"/>
        <w:gridCol w:w="96"/>
        <w:gridCol w:w="182"/>
        <w:gridCol w:w="1100"/>
        <w:gridCol w:w="262"/>
        <w:gridCol w:w="96"/>
        <w:gridCol w:w="182"/>
        <w:gridCol w:w="890"/>
        <w:gridCol w:w="262"/>
        <w:gridCol w:w="96"/>
        <w:gridCol w:w="182"/>
        <w:gridCol w:w="1100"/>
        <w:gridCol w:w="262"/>
        <w:gridCol w:w="96"/>
        <w:gridCol w:w="182"/>
        <w:gridCol w:w="1100"/>
        <w:gridCol w:w="262"/>
        <w:gridCol w:w="96"/>
        <w:gridCol w:w="182"/>
        <w:gridCol w:w="1100"/>
        <w:gridCol w:w="319"/>
      </w:tblGrid>
      <w:tr>
        <w:trPr/>
        <w:tc>
          <w:tcPr>
            <w:tcW w:w="13740" w:type="dxa"/>
            <w:gridSpan w:val="21"/>
            <w:tcBorders/>
            <w:vAlign w:val="center"/>
          </w:tcPr>
          <w:p>
            <w:pPr>
              <w:pStyle w:val="TableContents"/>
              <w:bidi w:val="0"/>
              <w:spacing w:before="0" w:after="283"/>
              <w:jc w:val="center"/>
              <w:rPr>
                <w:b/>
                <w:u w:val="single"/>
              </w:rPr>
            </w:pPr>
            <w:r>
              <w:rPr>
                <w:b/>
                <w:u w:val="single"/>
              </w:rPr>
              <w:t>PHOTRONICS, INC.</w:t>
            </w:r>
          </w:p>
        </w:tc>
      </w:tr>
      <w:tr>
        <w:trPr/>
        <w:tc>
          <w:tcPr>
            <w:tcW w:w="13740" w:type="dxa"/>
            <w:gridSpan w:val="21"/>
            <w:tcBorders/>
            <w:vAlign w:val="center"/>
          </w:tcPr>
          <w:p>
            <w:pPr>
              <w:pStyle w:val="TableContents"/>
              <w:bidi w:val="0"/>
              <w:spacing w:before="0" w:after="283"/>
              <w:jc w:val="center"/>
              <w:rPr>
                <w:b/>
                <w:u w:val="single"/>
              </w:rPr>
            </w:pPr>
            <w:r>
              <w:rPr>
                <w:b/>
                <w:u w:val="single"/>
              </w:rPr>
              <w:t>Condensed Consolidated Statements of Income</w:t>
            </w:r>
          </w:p>
        </w:tc>
      </w:tr>
      <w:tr>
        <w:trPr/>
        <w:tc>
          <w:tcPr>
            <w:tcW w:w="13740" w:type="dxa"/>
            <w:gridSpan w:val="21"/>
            <w:tcBorders/>
            <w:vAlign w:val="center"/>
          </w:tcPr>
          <w:p>
            <w:pPr>
              <w:pStyle w:val="TableContents"/>
              <w:bidi w:val="0"/>
              <w:spacing w:before="0" w:after="283"/>
              <w:jc w:val="center"/>
              <w:rPr/>
            </w:pPr>
            <w:r>
              <w:rPr/>
              <w:t>(in thousands, except per share amounts)</w:t>
            </w:r>
          </w:p>
        </w:tc>
      </w:tr>
      <w:tr>
        <w:trPr/>
        <w:tc>
          <w:tcPr>
            <w:tcW w:w="13740" w:type="dxa"/>
            <w:gridSpan w:val="21"/>
            <w:tcBorders/>
            <w:vAlign w:val="center"/>
          </w:tcPr>
          <w:p>
            <w:pPr>
              <w:pStyle w:val="TableContents"/>
              <w:bidi w:val="0"/>
              <w:spacing w:before="0" w:after="283"/>
              <w:jc w:val="center"/>
              <w:rPr/>
            </w:pPr>
            <w:r>
              <w:rPr/>
              <w:t>(Unaudited)</w:t>
            </w:r>
          </w:p>
        </w:tc>
      </w:tr>
      <w:tr>
        <w:trPr/>
        <w:tc>
          <w:tcPr>
            <w:tcW w:w="10403" w:type="dxa"/>
            <w:gridSpan w:val="13"/>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r>
      <w:tr>
        <w:trPr/>
        <w:tc>
          <w:tcPr>
            <w:tcW w:w="10403" w:type="dxa"/>
            <w:gridSpan w:val="13"/>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r>
      <w:tr>
        <w:trPr/>
        <w:tc>
          <w:tcPr>
            <w:tcW w:w="5693" w:type="dxa"/>
            <w:tcBorders/>
            <w:vAlign w:val="center"/>
          </w:tcPr>
          <w:p>
            <w:pPr>
              <w:pStyle w:val="TableContents"/>
              <w:bidi w:val="0"/>
              <w:spacing w:before="0" w:after="283"/>
              <w:jc w:val="left"/>
              <w:rPr/>
            </w:pPr>
            <w:r>
              <w:rPr/>
              <w:t> </w:t>
            </w:r>
          </w:p>
        </w:tc>
        <w:tc>
          <w:tcPr>
            <w:tcW w:w="4710" w:type="dxa"/>
            <w:gridSpan w:val="12"/>
            <w:tcBorders>
              <w:bottom w:val="single" w:sz="4" w:space="0" w:color="000000"/>
            </w:tcBorders>
            <w:tcMar>
              <w:bottom w:w="28" w:type="dxa"/>
            </w:tcMar>
            <w:vAlign w:val="center"/>
          </w:tcPr>
          <w:p>
            <w:pPr>
              <w:pStyle w:val="TableContents"/>
              <w:bidi w:val="0"/>
              <w:spacing w:before="0" w:after="283"/>
              <w:jc w:val="center"/>
              <w:rPr>
                <w:b/>
              </w:rPr>
            </w:pPr>
            <w:r>
              <w:rPr>
                <w:b/>
              </w:rPr>
              <w:t>Three Months Ended</w:t>
            </w:r>
          </w:p>
        </w:tc>
        <w:tc>
          <w:tcPr>
            <w:tcW w:w="3337" w:type="dxa"/>
            <w:gridSpan w:val="8"/>
            <w:tcBorders>
              <w:bottom w:val="single" w:sz="4" w:space="0" w:color="000000"/>
            </w:tcBorders>
            <w:tcMar>
              <w:bottom w:w="28" w:type="dxa"/>
            </w:tcMar>
            <w:vAlign w:val="center"/>
          </w:tcPr>
          <w:p>
            <w:pPr>
              <w:pStyle w:val="TableContents"/>
              <w:bidi w:val="0"/>
              <w:spacing w:before="0" w:after="283"/>
              <w:jc w:val="center"/>
              <w:rPr>
                <w:b/>
              </w:rPr>
            </w:pPr>
            <w:r>
              <w:rPr>
                <w:b/>
              </w:rPr>
              <w:t>Nine Months  Ended</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center"/>
              <w:rPr/>
            </w:pPr>
            <w:r>
              <w:rPr/>
              <w:t> </w:t>
            </w:r>
          </w:p>
        </w:tc>
        <w:tc>
          <w:tcPr>
            <w:tcW w:w="182"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b/>
              </w:rPr>
            </w:pPr>
            <w:r>
              <w:rPr>
                <w:b/>
              </w:rPr>
              <w:t>August 2,</w:t>
            </w:r>
          </w:p>
        </w:tc>
        <w:tc>
          <w:tcPr>
            <w:tcW w:w="262"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182"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b/>
              </w:rPr>
            </w:pPr>
            <w:r>
              <w:rPr>
                <w:b/>
              </w:rPr>
              <w:t>May 3,</w:t>
            </w:r>
          </w:p>
        </w:tc>
        <w:tc>
          <w:tcPr>
            <w:tcW w:w="262"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182"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b/>
              </w:rPr>
            </w:pPr>
            <w:r>
              <w:rPr>
                <w:b/>
              </w:rPr>
              <w:t>August 3,</w:t>
            </w:r>
          </w:p>
        </w:tc>
        <w:tc>
          <w:tcPr>
            <w:tcW w:w="262"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182"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b/>
              </w:rPr>
            </w:pPr>
            <w:r>
              <w:rPr>
                <w:b/>
              </w:rPr>
              <w:t>August 2,</w:t>
            </w:r>
          </w:p>
        </w:tc>
        <w:tc>
          <w:tcPr>
            <w:tcW w:w="262"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182"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b/>
              </w:rPr>
            </w:pPr>
            <w:r>
              <w:rPr>
                <w:b/>
              </w:rPr>
              <w:t>August 3,</w:t>
            </w:r>
          </w:p>
        </w:tc>
        <w:tc>
          <w:tcPr>
            <w:tcW w:w="319" w:type="dxa"/>
            <w:tcBorders/>
            <w:vAlign w:val="center"/>
          </w:tcPr>
          <w:p>
            <w:pPr>
              <w:pStyle w:val="TableContents"/>
              <w:bidi w:val="0"/>
              <w:spacing w:before="0" w:after="283"/>
              <w:jc w:val="center"/>
              <w:rPr/>
            </w:pPr>
            <w:r>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center"/>
              <w:rPr/>
            </w:pPr>
            <w:r>
              <w:rPr/>
              <w:t> </w:t>
            </w:r>
          </w:p>
        </w:tc>
        <w:tc>
          <w:tcPr>
            <w:tcW w:w="182" w:type="dxa"/>
            <w:tcBorders>
              <w:bottom w:val="single" w:sz="4"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4" w:space="0" w:color="000000"/>
            </w:tcBorders>
            <w:tcMar>
              <w:bottom w:w="28" w:type="dxa"/>
            </w:tcMar>
            <w:vAlign w:val="center"/>
          </w:tcPr>
          <w:p>
            <w:pPr>
              <w:pStyle w:val="TableContents"/>
              <w:bidi w:val="0"/>
              <w:spacing w:before="0" w:after="283"/>
              <w:jc w:val="center"/>
              <w:rPr>
                <w:b/>
              </w:rPr>
            </w:pPr>
            <w:r>
              <w:rPr>
                <w:b/>
              </w:rPr>
              <w:t>2026</w:t>
            </w:r>
          </w:p>
        </w:tc>
        <w:tc>
          <w:tcPr>
            <w:tcW w:w="262" w:type="dxa"/>
            <w:tcBorders>
              <w:bottom w:val="single" w:sz="4" w:space="0" w:color="000000"/>
            </w:tcBorders>
            <w:tcMar>
              <w:bottom w:w="28" w:type="dxa"/>
            </w:tcMar>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182" w:type="dxa"/>
            <w:tcBorders>
              <w:bottom w:val="single" w:sz="4"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4" w:space="0" w:color="000000"/>
            </w:tcBorders>
            <w:tcMar>
              <w:bottom w:w="28" w:type="dxa"/>
            </w:tcMar>
            <w:vAlign w:val="center"/>
          </w:tcPr>
          <w:p>
            <w:pPr>
              <w:pStyle w:val="TableContents"/>
              <w:bidi w:val="0"/>
              <w:spacing w:before="0" w:after="283"/>
              <w:jc w:val="center"/>
              <w:rPr>
                <w:b/>
              </w:rPr>
            </w:pPr>
            <w:r>
              <w:rPr>
                <w:b/>
              </w:rPr>
              <w:t>2026</w:t>
            </w:r>
          </w:p>
        </w:tc>
        <w:tc>
          <w:tcPr>
            <w:tcW w:w="262" w:type="dxa"/>
            <w:tcBorders>
              <w:bottom w:val="single" w:sz="4" w:space="0" w:color="000000"/>
            </w:tcBorders>
            <w:tcMar>
              <w:bottom w:w="28" w:type="dxa"/>
            </w:tcMar>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182" w:type="dxa"/>
            <w:tcBorders>
              <w:bottom w:val="single" w:sz="4"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4" w:space="0" w:color="000000"/>
            </w:tcBorders>
            <w:tcMar>
              <w:bottom w:w="28" w:type="dxa"/>
            </w:tcMar>
            <w:vAlign w:val="center"/>
          </w:tcPr>
          <w:p>
            <w:pPr>
              <w:pStyle w:val="TableContents"/>
              <w:bidi w:val="0"/>
              <w:spacing w:before="0" w:after="283"/>
              <w:jc w:val="center"/>
              <w:rPr>
                <w:b/>
              </w:rPr>
            </w:pPr>
            <w:r>
              <w:rPr>
                <w:b/>
              </w:rPr>
              <w:t>2025</w:t>
            </w:r>
          </w:p>
        </w:tc>
        <w:tc>
          <w:tcPr>
            <w:tcW w:w="262" w:type="dxa"/>
            <w:tcBorders>
              <w:bottom w:val="single" w:sz="4" w:space="0" w:color="000000"/>
            </w:tcBorders>
            <w:tcMar>
              <w:bottom w:w="28" w:type="dxa"/>
            </w:tcMar>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182" w:type="dxa"/>
            <w:tcBorders>
              <w:bottom w:val="single" w:sz="4"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4" w:space="0" w:color="000000"/>
            </w:tcBorders>
            <w:tcMar>
              <w:bottom w:w="28" w:type="dxa"/>
            </w:tcMar>
            <w:vAlign w:val="center"/>
          </w:tcPr>
          <w:p>
            <w:pPr>
              <w:pStyle w:val="TableContents"/>
              <w:bidi w:val="0"/>
              <w:spacing w:before="0" w:after="283"/>
              <w:jc w:val="center"/>
              <w:rPr>
                <w:b/>
              </w:rPr>
            </w:pPr>
            <w:r>
              <w:rPr>
                <w:b/>
              </w:rPr>
              <w:t>2026</w:t>
            </w:r>
          </w:p>
        </w:tc>
        <w:tc>
          <w:tcPr>
            <w:tcW w:w="262" w:type="dxa"/>
            <w:tcBorders>
              <w:bottom w:val="single" w:sz="4" w:space="0" w:color="000000"/>
            </w:tcBorders>
            <w:tcMar>
              <w:bottom w:w="28" w:type="dxa"/>
            </w:tcMar>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182" w:type="dxa"/>
            <w:tcBorders>
              <w:bottom w:val="single" w:sz="4"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4" w:space="0" w:color="000000"/>
            </w:tcBorders>
            <w:tcMar>
              <w:bottom w:w="28" w:type="dxa"/>
            </w:tcMar>
            <w:vAlign w:val="center"/>
          </w:tcPr>
          <w:p>
            <w:pPr>
              <w:pStyle w:val="TableContents"/>
              <w:bidi w:val="0"/>
              <w:spacing w:before="0" w:after="283"/>
              <w:jc w:val="center"/>
              <w:rPr>
                <w:b/>
              </w:rPr>
            </w:pPr>
            <w:r>
              <w:rPr>
                <w:b/>
              </w:rPr>
              <w:t>2025</w:t>
            </w:r>
          </w:p>
        </w:tc>
        <w:tc>
          <w:tcPr>
            <w:tcW w:w="319" w:type="dxa"/>
            <w:tcBorders>
              <w:bottom w:val="single" w:sz="4" w:space="0" w:color="000000"/>
            </w:tcBorders>
            <w:tcMar>
              <w:bottom w:w="28" w:type="dxa"/>
            </w:tcMar>
            <w:vAlign w:val="center"/>
          </w:tcPr>
          <w:p>
            <w:pPr>
              <w:pStyle w:val="TableContents"/>
              <w:bidi w:val="0"/>
              <w:spacing w:before="0" w:after="283"/>
              <w:jc w:val="center"/>
              <w:rPr/>
            </w:pPr>
            <w:r>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r>
      <w:tr>
        <w:trPr/>
        <w:tc>
          <w:tcPr>
            <w:tcW w:w="5693" w:type="dxa"/>
            <w:tcBorders/>
            <w:shd w:fill="CCEEFF" w:val="clear"/>
            <w:vAlign w:val="center"/>
          </w:tcPr>
          <w:p>
            <w:pPr>
              <w:pStyle w:val="TableContents"/>
              <w:bidi w:val="0"/>
              <w:spacing w:before="0" w:after="283"/>
              <w:jc w:val="left"/>
              <w:rPr/>
            </w:pPr>
            <w:r>
              <w:rPr/>
              <w:t>Revenue</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right"/>
              <w:rPr/>
            </w:pPr>
            <w:r>
              <w:rPr/>
              <w:t>$</w:t>
            </w:r>
          </w:p>
        </w:tc>
        <w:tc>
          <w:tcPr>
            <w:tcW w:w="1100" w:type="dxa"/>
            <w:tcBorders/>
            <w:shd w:fill="CCEEFF" w:val="clear"/>
            <w:vAlign w:val="center"/>
          </w:tcPr>
          <w:p>
            <w:pPr>
              <w:pStyle w:val="TableContents"/>
              <w:bidi w:val="0"/>
              <w:spacing w:before="0" w:after="283"/>
              <w:jc w:val="right"/>
              <w:rPr/>
            </w:pPr>
            <w:r>
              <w:rPr/>
              <w:t>216,047</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right"/>
              <w:rPr/>
            </w:pPr>
            <w:r>
              <w:rPr/>
              <w:t>$</w:t>
            </w:r>
          </w:p>
        </w:tc>
        <w:tc>
          <w:tcPr>
            <w:tcW w:w="890" w:type="dxa"/>
            <w:tcBorders/>
            <w:shd w:fill="CCEEFF" w:val="clear"/>
            <w:vAlign w:val="center"/>
          </w:tcPr>
          <w:p>
            <w:pPr>
              <w:pStyle w:val="TableContents"/>
              <w:bidi w:val="0"/>
              <w:spacing w:before="0" w:after="283"/>
              <w:jc w:val="right"/>
              <w:rPr/>
            </w:pPr>
            <w:r>
              <w:rPr/>
              <w:t>209,940</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right"/>
              <w:rPr/>
            </w:pPr>
            <w:r>
              <w:rPr/>
              <w:t>$</w:t>
            </w:r>
          </w:p>
        </w:tc>
        <w:tc>
          <w:tcPr>
            <w:tcW w:w="1100" w:type="dxa"/>
            <w:tcBorders/>
            <w:shd w:fill="CCEEFF" w:val="clear"/>
            <w:vAlign w:val="center"/>
          </w:tcPr>
          <w:p>
            <w:pPr>
              <w:pStyle w:val="TableContents"/>
              <w:bidi w:val="0"/>
              <w:spacing w:before="0" w:after="283"/>
              <w:jc w:val="right"/>
              <w:rPr/>
            </w:pPr>
            <w:r>
              <w:rPr/>
              <w:t>210,394</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right"/>
              <w:rPr/>
            </w:pPr>
            <w:r>
              <w:rPr/>
              <w:t>$</w:t>
            </w:r>
          </w:p>
        </w:tc>
        <w:tc>
          <w:tcPr>
            <w:tcW w:w="1100" w:type="dxa"/>
            <w:tcBorders/>
            <w:shd w:fill="CCEEFF" w:val="clear"/>
            <w:vAlign w:val="center"/>
          </w:tcPr>
          <w:p>
            <w:pPr>
              <w:pStyle w:val="TableContents"/>
              <w:bidi w:val="0"/>
              <w:spacing w:before="0" w:after="283"/>
              <w:jc w:val="right"/>
              <w:rPr/>
            </w:pPr>
            <w:r>
              <w:rPr/>
              <w:t>651,054</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82" w:type="dxa"/>
            <w:tcBorders/>
            <w:shd w:fill="CCEEFF" w:val="clear"/>
            <w:vAlign w:val="center"/>
          </w:tcPr>
          <w:p>
            <w:pPr>
              <w:pStyle w:val="TableContents"/>
              <w:bidi w:val="0"/>
              <w:spacing w:before="0" w:after="283"/>
              <w:jc w:val="right"/>
              <w:rPr/>
            </w:pPr>
            <w:r>
              <w:rPr/>
              <w:t>$</w:t>
            </w:r>
          </w:p>
        </w:tc>
        <w:tc>
          <w:tcPr>
            <w:tcW w:w="1100" w:type="dxa"/>
            <w:tcBorders/>
            <w:shd w:fill="CCEEFF" w:val="clear"/>
            <w:vAlign w:val="center"/>
          </w:tcPr>
          <w:p>
            <w:pPr>
              <w:pStyle w:val="TableContents"/>
              <w:bidi w:val="0"/>
              <w:spacing w:before="0" w:after="283"/>
              <w:jc w:val="right"/>
              <w:rPr/>
            </w:pPr>
            <w:r>
              <w:rPr/>
              <w:t>633,524</w:t>
            </w:r>
          </w:p>
        </w:tc>
        <w:tc>
          <w:tcPr>
            <w:tcW w:w="319" w:type="dxa"/>
            <w:tcBorders/>
            <w:shd w:fill="CCEEFF" w:val="clear"/>
            <w:vAlign w:val="center"/>
          </w:tcPr>
          <w:p>
            <w:pPr>
              <w:pStyle w:val="TableContents"/>
              <w:bidi w:val="0"/>
              <w:spacing w:before="0" w:after="283"/>
              <w:jc w:val="left"/>
              <w:rPr/>
            </w:pPr>
            <w:r>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r>
      <w:tr>
        <w:trPr/>
        <w:tc>
          <w:tcPr>
            <w:tcW w:w="5693" w:type="dxa"/>
            <w:tcBorders/>
            <w:shd w:fill="CCEEFF" w:val="clear"/>
            <w:vAlign w:val="center"/>
          </w:tcPr>
          <w:p>
            <w:pPr>
              <w:pStyle w:val="TableContents"/>
              <w:bidi w:val="0"/>
              <w:spacing w:before="0" w:after="283"/>
              <w:jc w:val="left"/>
              <w:rPr/>
            </w:pPr>
            <w:r>
              <w:rPr/>
              <w:t>Cost of goods sold</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144,313</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890" w:type="dxa"/>
            <w:tcBorders>
              <w:bottom w:val="single" w:sz="4" w:space="0" w:color="000000"/>
            </w:tcBorders>
            <w:shd w:fill="CCEEFF" w:val="clear"/>
            <w:tcMar>
              <w:bottom w:w="28" w:type="dxa"/>
            </w:tcMar>
            <w:vAlign w:val="center"/>
          </w:tcPr>
          <w:p>
            <w:pPr>
              <w:pStyle w:val="TableContents"/>
              <w:bidi w:val="0"/>
              <w:spacing w:before="0" w:after="283"/>
              <w:jc w:val="right"/>
              <w:rPr/>
            </w:pPr>
            <w:r>
              <w:rPr/>
              <w:t>144,183</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139,539</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434,862</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409,228</w:t>
            </w:r>
          </w:p>
        </w:tc>
        <w:tc>
          <w:tcPr>
            <w:tcW w:w="319"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ind w:left="0" w:right="0" w:firstLine="150"/>
              <w:jc w:val="left"/>
              <w:rPr/>
            </w:pPr>
            <w:r>
              <w:rPr/>
              <w:t> </w:t>
            </w:r>
          </w:p>
        </w:tc>
      </w:tr>
      <w:tr>
        <w:trPr/>
        <w:tc>
          <w:tcPr>
            <w:tcW w:w="5693" w:type="dxa"/>
            <w:tcBorders/>
            <w:shd w:fill="CCEEFF" w:val="clear"/>
            <w:vAlign w:val="center"/>
          </w:tcPr>
          <w:p>
            <w:pPr>
              <w:pStyle w:val="TableContents"/>
              <w:bidi w:val="0"/>
              <w:spacing w:before="0" w:after="283"/>
              <w:jc w:val="left"/>
              <w:rPr/>
            </w:pPr>
            <w:r>
              <w:rPr/>
              <w:t>Gross profit</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71,734</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890" w:type="dxa"/>
            <w:tcBorders/>
            <w:shd w:fill="CCEEFF" w:val="clear"/>
            <w:vAlign w:val="center"/>
          </w:tcPr>
          <w:p>
            <w:pPr>
              <w:pStyle w:val="TableContents"/>
              <w:bidi w:val="0"/>
              <w:spacing w:before="0" w:after="283"/>
              <w:jc w:val="right"/>
              <w:rPr/>
            </w:pPr>
            <w:r>
              <w:rPr/>
              <w:t>65,757</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70,855</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216,192</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224,296</w:t>
            </w:r>
          </w:p>
        </w:tc>
        <w:tc>
          <w:tcPr>
            <w:tcW w:w="319" w:type="dxa"/>
            <w:tcBorders/>
            <w:shd w:fill="CCEEFF" w:val="clear"/>
            <w:vAlign w:val="center"/>
          </w:tcPr>
          <w:p>
            <w:pPr>
              <w:pStyle w:val="TableContents"/>
              <w:bidi w:val="0"/>
              <w:spacing w:before="0" w:after="283"/>
              <w:ind w:left="0" w:right="0" w:firstLine="150"/>
              <w:jc w:val="left"/>
              <w:rPr/>
            </w:pPr>
            <w:r>
              <w:rPr/>
              <w:t> </w:t>
            </w:r>
          </w:p>
        </w:tc>
      </w:tr>
      <w:tr>
        <w:trPr/>
        <w:tc>
          <w:tcPr>
            <w:tcW w:w="5693" w:type="dxa"/>
            <w:tcBorders/>
            <w:vAlign w:val="center"/>
          </w:tcPr>
          <w:p>
            <w:pPr>
              <w:pStyle w:val="TableContents"/>
              <w:bidi w:val="0"/>
              <w:spacing w:before="0" w:after="283"/>
              <w:jc w:val="left"/>
              <w:rPr>
                <w:i/>
              </w:rPr>
            </w:pPr>
            <w:r>
              <w:rPr>
                <w:i/>
              </w:rPr>
              <w:t>Gross margin %</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i/>
              </w:rPr>
            </w:pPr>
            <w:r>
              <w:rPr>
                <w:i/>
              </w:rPr>
              <w:t>33.2</w:t>
            </w:r>
          </w:p>
        </w:tc>
        <w:tc>
          <w:tcPr>
            <w:tcW w:w="262" w:type="dxa"/>
            <w:tcBorders/>
            <w:vAlign w:val="center"/>
          </w:tcPr>
          <w:p>
            <w:pPr>
              <w:pStyle w:val="TableContents"/>
              <w:bidi w:val="0"/>
              <w:spacing w:before="0" w:after="283"/>
              <w:jc w:val="left"/>
              <w:rPr>
                <w:i/>
              </w:rPr>
            </w:pPr>
            <w:r>
              <w:rPr>
                <w:i/>
              </w:rPr>
              <w:t>%</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890" w:type="dxa"/>
            <w:tcBorders/>
            <w:vAlign w:val="center"/>
          </w:tcPr>
          <w:p>
            <w:pPr>
              <w:pStyle w:val="TableContents"/>
              <w:bidi w:val="0"/>
              <w:spacing w:before="0" w:after="283"/>
              <w:jc w:val="right"/>
              <w:rPr>
                <w:i/>
              </w:rPr>
            </w:pPr>
            <w:r>
              <w:rPr>
                <w:i/>
              </w:rPr>
              <w:t>31.3</w:t>
            </w:r>
          </w:p>
        </w:tc>
        <w:tc>
          <w:tcPr>
            <w:tcW w:w="262" w:type="dxa"/>
            <w:tcBorders/>
            <w:vAlign w:val="center"/>
          </w:tcPr>
          <w:p>
            <w:pPr>
              <w:pStyle w:val="TableContents"/>
              <w:bidi w:val="0"/>
              <w:spacing w:before="0" w:after="283"/>
              <w:jc w:val="left"/>
              <w:rPr>
                <w:i/>
              </w:rPr>
            </w:pPr>
            <w:r>
              <w:rPr>
                <w:i/>
              </w:rPr>
              <w:t>%</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i/>
              </w:rPr>
            </w:pPr>
            <w:r>
              <w:rPr>
                <w:i/>
              </w:rPr>
              <w:t>33.7</w:t>
            </w:r>
          </w:p>
        </w:tc>
        <w:tc>
          <w:tcPr>
            <w:tcW w:w="262" w:type="dxa"/>
            <w:tcBorders/>
            <w:vAlign w:val="center"/>
          </w:tcPr>
          <w:p>
            <w:pPr>
              <w:pStyle w:val="TableContents"/>
              <w:bidi w:val="0"/>
              <w:spacing w:before="0" w:after="283"/>
              <w:jc w:val="left"/>
              <w:rPr>
                <w:i/>
              </w:rPr>
            </w:pPr>
            <w:r>
              <w:rPr>
                <w:i/>
              </w:rPr>
              <w:t>%</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i/>
              </w:rPr>
            </w:pPr>
            <w:r>
              <w:rPr>
                <w:i/>
              </w:rPr>
              <w:t>33.2</w:t>
            </w:r>
          </w:p>
        </w:tc>
        <w:tc>
          <w:tcPr>
            <w:tcW w:w="262" w:type="dxa"/>
            <w:tcBorders/>
            <w:vAlign w:val="center"/>
          </w:tcPr>
          <w:p>
            <w:pPr>
              <w:pStyle w:val="TableContents"/>
              <w:bidi w:val="0"/>
              <w:spacing w:before="0" w:after="283"/>
              <w:jc w:val="left"/>
              <w:rPr>
                <w:i/>
              </w:rPr>
            </w:pPr>
            <w:r>
              <w:rPr>
                <w:i/>
              </w:rPr>
              <w:t>%</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i/>
              </w:rPr>
            </w:pPr>
            <w:r>
              <w:rPr>
                <w:i/>
              </w:rPr>
              <w:t>35.4</w:t>
            </w:r>
          </w:p>
        </w:tc>
        <w:tc>
          <w:tcPr>
            <w:tcW w:w="319" w:type="dxa"/>
            <w:tcBorders/>
            <w:vAlign w:val="center"/>
          </w:tcPr>
          <w:p>
            <w:pPr>
              <w:pStyle w:val="TableContents"/>
              <w:bidi w:val="0"/>
              <w:spacing w:before="0" w:after="283"/>
              <w:jc w:val="left"/>
              <w:rPr>
                <w:i/>
              </w:rPr>
            </w:pPr>
            <w:r>
              <w:rPr>
                <w:i/>
              </w:rPr>
              <w:t>%</w:t>
            </w:r>
          </w:p>
        </w:tc>
      </w:tr>
      <w:tr>
        <w:trPr/>
        <w:tc>
          <w:tcPr>
            <w:tcW w:w="56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r>
      <w:tr>
        <w:trPr/>
        <w:tc>
          <w:tcPr>
            <w:tcW w:w="5693" w:type="dxa"/>
            <w:tcBorders/>
            <w:vAlign w:val="center"/>
          </w:tcPr>
          <w:p>
            <w:pPr>
              <w:pStyle w:val="TableContents"/>
              <w:bidi w:val="0"/>
              <w:spacing w:before="0" w:after="283"/>
              <w:jc w:val="left"/>
              <w:rPr/>
            </w:pPr>
            <w:r>
              <w:rPr/>
              <w:t>Operating expenses:</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r>
      <w:tr>
        <w:trPr/>
        <w:tc>
          <w:tcPr>
            <w:tcW w:w="56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firstLine="150"/>
              <w:jc w:val="left"/>
              <w:rPr/>
            </w:pPr>
            <w:r>
              <w:rPr/>
              <w:t> </w:t>
            </w:r>
          </w:p>
        </w:tc>
      </w:tr>
      <w:tr>
        <w:trPr/>
        <w:tc>
          <w:tcPr>
            <w:tcW w:w="5693" w:type="dxa"/>
            <w:tcBorders/>
            <w:vAlign w:val="center"/>
          </w:tcPr>
          <w:p>
            <w:pPr>
              <w:pStyle w:val="TableContents"/>
              <w:bidi w:val="0"/>
              <w:spacing w:before="0" w:after="283"/>
              <w:jc w:val="left"/>
              <w:rPr/>
            </w:pPr>
            <w:r>
              <w:rPr/>
              <w:t>Selling, general and administrative</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pPr>
            <w:r>
              <w:rPr/>
              <w:t>22,543</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890" w:type="dxa"/>
            <w:tcBorders/>
            <w:vAlign w:val="center"/>
          </w:tcPr>
          <w:p>
            <w:pPr>
              <w:pStyle w:val="TableContents"/>
              <w:bidi w:val="0"/>
              <w:spacing w:before="0" w:after="283"/>
              <w:jc w:val="right"/>
              <w:rPr/>
            </w:pPr>
            <w:r>
              <w:rPr/>
              <w:t>20,756</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pPr>
            <w:r>
              <w:rPr/>
              <w:t>18,423</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pPr>
            <w:r>
              <w:rPr/>
              <w:t>64,610</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pPr>
            <w:r>
              <w:rPr/>
              <w:t>55,624</w:t>
            </w:r>
          </w:p>
        </w:tc>
        <w:tc>
          <w:tcPr>
            <w:tcW w:w="319" w:type="dxa"/>
            <w:tcBorders/>
            <w:vAlign w:val="center"/>
          </w:tcPr>
          <w:p>
            <w:pPr>
              <w:pStyle w:val="TableContents"/>
              <w:bidi w:val="0"/>
              <w:spacing w:before="0" w:after="283"/>
              <w:jc w:val="left"/>
              <w:rPr/>
            </w:pPr>
            <w:r>
              <w:rPr/>
              <w:t> </w:t>
            </w:r>
          </w:p>
        </w:tc>
      </w:tr>
      <w:tr>
        <w:trPr/>
        <w:tc>
          <w:tcPr>
            <w:tcW w:w="56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firstLine="150"/>
              <w:jc w:val="left"/>
              <w:rPr/>
            </w:pPr>
            <w:r>
              <w:rPr/>
              <w:t> </w:t>
            </w:r>
          </w:p>
        </w:tc>
      </w:tr>
      <w:tr>
        <w:trPr/>
        <w:tc>
          <w:tcPr>
            <w:tcW w:w="5693" w:type="dxa"/>
            <w:tcBorders/>
            <w:vAlign w:val="center"/>
          </w:tcPr>
          <w:p>
            <w:pPr>
              <w:pStyle w:val="TableContents"/>
              <w:bidi w:val="0"/>
              <w:spacing w:before="0" w:after="283"/>
              <w:jc w:val="left"/>
              <w:rPr/>
            </w:pPr>
            <w:r>
              <w:rPr/>
              <w:t>Research and development</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3,707</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890" w:type="dxa"/>
            <w:tcBorders>
              <w:bottom w:val="single" w:sz="4" w:space="0" w:color="000000"/>
            </w:tcBorders>
            <w:tcMar>
              <w:bottom w:w="28" w:type="dxa"/>
            </w:tcMar>
            <w:vAlign w:val="center"/>
          </w:tcPr>
          <w:p>
            <w:pPr>
              <w:pStyle w:val="TableContents"/>
              <w:bidi w:val="0"/>
              <w:spacing w:before="0" w:after="283"/>
              <w:jc w:val="right"/>
              <w:rPr/>
            </w:pPr>
            <w:r>
              <w:rPr/>
              <w:t>2,822</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4,271</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9,116</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12,618</w:t>
            </w:r>
          </w:p>
        </w:tc>
        <w:tc>
          <w:tcPr>
            <w:tcW w:w="319" w:type="dxa"/>
            <w:tcBorders>
              <w:bottom w:val="single" w:sz="4" w:space="0" w:color="000000"/>
            </w:tcBorders>
            <w:tcMar>
              <w:bottom w:w="28" w:type="dxa"/>
            </w:tcMar>
            <w:vAlign w:val="center"/>
          </w:tcPr>
          <w:p>
            <w:pPr>
              <w:pStyle w:val="TableContents"/>
              <w:bidi w:val="0"/>
              <w:spacing w:before="0" w:after="283"/>
              <w:jc w:val="left"/>
              <w:rPr/>
            </w:pPr>
            <w:r>
              <w:rPr/>
              <w:t> </w:t>
            </w:r>
          </w:p>
        </w:tc>
      </w:tr>
      <w:tr>
        <w:trPr/>
        <w:tc>
          <w:tcPr>
            <w:tcW w:w="56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firstLine="150"/>
              <w:jc w:val="left"/>
              <w:rPr/>
            </w:pPr>
            <w:r>
              <w:rPr/>
              <w:t> </w:t>
            </w:r>
          </w:p>
        </w:tc>
      </w:tr>
      <w:tr>
        <w:trPr/>
        <w:tc>
          <w:tcPr>
            <w:tcW w:w="5693" w:type="dxa"/>
            <w:tcBorders/>
            <w:vAlign w:val="center"/>
          </w:tcPr>
          <w:p>
            <w:pPr>
              <w:pStyle w:val="TableContents"/>
              <w:bidi w:val="0"/>
              <w:spacing w:before="0" w:after="283"/>
              <w:jc w:val="left"/>
              <w:rPr/>
            </w:pPr>
            <w:r>
              <w:rPr/>
              <w:t>Total operating expenses</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26,250</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890" w:type="dxa"/>
            <w:tcBorders>
              <w:bottom w:val="single" w:sz="4" w:space="0" w:color="000000"/>
            </w:tcBorders>
            <w:tcMar>
              <w:bottom w:w="28" w:type="dxa"/>
            </w:tcMar>
            <w:vAlign w:val="center"/>
          </w:tcPr>
          <w:p>
            <w:pPr>
              <w:pStyle w:val="TableContents"/>
              <w:bidi w:val="0"/>
              <w:spacing w:before="0" w:after="283"/>
              <w:jc w:val="right"/>
              <w:rPr/>
            </w:pPr>
            <w:r>
              <w:rPr/>
              <w:t>23,578</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22,694</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73,726</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68,242</w:t>
            </w:r>
          </w:p>
        </w:tc>
        <w:tc>
          <w:tcPr>
            <w:tcW w:w="319" w:type="dxa"/>
            <w:tcBorders>
              <w:bottom w:val="single" w:sz="4" w:space="0" w:color="000000"/>
            </w:tcBorders>
            <w:tcMar>
              <w:bottom w:w="28" w:type="dxa"/>
            </w:tcMar>
            <w:vAlign w:val="center"/>
          </w:tcPr>
          <w:p>
            <w:pPr>
              <w:pStyle w:val="TableContents"/>
              <w:bidi w:val="0"/>
              <w:spacing w:before="0" w:after="283"/>
              <w:jc w:val="left"/>
              <w:rPr/>
            </w:pPr>
            <w:r>
              <w:rPr/>
              <w:t> </w:t>
            </w:r>
          </w:p>
        </w:tc>
      </w:tr>
      <w:tr>
        <w:trPr/>
        <w:tc>
          <w:tcPr>
            <w:tcW w:w="56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r>
      <w:tr>
        <w:trPr/>
        <w:tc>
          <w:tcPr>
            <w:tcW w:w="5693" w:type="dxa"/>
            <w:tcBorders/>
            <w:vAlign w:val="center"/>
          </w:tcPr>
          <w:p>
            <w:pPr>
              <w:pStyle w:val="TableContents"/>
              <w:bidi w:val="0"/>
              <w:spacing w:before="0" w:after="283"/>
              <w:jc w:val="left"/>
              <w:rPr/>
            </w:pPr>
            <w:r>
              <w:rPr/>
              <w:t>Other operating Income</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20</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center"/>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890" w:type="dxa"/>
            <w:tcBorders>
              <w:bottom w:val="single" w:sz="4" w:space="0" w:color="000000"/>
            </w:tcBorders>
            <w:tcMar>
              <w:bottom w:w="28" w:type="dxa"/>
            </w:tcMar>
            <w:vAlign w:val="center"/>
          </w:tcPr>
          <w:p>
            <w:pPr>
              <w:pStyle w:val="TableContents"/>
              <w:bidi w:val="0"/>
              <w:spacing w:before="0" w:after="283"/>
              <w:jc w:val="right"/>
              <w:rPr/>
            </w:pPr>
            <w:r>
              <w:rPr/>
              <w:t>-</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center"/>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76</w:t>
            </w:r>
          </w:p>
        </w:tc>
        <w:tc>
          <w:tcPr>
            <w:tcW w:w="262" w:type="dxa"/>
            <w:tcBorders>
              <w:bottom w:val="single" w:sz="4"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center"/>
              <w:rPr/>
            </w:pPr>
            <w:r>
              <w:rPr/>
              <w:t> </w:t>
            </w:r>
          </w:p>
        </w:tc>
        <w:tc>
          <w:tcPr>
            <w:tcW w:w="182" w:type="dxa"/>
            <w:tcBorders>
              <w:bottom w:val="single" w:sz="4"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tcMar>
              <w:bottom w:w="28" w:type="dxa"/>
            </w:tcMar>
            <w:vAlign w:val="center"/>
          </w:tcPr>
          <w:p>
            <w:pPr>
              <w:pStyle w:val="TableContents"/>
              <w:bidi w:val="0"/>
              <w:spacing w:before="0" w:after="283"/>
              <w:jc w:val="right"/>
              <w:rPr/>
            </w:pPr>
            <w:r>
              <w:rPr/>
              <w:t>-</w:t>
            </w:r>
          </w:p>
        </w:tc>
        <w:tc>
          <w:tcPr>
            <w:tcW w:w="319" w:type="dxa"/>
            <w:tcBorders>
              <w:bottom w:val="single" w:sz="4" w:space="0" w:color="000000"/>
            </w:tcBorders>
            <w:tcMar>
              <w:bottom w:w="28" w:type="dxa"/>
            </w:tcMar>
            <w:vAlign w:val="center"/>
          </w:tcPr>
          <w:p>
            <w:pPr>
              <w:pStyle w:val="TableContents"/>
              <w:bidi w:val="0"/>
              <w:spacing w:before="0" w:after="283"/>
              <w:jc w:val="left"/>
              <w:rPr/>
            </w:pPr>
            <w:r>
              <w:rPr/>
              <w:t> </w:t>
            </w:r>
          </w:p>
        </w:tc>
      </w:tr>
      <w:tr>
        <w:trPr/>
        <w:tc>
          <w:tcPr>
            <w:tcW w:w="569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firstLine="150"/>
              <w:jc w:val="left"/>
              <w:rPr/>
            </w:pPr>
            <w:r>
              <w:rPr/>
              <w:t> </w:t>
            </w:r>
          </w:p>
        </w:tc>
      </w:tr>
      <w:tr>
        <w:trPr/>
        <w:tc>
          <w:tcPr>
            <w:tcW w:w="5693" w:type="dxa"/>
            <w:tcBorders/>
            <w:vAlign w:val="center"/>
          </w:tcPr>
          <w:p>
            <w:pPr>
              <w:pStyle w:val="TableContents"/>
              <w:bidi w:val="0"/>
              <w:spacing w:before="0" w:after="283"/>
              <w:jc w:val="left"/>
              <w:rPr/>
            </w:pPr>
            <w:r>
              <w:rPr/>
              <w:t>Operating income</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pPr>
            <w:r>
              <w:rPr/>
              <w:t>45,504</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890" w:type="dxa"/>
            <w:tcBorders/>
            <w:vAlign w:val="center"/>
          </w:tcPr>
          <w:p>
            <w:pPr>
              <w:pStyle w:val="TableContents"/>
              <w:bidi w:val="0"/>
              <w:spacing w:before="0" w:after="283"/>
              <w:jc w:val="right"/>
              <w:rPr/>
            </w:pPr>
            <w:r>
              <w:rPr/>
              <w:t>42,179</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pPr>
            <w:r>
              <w:rPr/>
              <w:t>48,161</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pPr>
            <w:r>
              <w:rPr/>
              <w:t>142,542</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pPr>
            <w:r>
              <w:rPr/>
              <w:t>156,054</w:t>
            </w:r>
          </w:p>
        </w:tc>
        <w:tc>
          <w:tcPr>
            <w:tcW w:w="319" w:type="dxa"/>
            <w:tcBorders/>
            <w:vAlign w:val="center"/>
          </w:tcPr>
          <w:p>
            <w:pPr>
              <w:pStyle w:val="TableContents"/>
              <w:bidi w:val="0"/>
              <w:spacing w:before="0" w:after="283"/>
              <w:ind w:left="0" w:right="0" w:firstLine="150"/>
              <w:jc w:val="left"/>
              <w:rPr/>
            </w:pPr>
            <w:r>
              <w:rPr/>
              <w:t> </w:t>
            </w:r>
          </w:p>
        </w:tc>
      </w:tr>
      <w:tr>
        <w:trPr/>
        <w:tc>
          <w:tcPr>
            <w:tcW w:w="5693" w:type="dxa"/>
            <w:tcBorders/>
            <w:shd w:fill="CCEEFF" w:val="clear"/>
            <w:vAlign w:val="center"/>
          </w:tcPr>
          <w:p>
            <w:pPr>
              <w:pStyle w:val="TableContents"/>
              <w:bidi w:val="0"/>
              <w:spacing w:before="0" w:after="283"/>
              <w:jc w:val="left"/>
              <w:rPr>
                <w:i/>
              </w:rPr>
            </w:pPr>
            <w:r>
              <w:rPr>
                <w:i/>
              </w:rPr>
              <w:t>Operating margin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i/>
              </w:rPr>
            </w:pPr>
            <w:r>
              <w:rPr>
                <w:i/>
              </w:rPr>
              <w:t>21.1</w:t>
            </w:r>
          </w:p>
        </w:tc>
        <w:tc>
          <w:tcPr>
            <w:tcW w:w="262" w:type="dxa"/>
            <w:tcBorders/>
            <w:shd w:fill="CCEEFF" w:val="clear"/>
            <w:vAlign w:val="center"/>
          </w:tcPr>
          <w:p>
            <w:pPr>
              <w:pStyle w:val="TableContents"/>
              <w:bidi w:val="0"/>
              <w:spacing w:before="0" w:after="283"/>
              <w:jc w:val="left"/>
              <w:rPr>
                <w:i/>
              </w:rPr>
            </w:pPr>
            <w:r>
              <w:rPr>
                <w:i/>
              </w:rPr>
              <w:t>%</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890" w:type="dxa"/>
            <w:tcBorders/>
            <w:shd w:fill="CCEEFF" w:val="clear"/>
            <w:vAlign w:val="center"/>
          </w:tcPr>
          <w:p>
            <w:pPr>
              <w:pStyle w:val="TableContents"/>
              <w:bidi w:val="0"/>
              <w:spacing w:before="0" w:after="283"/>
              <w:jc w:val="right"/>
              <w:rPr>
                <w:i/>
              </w:rPr>
            </w:pPr>
            <w:r>
              <w:rPr>
                <w:i/>
              </w:rPr>
              <w:t>20.1</w:t>
            </w:r>
          </w:p>
        </w:tc>
        <w:tc>
          <w:tcPr>
            <w:tcW w:w="262" w:type="dxa"/>
            <w:tcBorders/>
            <w:shd w:fill="CCEEFF" w:val="clear"/>
            <w:vAlign w:val="center"/>
          </w:tcPr>
          <w:p>
            <w:pPr>
              <w:pStyle w:val="TableContents"/>
              <w:bidi w:val="0"/>
              <w:spacing w:before="0" w:after="283"/>
              <w:jc w:val="left"/>
              <w:rPr>
                <w:i/>
              </w:rPr>
            </w:pPr>
            <w:r>
              <w:rPr>
                <w:i/>
              </w:rPr>
              <w:t>%</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i/>
              </w:rPr>
            </w:pPr>
            <w:r>
              <w:rPr>
                <w:i/>
              </w:rPr>
              <w:t>22.9</w:t>
            </w:r>
          </w:p>
        </w:tc>
        <w:tc>
          <w:tcPr>
            <w:tcW w:w="262" w:type="dxa"/>
            <w:tcBorders/>
            <w:shd w:fill="CCEEFF" w:val="clear"/>
            <w:vAlign w:val="center"/>
          </w:tcPr>
          <w:p>
            <w:pPr>
              <w:pStyle w:val="TableContents"/>
              <w:bidi w:val="0"/>
              <w:spacing w:before="0" w:after="283"/>
              <w:jc w:val="left"/>
              <w:rPr>
                <w:i/>
              </w:rPr>
            </w:pPr>
            <w:r>
              <w:rPr>
                <w:i/>
              </w:rPr>
              <w:t>%</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i/>
              </w:rPr>
            </w:pPr>
            <w:r>
              <w:rPr>
                <w:i/>
              </w:rPr>
              <w:t>21.9</w:t>
            </w:r>
          </w:p>
        </w:tc>
        <w:tc>
          <w:tcPr>
            <w:tcW w:w="262" w:type="dxa"/>
            <w:tcBorders/>
            <w:shd w:fill="CCEEFF" w:val="clear"/>
            <w:vAlign w:val="center"/>
          </w:tcPr>
          <w:p>
            <w:pPr>
              <w:pStyle w:val="TableContents"/>
              <w:bidi w:val="0"/>
              <w:spacing w:before="0" w:after="283"/>
              <w:jc w:val="left"/>
              <w:rPr>
                <w:i/>
              </w:rPr>
            </w:pPr>
            <w:r>
              <w:rPr>
                <w:i/>
              </w:rPr>
              <w:t>%</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i/>
              </w:rPr>
            </w:pPr>
            <w:r>
              <w:rPr>
                <w:i/>
              </w:rPr>
              <w:t>24.6</w:t>
            </w:r>
          </w:p>
        </w:tc>
        <w:tc>
          <w:tcPr>
            <w:tcW w:w="319" w:type="dxa"/>
            <w:tcBorders/>
            <w:shd w:fill="CCEEFF" w:val="clear"/>
            <w:vAlign w:val="center"/>
          </w:tcPr>
          <w:p>
            <w:pPr>
              <w:pStyle w:val="TableContents"/>
              <w:bidi w:val="0"/>
              <w:spacing w:before="0" w:after="283"/>
              <w:jc w:val="left"/>
              <w:rPr>
                <w:i/>
              </w:rPr>
            </w:pPr>
            <w:r>
              <w:rPr>
                <w:i/>
              </w:rPr>
              <w:t>%</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r>
      <w:tr>
        <w:trPr/>
        <w:tc>
          <w:tcPr>
            <w:tcW w:w="5693" w:type="dxa"/>
            <w:tcBorders/>
            <w:shd w:fill="CCEEFF" w:val="clear"/>
            <w:vAlign w:val="center"/>
          </w:tcPr>
          <w:p>
            <w:pPr>
              <w:pStyle w:val="TableContents"/>
              <w:bidi w:val="0"/>
              <w:spacing w:before="0" w:after="283"/>
              <w:jc w:val="left"/>
              <w:rPr/>
            </w:pPr>
            <w:r>
              <w:rPr/>
              <w:t>Other income (expense), net</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9,368</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890" w:type="dxa"/>
            <w:tcBorders>
              <w:bottom w:val="single" w:sz="4" w:space="0" w:color="000000"/>
            </w:tcBorders>
            <w:shd w:fill="CCEEFF" w:val="clear"/>
            <w:tcMar>
              <w:bottom w:w="28" w:type="dxa"/>
            </w:tcMar>
            <w:vAlign w:val="center"/>
          </w:tcPr>
          <w:p>
            <w:pPr>
              <w:pStyle w:val="TableContents"/>
              <w:bidi w:val="0"/>
              <w:spacing w:before="0" w:after="283"/>
              <w:jc w:val="right"/>
              <w:rPr/>
            </w:pPr>
            <w:r>
              <w:rPr/>
              <w:t>11,677</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(9,428</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40,718</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(10,232</w:t>
            </w:r>
          </w:p>
        </w:tc>
        <w:tc>
          <w:tcPr>
            <w:tcW w:w="319"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ind w:left="0" w:right="0" w:firstLine="150"/>
              <w:jc w:val="left"/>
              <w:rPr/>
            </w:pPr>
            <w:r>
              <w:rPr/>
              <w:t> </w:t>
            </w:r>
          </w:p>
        </w:tc>
      </w:tr>
      <w:tr>
        <w:trPr/>
        <w:tc>
          <w:tcPr>
            <w:tcW w:w="5693" w:type="dxa"/>
            <w:tcBorders/>
            <w:shd w:fill="CCEEFF" w:val="clear"/>
            <w:vAlign w:val="center"/>
          </w:tcPr>
          <w:p>
            <w:pPr>
              <w:pStyle w:val="TableContents"/>
              <w:bidi w:val="0"/>
              <w:spacing w:before="0" w:after="283"/>
              <w:jc w:val="left"/>
              <w:rPr/>
            </w:pPr>
            <w:r>
              <w:rPr/>
              <w:t>Income before income tax provision</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54,872</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890" w:type="dxa"/>
            <w:tcBorders/>
            <w:shd w:fill="CCEEFF" w:val="clear"/>
            <w:vAlign w:val="center"/>
          </w:tcPr>
          <w:p>
            <w:pPr>
              <w:pStyle w:val="TableContents"/>
              <w:bidi w:val="0"/>
              <w:spacing w:before="0" w:after="283"/>
              <w:jc w:val="right"/>
              <w:rPr/>
            </w:pPr>
            <w:r>
              <w:rPr/>
              <w:t>53,856</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38,733</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183,260</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145,822</w:t>
            </w:r>
          </w:p>
        </w:tc>
        <w:tc>
          <w:tcPr>
            <w:tcW w:w="319" w:type="dxa"/>
            <w:tcBorders/>
            <w:shd w:fill="CCEEFF" w:val="clear"/>
            <w:vAlign w:val="center"/>
          </w:tcPr>
          <w:p>
            <w:pPr>
              <w:pStyle w:val="TableContents"/>
              <w:bidi w:val="0"/>
              <w:spacing w:before="0" w:after="283"/>
              <w:jc w:val="left"/>
              <w:rPr/>
            </w:pPr>
            <w:r>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r>
      <w:tr>
        <w:trPr/>
        <w:tc>
          <w:tcPr>
            <w:tcW w:w="5693" w:type="dxa"/>
            <w:tcBorders/>
            <w:shd w:fill="CCEEFF" w:val="clear"/>
            <w:vAlign w:val="center"/>
          </w:tcPr>
          <w:p>
            <w:pPr>
              <w:pStyle w:val="TableContents"/>
              <w:bidi w:val="0"/>
              <w:spacing w:before="0" w:after="283"/>
              <w:jc w:val="left"/>
              <w:rPr/>
            </w:pPr>
            <w:r>
              <w:rPr/>
              <w:t>Income tax provision</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10,989</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890" w:type="dxa"/>
            <w:tcBorders>
              <w:bottom w:val="single" w:sz="4" w:space="0" w:color="000000"/>
            </w:tcBorders>
            <w:shd w:fill="CCEEFF" w:val="clear"/>
            <w:tcMar>
              <w:bottom w:w="28" w:type="dxa"/>
            </w:tcMar>
            <w:vAlign w:val="center"/>
          </w:tcPr>
          <w:p>
            <w:pPr>
              <w:pStyle w:val="TableContents"/>
              <w:bidi w:val="0"/>
              <w:spacing w:before="0" w:after="283"/>
              <w:jc w:val="right"/>
              <w:rPr/>
            </w:pPr>
            <w:r>
              <w:rPr/>
              <w:t>10,606</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9,594</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35,950</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34,209</w:t>
            </w:r>
          </w:p>
        </w:tc>
        <w:tc>
          <w:tcPr>
            <w:tcW w:w="319"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ind w:left="0" w:right="0" w:firstLine="150"/>
              <w:jc w:val="left"/>
              <w:rPr/>
            </w:pPr>
            <w:r>
              <w:rPr/>
              <w:t> </w:t>
            </w:r>
          </w:p>
        </w:tc>
      </w:tr>
      <w:tr>
        <w:trPr/>
        <w:tc>
          <w:tcPr>
            <w:tcW w:w="5693" w:type="dxa"/>
            <w:tcBorders/>
            <w:shd w:fill="CCEEFF" w:val="clear"/>
            <w:vAlign w:val="center"/>
          </w:tcPr>
          <w:p>
            <w:pPr>
              <w:pStyle w:val="TableContents"/>
              <w:bidi w:val="0"/>
              <w:spacing w:before="0" w:after="283"/>
              <w:jc w:val="left"/>
              <w:rPr/>
            </w:pPr>
            <w:r>
              <w:rPr/>
              <w:t>Net income</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43,883</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890" w:type="dxa"/>
            <w:tcBorders/>
            <w:shd w:fill="CCEEFF" w:val="clear"/>
            <w:vAlign w:val="center"/>
          </w:tcPr>
          <w:p>
            <w:pPr>
              <w:pStyle w:val="TableContents"/>
              <w:bidi w:val="0"/>
              <w:spacing w:before="0" w:after="283"/>
              <w:jc w:val="right"/>
              <w:rPr/>
            </w:pPr>
            <w:r>
              <w:rPr/>
              <w:t>43,250</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29,139</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147,310</w:t>
            </w:r>
          </w:p>
        </w:tc>
        <w:tc>
          <w:tcPr>
            <w:tcW w:w="26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right"/>
              <w:rPr/>
            </w:pPr>
            <w:r>
              <w:rPr/>
              <w:t> </w:t>
            </w:r>
          </w:p>
        </w:tc>
        <w:tc>
          <w:tcPr>
            <w:tcW w:w="1100" w:type="dxa"/>
            <w:tcBorders/>
            <w:shd w:fill="CCEEFF" w:val="clear"/>
            <w:vAlign w:val="center"/>
          </w:tcPr>
          <w:p>
            <w:pPr>
              <w:pStyle w:val="TableContents"/>
              <w:bidi w:val="0"/>
              <w:spacing w:before="0" w:after="283"/>
              <w:jc w:val="right"/>
              <w:rPr/>
            </w:pPr>
            <w:r>
              <w:rPr/>
              <w:t>111,613</w:t>
            </w:r>
          </w:p>
        </w:tc>
        <w:tc>
          <w:tcPr>
            <w:tcW w:w="319" w:type="dxa"/>
            <w:tcBorders/>
            <w:shd w:fill="CCEEFF" w:val="clear"/>
            <w:vAlign w:val="center"/>
          </w:tcPr>
          <w:p>
            <w:pPr>
              <w:pStyle w:val="TableContents"/>
              <w:bidi w:val="0"/>
              <w:spacing w:before="0" w:after="283"/>
              <w:jc w:val="left"/>
              <w:rPr/>
            </w:pPr>
            <w:r>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r>
      <w:tr>
        <w:trPr/>
        <w:tc>
          <w:tcPr>
            <w:tcW w:w="5693" w:type="dxa"/>
            <w:tcBorders/>
            <w:shd w:fill="CCEEFF" w:val="clear"/>
            <w:vAlign w:val="center"/>
          </w:tcPr>
          <w:p>
            <w:pPr>
              <w:pStyle w:val="TableContents"/>
              <w:bidi w:val="0"/>
              <w:spacing w:before="0" w:after="283"/>
              <w:jc w:val="left"/>
              <w:rPr/>
            </w:pPr>
            <w:r>
              <w:rPr/>
              <w:t>Net income attributable to noncontrolling interests</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14,967</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890" w:type="dxa"/>
            <w:tcBorders>
              <w:bottom w:val="single" w:sz="4" w:space="0" w:color="000000"/>
            </w:tcBorders>
            <w:shd w:fill="CCEEFF" w:val="clear"/>
            <w:tcMar>
              <w:bottom w:w="28" w:type="dxa"/>
            </w:tcMar>
            <w:vAlign w:val="center"/>
          </w:tcPr>
          <w:p>
            <w:pPr>
              <w:pStyle w:val="TableContents"/>
              <w:bidi w:val="0"/>
              <w:spacing w:before="0" w:after="283"/>
              <w:jc w:val="right"/>
              <w:rPr/>
            </w:pPr>
            <w:r>
              <w:rPr/>
              <w:t>11,821</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6,248</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44,026</w:t>
            </w:r>
          </w:p>
        </w:tc>
        <w:tc>
          <w:tcPr>
            <w:tcW w:w="262"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4" w:space="0" w:color="000000"/>
            </w:tcBorders>
            <w:shd w:fill="CCEEFF" w:val="clear"/>
            <w:tcMar>
              <w:bottom w:w="28" w:type="dxa"/>
            </w:tcMar>
            <w:vAlign w:val="center"/>
          </w:tcPr>
          <w:p>
            <w:pPr>
              <w:pStyle w:val="TableContents"/>
              <w:bidi w:val="0"/>
              <w:spacing w:before="0" w:after="283"/>
              <w:jc w:val="right"/>
              <w:rPr/>
            </w:pPr>
            <w:r>
              <w:rPr/>
              <w:t>37,009</w:t>
            </w:r>
          </w:p>
        </w:tc>
        <w:tc>
          <w:tcPr>
            <w:tcW w:w="319"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r>
      <w:tr>
        <w:trPr/>
        <w:tc>
          <w:tcPr>
            <w:tcW w:w="5693" w:type="dxa"/>
            <w:tcBorders/>
            <w:shd w:fill="CCEEFF" w:val="clear"/>
            <w:vAlign w:val="center"/>
          </w:tcPr>
          <w:p>
            <w:pPr>
              <w:pStyle w:val="TableContents"/>
              <w:bidi w:val="0"/>
              <w:spacing w:before="0" w:after="283"/>
              <w:jc w:val="left"/>
              <w:rPr/>
            </w:pPr>
            <w:r>
              <w:rPr/>
              <w:t>Net income attributable to Photronics, Inc. shareholders</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double" w:sz="5" w:space="0" w:color="000000"/>
            </w:tcBorders>
            <w:shd w:fill="CCEEFF" w:val="clear"/>
            <w:tcMar>
              <w:bottom w:w="28" w:type="dxa"/>
            </w:tcMar>
            <w:vAlign w:val="center"/>
          </w:tcPr>
          <w:p>
            <w:pPr>
              <w:pStyle w:val="TableContents"/>
              <w:bidi w:val="0"/>
              <w:spacing w:before="0" w:after="283"/>
              <w:jc w:val="right"/>
              <w:rPr/>
            </w:pPr>
            <w:r>
              <w:rPr/>
              <w:t>$</w:t>
            </w:r>
          </w:p>
        </w:tc>
        <w:tc>
          <w:tcPr>
            <w:tcW w:w="1100" w:type="dxa"/>
            <w:tcBorders>
              <w:bottom w:val="double" w:sz="5" w:space="0" w:color="000000"/>
            </w:tcBorders>
            <w:shd w:fill="CCEEFF" w:val="clear"/>
            <w:tcMar>
              <w:bottom w:w="28" w:type="dxa"/>
            </w:tcMar>
            <w:vAlign w:val="center"/>
          </w:tcPr>
          <w:p>
            <w:pPr>
              <w:pStyle w:val="TableContents"/>
              <w:bidi w:val="0"/>
              <w:spacing w:before="0" w:after="283"/>
              <w:jc w:val="right"/>
              <w:rPr/>
            </w:pPr>
            <w:r>
              <w:rPr/>
              <w:t>28,916</w:t>
            </w:r>
          </w:p>
        </w:tc>
        <w:tc>
          <w:tcPr>
            <w:tcW w:w="262" w:type="dxa"/>
            <w:tcBorders>
              <w:bottom w:val="double" w:sz="5"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double" w:sz="5" w:space="0" w:color="000000"/>
            </w:tcBorders>
            <w:shd w:fill="CCEEFF" w:val="clear"/>
            <w:tcMar>
              <w:bottom w:w="28" w:type="dxa"/>
            </w:tcMar>
            <w:vAlign w:val="center"/>
          </w:tcPr>
          <w:p>
            <w:pPr>
              <w:pStyle w:val="TableContents"/>
              <w:bidi w:val="0"/>
              <w:spacing w:before="0" w:after="283"/>
              <w:jc w:val="right"/>
              <w:rPr/>
            </w:pPr>
            <w:r>
              <w:rPr/>
              <w:t>$</w:t>
            </w:r>
          </w:p>
        </w:tc>
        <w:tc>
          <w:tcPr>
            <w:tcW w:w="890" w:type="dxa"/>
            <w:tcBorders>
              <w:bottom w:val="double" w:sz="5" w:space="0" w:color="000000"/>
            </w:tcBorders>
            <w:shd w:fill="CCEEFF" w:val="clear"/>
            <w:tcMar>
              <w:bottom w:w="28" w:type="dxa"/>
            </w:tcMar>
            <w:vAlign w:val="center"/>
          </w:tcPr>
          <w:p>
            <w:pPr>
              <w:pStyle w:val="TableContents"/>
              <w:bidi w:val="0"/>
              <w:spacing w:before="0" w:after="283"/>
              <w:jc w:val="right"/>
              <w:rPr/>
            </w:pPr>
            <w:r>
              <w:rPr/>
              <w:t>31,429</w:t>
            </w:r>
          </w:p>
        </w:tc>
        <w:tc>
          <w:tcPr>
            <w:tcW w:w="262" w:type="dxa"/>
            <w:tcBorders>
              <w:bottom w:val="double" w:sz="5"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double" w:sz="5" w:space="0" w:color="000000"/>
            </w:tcBorders>
            <w:shd w:fill="CCEEFF" w:val="clear"/>
            <w:tcMar>
              <w:bottom w:w="28" w:type="dxa"/>
            </w:tcMar>
            <w:vAlign w:val="center"/>
          </w:tcPr>
          <w:p>
            <w:pPr>
              <w:pStyle w:val="TableContents"/>
              <w:bidi w:val="0"/>
              <w:spacing w:before="0" w:after="283"/>
              <w:jc w:val="right"/>
              <w:rPr/>
            </w:pPr>
            <w:r>
              <w:rPr/>
              <w:t>$</w:t>
            </w:r>
          </w:p>
        </w:tc>
        <w:tc>
          <w:tcPr>
            <w:tcW w:w="1100" w:type="dxa"/>
            <w:tcBorders>
              <w:bottom w:val="double" w:sz="5" w:space="0" w:color="000000"/>
            </w:tcBorders>
            <w:shd w:fill="CCEEFF" w:val="clear"/>
            <w:tcMar>
              <w:bottom w:w="28" w:type="dxa"/>
            </w:tcMar>
            <w:vAlign w:val="center"/>
          </w:tcPr>
          <w:p>
            <w:pPr>
              <w:pStyle w:val="TableContents"/>
              <w:bidi w:val="0"/>
              <w:spacing w:before="0" w:after="283"/>
              <w:jc w:val="right"/>
              <w:rPr/>
            </w:pPr>
            <w:r>
              <w:rPr/>
              <w:t>22,891</w:t>
            </w:r>
          </w:p>
        </w:tc>
        <w:tc>
          <w:tcPr>
            <w:tcW w:w="262" w:type="dxa"/>
            <w:tcBorders>
              <w:bottom w:val="double" w:sz="5"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double" w:sz="5" w:space="0" w:color="000000"/>
            </w:tcBorders>
            <w:shd w:fill="CCEEFF" w:val="clear"/>
            <w:tcMar>
              <w:bottom w:w="28" w:type="dxa"/>
            </w:tcMar>
            <w:vAlign w:val="center"/>
          </w:tcPr>
          <w:p>
            <w:pPr>
              <w:pStyle w:val="TableContents"/>
              <w:bidi w:val="0"/>
              <w:spacing w:before="0" w:after="283"/>
              <w:jc w:val="right"/>
              <w:rPr/>
            </w:pPr>
            <w:r>
              <w:rPr/>
              <w:t>$</w:t>
            </w:r>
          </w:p>
        </w:tc>
        <w:tc>
          <w:tcPr>
            <w:tcW w:w="1100" w:type="dxa"/>
            <w:tcBorders>
              <w:bottom w:val="double" w:sz="5" w:space="0" w:color="000000"/>
            </w:tcBorders>
            <w:shd w:fill="CCEEFF" w:val="clear"/>
            <w:tcMar>
              <w:bottom w:w="28" w:type="dxa"/>
            </w:tcMar>
            <w:vAlign w:val="center"/>
          </w:tcPr>
          <w:p>
            <w:pPr>
              <w:pStyle w:val="TableContents"/>
              <w:bidi w:val="0"/>
              <w:spacing w:before="0" w:after="283"/>
              <w:jc w:val="right"/>
              <w:rPr/>
            </w:pPr>
            <w:r>
              <w:rPr/>
              <w:t>103,284</w:t>
            </w:r>
          </w:p>
        </w:tc>
        <w:tc>
          <w:tcPr>
            <w:tcW w:w="262" w:type="dxa"/>
            <w:tcBorders>
              <w:bottom w:val="double" w:sz="5"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right"/>
              <w:rPr/>
            </w:pPr>
            <w:r>
              <w:rPr/>
              <w:t> </w:t>
            </w:r>
          </w:p>
        </w:tc>
        <w:tc>
          <w:tcPr>
            <w:tcW w:w="182" w:type="dxa"/>
            <w:tcBorders>
              <w:bottom w:val="double" w:sz="5" w:space="0" w:color="000000"/>
            </w:tcBorders>
            <w:shd w:fill="CCEEFF" w:val="clear"/>
            <w:tcMar>
              <w:bottom w:w="28" w:type="dxa"/>
            </w:tcMar>
            <w:vAlign w:val="center"/>
          </w:tcPr>
          <w:p>
            <w:pPr>
              <w:pStyle w:val="TableContents"/>
              <w:bidi w:val="0"/>
              <w:spacing w:before="0" w:after="283"/>
              <w:jc w:val="right"/>
              <w:rPr/>
            </w:pPr>
            <w:r>
              <w:rPr/>
              <w:t>$</w:t>
            </w:r>
          </w:p>
        </w:tc>
        <w:tc>
          <w:tcPr>
            <w:tcW w:w="1100" w:type="dxa"/>
            <w:tcBorders>
              <w:bottom w:val="double" w:sz="5" w:space="0" w:color="000000"/>
            </w:tcBorders>
            <w:shd w:fill="CCEEFF" w:val="clear"/>
            <w:tcMar>
              <w:bottom w:w="28" w:type="dxa"/>
            </w:tcMar>
            <w:vAlign w:val="center"/>
          </w:tcPr>
          <w:p>
            <w:pPr>
              <w:pStyle w:val="TableContents"/>
              <w:bidi w:val="0"/>
              <w:spacing w:before="0" w:after="283"/>
              <w:jc w:val="right"/>
              <w:rPr/>
            </w:pPr>
            <w:r>
              <w:rPr/>
              <w:t>74,604</w:t>
            </w:r>
          </w:p>
        </w:tc>
        <w:tc>
          <w:tcPr>
            <w:tcW w:w="319" w:type="dxa"/>
            <w:tcBorders>
              <w:bottom w:val="double" w:sz="5" w:space="0" w:color="000000"/>
            </w:tcBorders>
            <w:shd w:fill="CCEEFF" w:val="clear"/>
            <w:tcMar>
              <w:bottom w:w="28" w:type="dxa"/>
            </w:tcMar>
            <w:vAlign w:val="center"/>
          </w:tcPr>
          <w:p>
            <w:pPr>
              <w:pStyle w:val="TableContents"/>
              <w:bidi w:val="0"/>
              <w:spacing w:before="0" w:after="283"/>
              <w:jc w:val="left"/>
              <w:rPr/>
            </w:pPr>
            <w:r>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r>
      <w:tr>
        <w:trPr/>
        <w:tc>
          <w:tcPr>
            <w:tcW w:w="7333" w:type="dxa"/>
            <w:gridSpan w:val="5"/>
            <w:tcBorders/>
            <w:shd w:fill="CCEEFF" w:val="clear"/>
            <w:vAlign w:val="center"/>
          </w:tcPr>
          <w:p>
            <w:pPr>
              <w:pStyle w:val="TableContents"/>
              <w:bidi w:val="0"/>
              <w:spacing w:before="0" w:after="283"/>
              <w:jc w:val="left"/>
              <w:rPr/>
            </w:pPr>
            <w:r>
              <w:rPr/>
              <w:t>Earnings per share attributed to Photronics, Inc. shareholders:</w:t>
            </w:r>
          </w:p>
        </w:tc>
        <w:tc>
          <w:tcPr>
            <w:tcW w:w="96" w:type="dxa"/>
            <w:tcBorders/>
            <w:shd w:fill="CCEEFF" w:val="clear"/>
            <w:vAlign w:val="center"/>
          </w:tcPr>
          <w:p>
            <w:pPr>
              <w:pStyle w:val="TableContents"/>
              <w:bidi w:val="0"/>
              <w:spacing w:before="0" w:after="283"/>
              <w:jc w:val="left"/>
              <w:rPr>
                <w:u w:val="single"/>
              </w:rPr>
            </w:pPr>
            <w:r>
              <w:rPr>
                <w:u w:val="single"/>
              </w:rPr>
              <w:t> </w:t>
            </w:r>
          </w:p>
        </w:tc>
        <w:tc>
          <w:tcPr>
            <w:tcW w:w="182" w:type="dxa"/>
            <w:tcBorders/>
            <w:shd w:fill="CCEEFF" w:val="clear"/>
            <w:vAlign w:val="center"/>
          </w:tcPr>
          <w:p>
            <w:pPr>
              <w:pStyle w:val="TableContents"/>
              <w:bidi w:val="0"/>
              <w:spacing w:before="0" w:after="283"/>
              <w:jc w:val="left"/>
              <w:rPr>
                <w:u w:val="single"/>
              </w:rPr>
            </w:pPr>
            <w:r>
              <w:rPr>
                <w:u w:val="single"/>
              </w:rPr>
              <w:t> </w:t>
            </w:r>
          </w:p>
        </w:tc>
        <w:tc>
          <w:tcPr>
            <w:tcW w:w="890" w:type="dxa"/>
            <w:tcBorders/>
            <w:shd w:fill="CCEEFF" w:val="clear"/>
            <w:vAlign w:val="center"/>
          </w:tcPr>
          <w:p>
            <w:pPr>
              <w:pStyle w:val="TableContents"/>
              <w:bidi w:val="0"/>
              <w:spacing w:before="0" w:after="283"/>
              <w:jc w:val="left"/>
              <w:rPr>
                <w:u w:val="single"/>
              </w:rPr>
            </w:pPr>
            <w:r>
              <w:rPr>
                <w:u w:val="single"/>
              </w:rPr>
              <w:t> </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left"/>
              <w:rPr>
                <w:u w:val="single"/>
              </w:rPr>
            </w:pPr>
            <w:r>
              <w:rPr>
                <w:u w:val="single"/>
              </w:rPr>
              <w:t> </w:t>
            </w:r>
          </w:p>
        </w:tc>
        <w:tc>
          <w:tcPr>
            <w:tcW w:w="182" w:type="dxa"/>
            <w:tcBorders/>
            <w:shd w:fill="CCEEFF" w:val="clear"/>
            <w:vAlign w:val="center"/>
          </w:tcPr>
          <w:p>
            <w:pPr>
              <w:pStyle w:val="TableContents"/>
              <w:bidi w:val="0"/>
              <w:spacing w:before="0" w:after="283"/>
              <w:jc w:val="left"/>
              <w:rPr>
                <w:u w:val="single"/>
              </w:rPr>
            </w:pPr>
            <w:r>
              <w:rPr>
                <w:u w:val="single"/>
              </w:rPr>
              <w:t> </w:t>
            </w:r>
          </w:p>
        </w:tc>
        <w:tc>
          <w:tcPr>
            <w:tcW w:w="1100" w:type="dxa"/>
            <w:tcBorders/>
            <w:shd w:fill="CCEEFF" w:val="clear"/>
            <w:vAlign w:val="center"/>
          </w:tcPr>
          <w:p>
            <w:pPr>
              <w:pStyle w:val="TableContents"/>
              <w:bidi w:val="0"/>
              <w:spacing w:before="0" w:after="283"/>
              <w:jc w:val="left"/>
              <w:rPr>
                <w:u w:val="single"/>
              </w:rPr>
            </w:pPr>
            <w:r>
              <w:rPr>
                <w:u w:val="single"/>
              </w:rPr>
              <w:t> </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left"/>
              <w:rPr>
                <w:u w:val="single"/>
              </w:rPr>
            </w:pPr>
            <w:r>
              <w:rPr>
                <w:u w:val="single"/>
              </w:rPr>
              <w:t> </w:t>
            </w:r>
          </w:p>
        </w:tc>
        <w:tc>
          <w:tcPr>
            <w:tcW w:w="182" w:type="dxa"/>
            <w:tcBorders/>
            <w:shd w:fill="CCEEFF" w:val="clear"/>
            <w:vAlign w:val="center"/>
          </w:tcPr>
          <w:p>
            <w:pPr>
              <w:pStyle w:val="TableContents"/>
              <w:bidi w:val="0"/>
              <w:spacing w:before="0" w:after="283"/>
              <w:jc w:val="left"/>
              <w:rPr>
                <w:u w:val="single"/>
              </w:rPr>
            </w:pPr>
            <w:r>
              <w:rPr>
                <w:u w:val="single"/>
              </w:rPr>
              <w:t> </w:t>
            </w:r>
          </w:p>
        </w:tc>
        <w:tc>
          <w:tcPr>
            <w:tcW w:w="1100" w:type="dxa"/>
            <w:tcBorders/>
            <w:shd w:fill="CCEEFF" w:val="clear"/>
            <w:vAlign w:val="center"/>
          </w:tcPr>
          <w:p>
            <w:pPr>
              <w:pStyle w:val="TableContents"/>
              <w:bidi w:val="0"/>
              <w:spacing w:before="0" w:after="283"/>
              <w:jc w:val="left"/>
              <w:rPr>
                <w:u w:val="single"/>
              </w:rPr>
            </w:pPr>
            <w:r>
              <w:rPr>
                <w:u w:val="single"/>
              </w:rPr>
              <w:t> </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left"/>
              <w:rPr>
                <w:u w:val="single"/>
              </w:rPr>
            </w:pPr>
            <w:r>
              <w:rPr>
                <w:u w:val="single"/>
              </w:rPr>
              <w:t> </w:t>
            </w:r>
          </w:p>
        </w:tc>
        <w:tc>
          <w:tcPr>
            <w:tcW w:w="182" w:type="dxa"/>
            <w:tcBorders/>
            <w:shd w:fill="CCEEFF" w:val="clear"/>
            <w:vAlign w:val="center"/>
          </w:tcPr>
          <w:p>
            <w:pPr>
              <w:pStyle w:val="TableContents"/>
              <w:bidi w:val="0"/>
              <w:spacing w:before="0" w:after="283"/>
              <w:jc w:val="left"/>
              <w:rPr>
                <w:u w:val="single"/>
              </w:rPr>
            </w:pPr>
            <w:r>
              <w:rPr>
                <w:u w:val="single"/>
              </w:rPr>
              <w:t> </w:t>
            </w:r>
          </w:p>
        </w:tc>
        <w:tc>
          <w:tcPr>
            <w:tcW w:w="1100" w:type="dxa"/>
            <w:tcBorders/>
            <w:shd w:fill="CCEEFF" w:val="clear"/>
            <w:vAlign w:val="center"/>
          </w:tcPr>
          <w:p>
            <w:pPr>
              <w:pStyle w:val="TableContents"/>
              <w:bidi w:val="0"/>
              <w:spacing w:before="0" w:after="283"/>
              <w:jc w:val="left"/>
              <w:rPr>
                <w:u w:val="single"/>
              </w:rPr>
            </w:pPr>
            <w:r>
              <w:rPr>
                <w:u w:val="single"/>
              </w:rPr>
              <w:t> </w:t>
            </w:r>
          </w:p>
        </w:tc>
        <w:tc>
          <w:tcPr>
            <w:tcW w:w="319" w:type="dxa"/>
            <w:tcBorders/>
            <w:shd w:fill="CCEEFF" w:val="clear"/>
            <w:vAlign w:val="center"/>
          </w:tcPr>
          <w:p>
            <w:pPr>
              <w:pStyle w:val="TableContents"/>
              <w:bidi w:val="0"/>
              <w:spacing w:before="0" w:after="283"/>
              <w:jc w:val="left"/>
              <w:rPr>
                <w:u w:val="single"/>
              </w:rPr>
            </w:pPr>
            <w:r>
              <w:rPr>
                <w:u w:val="single"/>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89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319" w:type="dxa"/>
            <w:tcBorders/>
            <w:vAlign w:val="center"/>
          </w:tcPr>
          <w:p>
            <w:pPr>
              <w:pStyle w:val="TableContents"/>
              <w:bidi w:val="0"/>
              <w:spacing w:before="0" w:after="283"/>
              <w:ind w:left="0" w:right="0" w:firstLine="150"/>
              <w:jc w:val="left"/>
              <w:rPr>
                <w:u w:val="single"/>
              </w:rPr>
            </w:pPr>
            <w:r>
              <w:rPr>
                <w:u w:val="single"/>
              </w:rPr>
              <w:t> </w:t>
            </w:r>
          </w:p>
        </w:tc>
      </w:tr>
      <w:tr>
        <w:trPr/>
        <w:tc>
          <w:tcPr>
            <w:tcW w:w="5693" w:type="dxa"/>
            <w:tcBorders/>
            <w:shd w:fill="CCEEFF" w:val="clear"/>
            <w:vAlign w:val="center"/>
          </w:tcPr>
          <w:p>
            <w:pPr>
              <w:pStyle w:val="TableContents"/>
              <w:bidi w:val="0"/>
              <w:spacing w:before="0" w:after="283"/>
              <w:jc w:val="left"/>
              <w:rPr/>
            </w:pPr>
            <w:r>
              <w:rPr/>
              <w:t>Basic</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w:t>
            </w:r>
          </w:p>
        </w:tc>
        <w:tc>
          <w:tcPr>
            <w:tcW w:w="1100" w:type="dxa"/>
            <w:tcBorders/>
            <w:shd w:fill="CCEEFF" w:val="clear"/>
            <w:vAlign w:val="center"/>
          </w:tcPr>
          <w:p>
            <w:pPr>
              <w:pStyle w:val="TableContents"/>
              <w:bidi w:val="0"/>
              <w:spacing w:before="0" w:after="283"/>
              <w:jc w:val="right"/>
              <w:rPr>
                <w:u w:val="single"/>
              </w:rPr>
            </w:pPr>
            <w:r>
              <w:rPr>
                <w:u w:val="single"/>
              </w:rPr>
              <w:t>0.50</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w:t>
            </w:r>
          </w:p>
        </w:tc>
        <w:tc>
          <w:tcPr>
            <w:tcW w:w="890" w:type="dxa"/>
            <w:tcBorders/>
            <w:shd w:fill="CCEEFF" w:val="clear"/>
            <w:vAlign w:val="center"/>
          </w:tcPr>
          <w:p>
            <w:pPr>
              <w:pStyle w:val="TableContents"/>
              <w:bidi w:val="0"/>
              <w:spacing w:before="0" w:after="283"/>
              <w:jc w:val="right"/>
              <w:rPr>
                <w:u w:val="single"/>
              </w:rPr>
            </w:pPr>
            <w:r>
              <w:rPr>
                <w:u w:val="single"/>
              </w:rPr>
              <w:t>0.54</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w:t>
            </w:r>
          </w:p>
        </w:tc>
        <w:tc>
          <w:tcPr>
            <w:tcW w:w="1100" w:type="dxa"/>
            <w:tcBorders/>
            <w:shd w:fill="CCEEFF" w:val="clear"/>
            <w:vAlign w:val="center"/>
          </w:tcPr>
          <w:p>
            <w:pPr>
              <w:pStyle w:val="TableContents"/>
              <w:bidi w:val="0"/>
              <w:spacing w:before="0" w:after="283"/>
              <w:jc w:val="right"/>
              <w:rPr>
                <w:u w:val="single"/>
              </w:rPr>
            </w:pPr>
            <w:r>
              <w:rPr>
                <w:u w:val="single"/>
              </w:rPr>
              <w:t>0.40</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w:t>
            </w:r>
          </w:p>
        </w:tc>
        <w:tc>
          <w:tcPr>
            <w:tcW w:w="1100" w:type="dxa"/>
            <w:tcBorders/>
            <w:shd w:fill="CCEEFF" w:val="clear"/>
            <w:vAlign w:val="center"/>
          </w:tcPr>
          <w:p>
            <w:pPr>
              <w:pStyle w:val="TableContents"/>
              <w:bidi w:val="0"/>
              <w:spacing w:before="0" w:after="283"/>
              <w:jc w:val="right"/>
              <w:rPr>
                <w:u w:val="single"/>
              </w:rPr>
            </w:pPr>
            <w:r>
              <w:rPr>
                <w:u w:val="single"/>
              </w:rPr>
              <w:t>1.78</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w:t>
            </w:r>
          </w:p>
        </w:tc>
        <w:tc>
          <w:tcPr>
            <w:tcW w:w="1100" w:type="dxa"/>
            <w:tcBorders/>
            <w:shd w:fill="CCEEFF" w:val="clear"/>
            <w:vAlign w:val="center"/>
          </w:tcPr>
          <w:p>
            <w:pPr>
              <w:pStyle w:val="TableContents"/>
              <w:bidi w:val="0"/>
              <w:spacing w:before="0" w:after="283"/>
              <w:jc w:val="right"/>
              <w:rPr>
                <w:u w:val="single"/>
              </w:rPr>
            </w:pPr>
            <w:r>
              <w:rPr>
                <w:u w:val="single"/>
              </w:rPr>
              <w:t>1.24</w:t>
            </w:r>
          </w:p>
        </w:tc>
        <w:tc>
          <w:tcPr>
            <w:tcW w:w="319" w:type="dxa"/>
            <w:tcBorders/>
            <w:shd w:fill="CCEEFF" w:val="clear"/>
            <w:vAlign w:val="center"/>
          </w:tcPr>
          <w:p>
            <w:pPr>
              <w:pStyle w:val="TableContents"/>
              <w:bidi w:val="0"/>
              <w:spacing w:before="0" w:after="283"/>
              <w:jc w:val="left"/>
              <w:rPr>
                <w:u w:val="single"/>
              </w:rPr>
            </w:pPr>
            <w:r>
              <w:rPr>
                <w:u w:val="single"/>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89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319" w:type="dxa"/>
            <w:tcBorders/>
            <w:vAlign w:val="center"/>
          </w:tcPr>
          <w:p>
            <w:pPr>
              <w:pStyle w:val="TableContents"/>
              <w:bidi w:val="0"/>
              <w:spacing w:before="0" w:after="283"/>
              <w:ind w:left="0" w:right="0" w:firstLine="150"/>
              <w:jc w:val="left"/>
              <w:rPr>
                <w:u w:val="single"/>
              </w:rPr>
            </w:pPr>
            <w:r>
              <w:rPr>
                <w:u w:val="single"/>
              </w:rPr>
              <w:t> </w:t>
            </w:r>
          </w:p>
        </w:tc>
      </w:tr>
      <w:tr>
        <w:trPr/>
        <w:tc>
          <w:tcPr>
            <w:tcW w:w="5693" w:type="dxa"/>
            <w:tcBorders/>
            <w:shd w:fill="CCEEFF" w:val="clear"/>
            <w:vAlign w:val="center"/>
          </w:tcPr>
          <w:p>
            <w:pPr>
              <w:pStyle w:val="TableContents"/>
              <w:bidi w:val="0"/>
              <w:spacing w:before="0" w:after="283"/>
              <w:jc w:val="left"/>
              <w:rPr/>
            </w:pPr>
            <w:r>
              <w:rPr/>
              <w:t>Diluted</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w:t>
            </w:r>
          </w:p>
        </w:tc>
        <w:tc>
          <w:tcPr>
            <w:tcW w:w="1100" w:type="dxa"/>
            <w:tcBorders/>
            <w:shd w:fill="CCEEFF" w:val="clear"/>
            <w:vAlign w:val="center"/>
          </w:tcPr>
          <w:p>
            <w:pPr>
              <w:pStyle w:val="TableContents"/>
              <w:bidi w:val="0"/>
              <w:spacing w:before="0" w:after="283"/>
              <w:jc w:val="right"/>
              <w:rPr>
                <w:u w:val="single"/>
              </w:rPr>
            </w:pPr>
            <w:r>
              <w:rPr>
                <w:u w:val="single"/>
              </w:rPr>
              <w:t>0.49</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w:t>
            </w:r>
          </w:p>
        </w:tc>
        <w:tc>
          <w:tcPr>
            <w:tcW w:w="890" w:type="dxa"/>
            <w:tcBorders/>
            <w:shd w:fill="CCEEFF" w:val="clear"/>
            <w:vAlign w:val="center"/>
          </w:tcPr>
          <w:p>
            <w:pPr>
              <w:pStyle w:val="TableContents"/>
              <w:bidi w:val="0"/>
              <w:spacing w:before="0" w:after="283"/>
              <w:jc w:val="right"/>
              <w:rPr>
                <w:u w:val="single"/>
              </w:rPr>
            </w:pPr>
            <w:r>
              <w:rPr>
                <w:u w:val="single"/>
              </w:rPr>
              <w:t>0.54</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w:t>
            </w:r>
          </w:p>
        </w:tc>
        <w:tc>
          <w:tcPr>
            <w:tcW w:w="1100" w:type="dxa"/>
            <w:tcBorders/>
            <w:shd w:fill="CCEEFF" w:val="clear"/>
            <w:vAlign w:val="center"/>
          </w:tcPr>
          <w:p>
            <w:pPr>
              <w:pStyle w:val="TableContents"/>
              <w:bidi w:val="0"/>
              <w:spacing w:before="0" w:after="283"/>
              <w:jc w:val="right"/>
              <w:rPr>
                <w:u w:val="single"/>
              </w:rPr>
            </w:pPr>
            <w:r>
              <w:rPr>
                <w:u w:val="single"/>
              </w:rPr>
              <w:t>0.39</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w:t>
            </w:r>
          </w:p>
        </w:tc>
        <w:tc>
          <w:tcPr>
            <w:tcW w:w="1100" w:type="dxa"/>
            <w:tcBorders/>
            <w:shd w:fill="CCEEFF" w:val="clear"/>
            <w:vAlign w:val="center"/>
          </w:tcPr>
          <w:p>
            <w:pPr>
              <w:pStyle w:val="TableContents"/>
              <w:bidi w:val="0"/>
              <w:spacing w:before="0" w:after="283"/>
              <w:jc w:val="right"/>
              <w:rPr>
                <w:u w:val="single"/>
              </w:rPr>
            </w:pPr>
            <w:r>
              <w:rPr>
                <w:u w:val="single"/>
              </w:rPr>
              <w:t>1.76</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w:t>
            </w:r>
          </w:p>
        </w:tc>
        <w:tc>
          <w:tcPr>
            <w:tcW w:w="1100" w:type="dxa"/>
            <w:tcBorders/>
            <w:shd w:fill="CCEEFF" w:val="clear"/>
            <w:vAlign w:val="center"/>
          </w:tcPr>
          <w:p>
            <w:pPr>
              <w:pStyle w:val="TableContents"/>
              <w:bidi w:val="0"/>
              <w:spacing w:before="0" w:after="283"/>
              <w:jc w:val="right"/>
              <w:rPr>
                <w:u w:val="single"/>
              </w:rPr>
            </w:pPr>
            <w:r>
              <w:rPr>
                <w:u w:val="single"/>
              </w:rPr>
              <w:t>1.23</w:t>
            </w:r>
          </w:p>
        </w:tc>
        <w:tc>
          <w:tcPr>
            <w:tcW w:w="319" w:type="dxa"/>
            <w:tcBorders/>
            <w:shd w:fill="CCEEFF" w:val="clear"/>
            <w:vAlign w:val="center"/>
          </w:tcPr>
          <w:p>
            <w:pPr>
              <w:pStyle w:val="TableContents"/>
              <w:bidi w:val="0"/>
              <w:spacing w:before="0" w:after="283"/>
              <w:jc w:val="left"/>
              <w:rPr>
                <w:u w:val="single"/>
              </w:rPr>
            </w:pPr>
            <w:r>
              <w:rPr>
                <w:u w:val="single"/>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89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319" w:type="dxa"/>
            <w:tcBorders/>
            <w:vAlign w:val="center"/>
          </w:tcPr>
          <w:p>
            <w:pPr>
              <w:pStyle w:val="TableContents"/>
              <w:bidi w:val="0"/>
              <w:spacing w:before="0" w:after="283"/>
              <w:jc w:val="left"/>
              <w:rPr>
                <w:u w:val="single"/>
              </w:rPr>
            </w:pPr>
            <w:r>
              <w:rPr>
                <w:u w:val="single"/>
              </w:rPr>
              <w:t> </w:t>
            </w:r>
          </w:p>
        </w:tc>
      </w:tr>
      <w:tr>
        <w:trPr/>
        <w:tc>
          <w:tcPr>
            <w:tcW w:w="7333" w:type="dxa"/>
            <w:gridSpan w:val="5"/>
            <w:tcBorders/>
            <w:shd w:fill="CCEEFF" w:val="clear"/>
            <w:vAlign w:val="center"/>
          </w:tcPr>
          <w:p>
            <w:pPr>
              <w:pStyle w:val="TableContents"/>
              <w:bidi w:val="0"/>
              <w:spacing w:before="0" w:after="283"/>
              <w:jc w:val="left"/>
              <w:rPr/>
            </w:pPr>
            <w:r>
              <w:rPr/>
              <w:t>Weighted-average number of common shares outstanding:</w:t>
            </w:r>
          </w:p>
        </w:tc>
        <w:tc>
          <w:tcPr>
            <w:tcW w:w="96" w:type="dxa"/>
            <w:tcBorders/>
            <w:shd w:fill="CCEEFF" w:val="clear"/>
            <w:vAlign w:val="center"/>
          </w:tcPr>
          <w:p>
            <w:pPr>
              <w:pStyle w:val="TableContents"/>
              <w:bidi w:val="0"/>
              <w:spacing w:before="0" w:after="283"/>
              <w:jc w:val="left"/>
              <w:rPr>
                <w:u w:val="single"/>
              </w:rPr>
            </w:pPr>
            <w:r>
              <w:rPr>
                <w:u w:val="single"/>
              </w:rPr>
              <w:t> </w:t>
            </w:r>
          </w:p>
        </w:tc>
        <w:tc>
          <w:tcPr>
            <w:tcW w:w="182" w:type="dxa"/>
            <w:tcBorders/>
            <w:shd w:fill="CCEEFF" w:val="clear"/>
            <w:vAlign w:val="center"/>
          </w:tcPr>
          <w:p>
            <w:pPr>
              <w:pStyle w:val="TableContents"/>
              <w:bidi w:val="0"/>
              <w:spacing w:before="0" w:after="283"/>
              <w:jc w:val="left"/>
              <w:rPr>
                <w:u w:val="single"/>
              </w:rPr>
            </w:pPr>
            <w:r>
              <w:rPr>
                <w:u w:val="single"/>
              </w:rPr>
              <w:t> </w:t>
            </w:r>
          </w:p>
        </w:tc>
        <w:tc>
          <w:tcPr>
            <w:tcW w:w="890" w:type="dxa"/>
            <w:tcBorders/>
            <w:shd w:fill="CCEEFF" w:val="clear"/>
            <w:vAlign w:val="center"/>
          </w:tcPr>
          <w:p>
            <w:pPr>
              <w:pStyle w:val="TableContents"/>
              <w:bidi w:val="0"/>
              <w:spacing w:before="0" w:after="283"/>
              <w:jc w:val="left"/>
              <w:rPr>
                <w:u w:val="single"/>
              </w:rPr>
            </w:pPr>
            <w:r>
              <w:rPr>
                <w:u w:val="single"/>
              </w:rPr>
              <w:t> </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left"/>
              <w:rPr>
                <w:u w:val="single"/>
              </w:rPr>
            </w:pPr>
            <w:r>
              <w:rPr>
                <w:u w:val="single"/>
              </w:rPr>
              <w:t> </w:t>
            </w:r>
          </w:p>
        </w:tc>
        <w:tc>
          <w:tcPr>
            <w:tcW w:w="182" w:type="dxa"/>
            <w:tcBorders/>
            <w:shd w:fill="CCEEFF" w:val="clear"/>
            <w:vAlign w:val="center"/>
          </w:tcPr>
          <w:p>
            <w:pPr>
              <w:pStyle w:val="TableContents"/>
              <w:bidi w:val="0"/>
              <w:spacing w:before="0" w:after="283"/>
              <w:jc w:val="left"/>
              <w:rPr>
                <w:u w:val="single"/>
              </w:rPr>
            </w:pPr>
            <w:r>
              <w:rPr>
                <w:u w:val="single"/>
              </w:rPr>
              <w:t> </w:t>
            </w:r>
          </w:p>
        </w:tc>
        <w:tc>
          <w:tcPr>
            <w:tcW w:w="1100" w:type="dxa"/>
            <w:tcBorders/>
            <w:shd w:fill="CCEEFF" w:val="clear"/>
            <w:vAlign w:val="center"/>
          </w:tcPr>
          <w:p>
            <w:pPr>
              <w:pStyle w:val="TableContents"/>
              <w:bidi w:val="0"/>
              <w:spacing w:before="0" w:after="283"/>
              <w:jc w:val="left"/>
              <w:rPr>
                <w:u w:val="single"/>
              </w:rPr>
            </w:pPr>
            <w:r>
              <w:rPr>
                <w:u w:val="single"/>
              </w:rPr>
              <w:t> </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left"/>
              <w:rPr>
                <w:u w:val="single"/>
              </w:rPr>
            </w:pPr>
            <w:r>
              <w:rPr>
                <w:u w:val="single"/>
              </w:rPr>
              <w:t> </w:t>
            </w:r>
          </w:p>
        </w:tc>
        <w:tc>
          <w:tcPr>
            <w:tcW w:w="182" w:type="dxa"/>
            <w:tcBorders/>
            <w:shd w:fill="CCEEFF" w:val="clear"/>
            <w:vAlign w:val="center"/>
          </w:tcPr>
          <w:p>
            <w:pPr>
              <w:pStyle w:val="TableContents"/>
              <w:bidi w:val="0"/>
              <w:spacing w:before="0" w:after="283"/>
              <w:jc w:val="left"/>
              <w:rPr>
                <w:u w:val="single"/>
              </w:rPr>
            </w:pPr>
            <w:r>
              <w:rPr>
                <w:u w:val="single"/>
              </w:rPr>
              <w:t> </w:t>
            </w:r>
          </w:p>
        </w:tc>
        <w:tc>
          <w:tcPr>
            <w:tcW w:w="1100" w:type="dxa"/>
            <w:tcBorders/>
            <w:shd w:fill="CCEEFF" w:val="clear"/>
            <w:vAlign w:val="center"/>
          </w:tcPr>
          <w:p>
            <w:pPr>
              <w:pStyle w:val="TableContents"/>
              <w:bidi w:val="0"/>
              <w:spacing w:before="0" w:after="283"/>
              <w:jc w:val="left"/>
              <w:rPr>
                <w:u w:val="single"/>
              </w:rPr>
            </w:pPr>
            <w:r>
              <w:rPr>
                <w:u w:val="single"/>
              </w:rPr>
              <w:t> </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left"/>
              <w:rPr>
                <w:u w:val="single"/>
              </w:rPr>
            </w:pPr>
            <w:r>
              <w:rPr>
                <w:u w:val="single"/>
              </w:rPr>
              <w:t> </w:t>
            </w:r>
          </w:p>
        </w:tc>
        <w:tc>
          <w:tcPr>
            <w:tcW w:w="182" w:type="dxa"/>
            <w:tcBorders/>
            <w:shd w:fill="CCEEFF" w:val="clear"/>
            <w:vAlign w:val="center"/>
          </w:tcPr>
          <w:p>
            <w:pPr>
              <w:pStyle w:val="TableContents"/>
              <w:bidi w:val="0"/>
              <w:spacing w:before="0" w:after="283"/>
              <w:jc w:val="left"/>
              <w:rPr>
                <w:u w:val="single"/>
              </w:rPr>
            </w:pPr>
            <w:r>
              <w:rPr>
                <w:u w:val="single"/>
              </w:rPr>
              <w:t> </w:t>
            </w:r>
          </w:p>
        </w:tc>
        <w:tc>
          <w:tcPr>
            <w:tcW w:w="1100" w:type="dxa"/>
            <w:tcBorders/>
            <w:shd w:fill="CCEEFF" w:val="clear"/>
            <w:vAlign w:val="center"/>
          </w:tcPr>
          <w:p>
            <w:pPr>
              <w:pStyle w:val="TableContents"/>
              <w:bidi w:val="0"/>
              <w:spacing w:before="0" w:after="283"/>
              <w:jc w:val="left"/>
              <w:rPr>
                <w:u w:val="single"/>
              </w:rPr>
            </w:pPr>
            <w:r>
              <w:rPr>
                <w:u w:val="single"/>
              </w:rPr>
              <w:t> </w:t>
            </w:r>
          </w:p>
        </w:tc>
        <w:tc>
          <w:tcPr>
            <w:tcW w:w="319" w:type="dxa"/>
            <w:tcBorders/>
            <w:shd w:fill="CCEEFF" w:val="clear"/>
            <w:vAlign w:val="center"/>
          </w:tcPr>
          <w:p>
            <w:pPr>
              <w:pStyle w:val="TableContents"/>
              <w:bidi w:val="0"/>
              <w:spacing w:before="0" w:after="283"/>
              <w:jc w:val="left"/>
              <w:rPr>
                <w:u w:val="single"/>
              </w:rPr>
            </w:pPr>
            <w:r>
              <w:rPr>
                <w:u w:val="single"/>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89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319" w:type="dxa"/>
            <w:tcBorders/>
            <w:vAlign w:val="center"/>
          </w:tcPr>
          <w:p>
            <w:pPr>
              <w:pStyle w:val="TableContents"/>
              <w:bidi w:val="0"/>
              <w:spacing w:before="0" w:after="283"/>
              <w:ind w:left="0" w:right="0" w:firstLine="150"/>
              <w:jc w:val="left"/>
              <w:rPr>
                <w:u w:val="single"/>
              </w:rPr>
            </w:pPr>
            <w:r>
              <w:rPr>
                <w:u w:val="single"/>
              </w:rPr>
              <w:t> </w:t>
            </w:r>
          </w:p>
        </w:tc>
      </w:tr>
      <w:tr>
        <w:trPr/>
        <w:tc>
          <w:tcPr>
            <w:tcW w:w="5693" w:type="dxa"/>
            <w:tcBorders/>
            <w:shd w:fill="CCEEFF" w:val="clear"/>
            <w:vAlign w:val="center"/>
          </w:tcPr>
          <w:p>
            <w:pPr>
              <w:pStyle w:val="TableContents"/>
              <w:bidi w:val="0"/>
              <w:spacing w:before="0" w:after="283"/>
              <w:jc w:val="left"/>
              <w:rPr/>
            </w:pPr>
            <w:r>
              <w:rPr/>
              <w:t>Basic</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 </w:t>
            </w:r>
          </w:p>
        </w:tc>
        <w:tc>
          <w:tcPr>
            <w:tcW w:w="1100" w:type="dxa"/>
            <w:tcBorders/>
            <w:shd w:fill="CCEEFF" w:val="clear"/>
            <w:vAlign w:val="center"/>
          </w:tcPr>
          <w:p>
            <w:pPr>
              <w:pStyle w:val="TableContents"/>
              <w:bidi w:val="0"/>
              <w:spacing w:before="0" w:after="283"/>
              <w:jc w:val="right"/>
              <w:rPr>
                <w:u w:val="single"/>
              </w:rPr>
            </w:pPr>
            <w:r>
              <w:rPr>
                <w:u w:val="single"/>
              </w:rPr>
              <w:t>58,181</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 </w:t>
            </w:r>
          </w:p>
        </w:tc>
        <w:tc>
          <w:tcPr>
            <w:tcW w:w="890" w:type="dxa"/>
            <w:tcBorders/>
            <w:shd w:fill="CCEEFF" w:val="clear"/>
            <w:vAlign w:val="center"/>
          </w:tcPr>
          <w:p>
            <w:pPr>
              <w:pStyle w:val="TableContents"/>
              <w:bidi w:val="0"/>
              <w:spacing w:before="0" w:after="283"/>
              <w:jc w:val="right"/>
              <w:rPr>
                <w:u w:val="single"/>
              </w:rPr>
            </w:pPr>
            <w:r>
              <w:rPr>
                <w:u w:val="single"/>
              </w:rPr>
              <w:t>58,123</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 </w:t>
            </w:r>
          </w:p>
        </w:tc>
        <w:tc>
          <w:tcPr>
            <w:tcW w:w="1100" w:type="dxa"/>
            <w:tcBorders/>
            <w:shd w:fill="CCEEFF" w:val="clear"/>
            <w:vAlign w:val="center"/>
          </w:tcPr>
          <w:p>
            <w:pPr>
              <w:pStyle w:val="TableContents"/>
              <w:bidi w:val="0"/>
              <w:spacing w:before="0" w:after="283"/>
              <w:jc w:val="right"/>
              <w:rPr>
                <w:u w:val="single"/>
              </w:rPr>
            </w:pPr>
            <w:r>
              <w:rPr>
                <w:u w:val="single"/>
              </w:rPr>
              <w:t>57,937</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 </w:t>
            </w:r>
          </w:p>
        </w:tc>
        <w:tc>
          <w:tcPr>
            <w:tcW w:w="1100" w:type="dxa"/>
            <w:tcBorders/>
            <w:shd w:fill="CCEEFF" w:val="clear"/>
            <w:vAlign w:val="center"/>
          </w:tcPr>
          <w:p>
            <w:pPr>
              <w:pStyle w:val="TableContents"/>
              <w:bidi w:val="0"/>
              <w:spacing w:before="0" w:after="283"/>
              <w:jc w:val="right"/>
              <w:rPr>
                <w:u w:val="single"/>
              </w:rPr>
            </w:pPr>
            <w:r>
              <w:rPr>
                <w:u w:val="single"/>
              </w:rPr>
              <w:t>58,033</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 </w:t>
            </w:r>
          </w:p>
        </w:tc>
        <w:tc>
          <w:tcPr>
            <w:tcW w:w="1100" w:type="dxa"/>
            <w:tcBorders/>
            <w:shd w:fill="CCEEFF" w:val="clear"/>
            <w:vAlign w:val="center"/>
          </w:tcPr>
          <w:p>
            <w:pPr>
              <w:pStyle w:val="TableContents"/>
              <w:bidi w:val="0"/>
              <w:spacing w:before="0" w:after="283"/>
              <w:jc w:val="right"/>
              <w:rPr>
                <w:u w:val="single"/>
              </w:rPr>
            </w:pPr>
            <w:r>
              <w:rPr>
                <w:u w:val="single"/>
              </w:rPr>
              <w:t>60,274</w:t>
            </w:r>
          </w:p>
        </w:tc>
        <w:tc>
          <w:tcPr>
            <w:tcW w:w="319" w:type="dxa"/>
            <w:tcBorders/>
            <w:shd w:fill="CCEEFF" w:val="clear"/>
            <w:vAlign w:val="center"/>
          </w:tcPr>
          <w:p>
            <w:pPr>
              <w:pStyle w:val="TableContents"/>
              <w:bidi w:val="0"/>
              <w:spacing w:before="0" w:after="283"/>
              <w:jc w:val="left"/>
              <w:rPr>
                <w:u w:val="single"/>
              </w:rPr>
            </w:pPr>
            <w:r>
              <w:rPr>
                <w:u w:val="single"/>
              </w:rPr>
              <w:t> </w:t>
            </w:r>
          </w:p>
        </w:tc>
      </w:tr>
      <w:tr>
        <w:trPr/>
        <w:tc>
          <w:tcPr>
            <w:tcW w:w="569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89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262" w:type="dxa"/>
            <w:tcBorders/>
            <w:vAlign w:val="center"/>
          </w:tcPr>
          <w:p>
            <w:pPr>
              <w:pStyle w:val="TableContents"/>
              <w:bidi w:val="0"/>
              <w:spacing w:before="0" w:after="283"/>
              <w:jc w:val="left"/>
              <w:rPr>
                <w:u w:val="single"/>
              </w:rPr>
            </w:pPr>
            <w:r>
              <w:rPr>
                <w:u w:val="single"/>
              </w:rPr>
              <w:t> </w:t>
            </w:r>
          </w:p>
        </w:tc>
        <w:tc>
          <w:tcPr>
            <w:tcW w:w="96" w:type="dxa"/>
            <w:tcBorders/>
            <w:vAlign w:val="center"/>
          </w:tcPr>
          <w:p>
            <w:pPr>
              <w:pStyle w:val="TableContents"/>
              <w:bidi w:val="0"/>
              <w:spacing w:before="0" w:after="283"/>
              <w:jc w:val="left"/>
              <w:rPr>
                <w:u w:val="single"/>
              </w:rPr>
            </w:pPr>
            <w:r>
              <w:rPr>
                <w:u w:val="single"/>
              </w:rPr>
              <w:t> </w:t>
            </w:r>
          </w:p>
        </w:tc>
        <w:tc>
          <w:tcPr>
            <w:tcW w:w="182" w:type="dxa"/>
            <w:tcBorders/>
            <w:vAlign w:val="center"/>
          </w:tcPr>
          <w:p>
            <w:pPr>
              <w:pStyle w:val="TableContents"/>
              <w:bidi w:val="0"/>
              <w:spacing w:before="0" w:after="283"/>
              <w:jc w:val="left"/>
              <w:rPr>
                <w:u w:val="single"/>
              </w:rPr>
            </w:pPr>
            <w:r>
              <w:rPr>
                <w:u w:val="single"/>
              </w:rPr>
              <w:t> </w:t>
            </w:r>
          </w:p>
        </w:tc>
        <w:tc>
          <w:tcPr>
            <w:tcW w:w="1100" w:type="dxa"/>
            <w:tcBorders/>
            <w:vAlign w:val="center"/>
          </w:tcPr>
          <w:p>
            <w:pPr>
              <w:pStyle w:val="TableContents"/>
              <w:bidi w:val="0"/>
              <w:spacing w:before="0" w:after="283"/>
              <w:jc w:val="left"/>
              <w:rPr>
                <w:u w:val="single"/>
              </w:rPr>
            </w:pPr>
            <w:r>
              <w:rPr>
                <w:u w:val="single"/>
              </w:rPr>
              <w:t> </w:t>
            </w:r>
          </w:p>
        </w:tc>
        <w:tc>
          <w:tcPr>
            <w:tcW w:w="319" w:type="dxa"/>
            <w:tcBorders/>
            <w:vAlign w:val="center"/>
          </w:tcPr>
          <w:p>
            <w:pPr>
              <w:pStyle w:val="TableContents"/>
              <w:bidi w:val="0"/>
              <w:spacing w:before="0" w:after="283"/>
              <w:ind w:left="0" w:right="0" w:firstLine="150"/>
              <w:jc w:val="left"/>
              <w:rPr>
                <w:u w:val="single"/>
              </w:rPr>
            </w:pPr>
            <w:r>
              <w:rPr>
                <w:u w:val="single"/>
              </w:rPr>
              <w:t> </w:t>
            </w:r>
          </w:p>
        </w:tc>
      </w:tr>
      <w:tr>
        <w:trPr/>
        <w:tc>
          <w:tcPr>
            <w:tcW w:w="5693" w:type="dxa"/>
            <w:tcBorders/>
            <w:shd w:fill="CCEEFF" w:val="clear"/>
            <w:vAlign w:val="center"/>
          </w:tcPr>
          <w:p>
            <w:pPr>
              <w:pStyle w:val="TableContents"/>
              <w:bidi w:val="0"/>
              <w:spacing w:before="0" w:after="283"/>
              <w:jc w:val="left"/>
              <w:rPr/>
            </w:pPr>
            <w:r>
              <w:rPr/>
              <w:t>Diluted</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 </w:t>
            </w:r>
          </w:p>
        </w:tc>
        <w:tc>
          <w:tcPr>
            <w:tcW w:w="1100" w:type="dxa"/>
            <w:tcBorders/>
            <w:shd w:fill="CCEEFF" w:val="clear"/>
            <w:vAlign w:val="center"/>
          </w:tcPr>
          <w:p>
            <w:pPr>
              <w:pStyle w:val="TableContents"/>
              <w:bidi w:val="0"/>
              <w:spacing w:before="0" w:after="283"/>
              <w:jc w:val="right"/>
              <w:rPr>
                <w:u w:val="single"/>
              </w:rPr>
            </w:pPr>
            <w:r>
              <w:rPr>
                <w:u w:val="single"/>
              </w:rPr>
              <w:t>58,718</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 </w:t>
            </w:r>
          </w:p>
        </w:tc>
        <w:tc>
          <w:tcPr>
            <w:tcW w:w="890" w:type="dxa"/>
            <w:tcBorders/>
            <w:shd w:fill="CCEEFF" w:val="clear"/>
            <w:vAlign w:val="center"/>
          </w:tcPr>
          <w:p>
            <w:pPr>
              <w:pStyle w:val="TableContents"/>
              <w:bidi w:val="0"/>
              <w:spacing w:before="0" w:after="283"/>
              <w:jc w:val="right"/>
              <w:rPr>
                <w:u w:val="single"/>
              </w:rPr>
            </w:pPr>
            <w:r>
              <w:rPr>
                <w:u w:val="single"/>
              </w:rPr>
              <w:t>58,745</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 </w:t>
            </w:r>
          </w:p>
        </w:tc>
        <w:tc>
          <w:tcPr>
            <w:tcW w:w="1100" w:type="dxa"/>
            <w:tcBorders/>
            <w:shd w:fill="CCEEFF" w:val="clear"/>
            <w:vAlign w:val="center"/>
          </w:tcPr>
          <w:p>
            <w:pPr>
              <w:pStyle w:val="TableContents"/>
              <w:bidi w:val="0"/>
              <w:spacing w:before="0" w:after="283"/>
              <w:jc w:val="right"/>
              <w:rPr>
                <w:u w:val="single"/>
              </w:rPr>
            </w:pPr>
            <w:r>
              <w:rPr>
                <w:u w:val="single"/>
              </w:rPr>
              <w:t>58,068</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 </w:t>
            </w:r>
          </w:p>
        </w:tc>
        <w:tc>
          <w:tcPr>
            <w:tcW w:w="1100" w:type="dxa"/>
            <w:tcBorders/>
            <w:shd w:fill="CCEEFF" w:val="clear"/>
            <w:vAlign w:val="center"/>
          </w:tcPr>
          <w:p>
            <w:pPr>
              <w:pStyle w:val="TableContents"/>
              <w:bidi w:val="0"/>
              <w:spacing w:before="0" w:after="283"/>
              <w:jc w:val="right"/>
              <w:rPr>
                <w:u w:val="single"/>
              </w:rPr>
            </w:pPr>
            <w:r>
              <w:rPr>
                <w:u w:val="single"/>
              </w:rPr>
              <w:t>58,618</w:t>
            </w:r>
          </w:p>
        </w:tc>
        <w:tc>
          <w:tcPr>
            <w:tcW w:w="262" w:type="dxa"/>
            <w:tcBorders/>
            <w:shd w:fill="CCEEFF" w:val="clear"/>
            <w:vAlign w:val="center"/>
          </w:tcPr>
          <w:p>
            <w:pPr>
              <w:pStyle w:val="TableContents"/>
              <w:bidi w:val="0"/>
              <w:spacing w:before="0" w:after="283"/>
              <w:jc w:val="left"/>
              <w:rPr>
                <w:u w:val="single"/>
              </w:rPr>
            </w:pPr>
            <w:r>
              <w:rPr>
                <w:u w:val="single"/>
              </w:rPr>
              <w:t> </w:t>
            </w:r>
          </w:p>
        </w:tc>
        <w:tc>
          <w:tcPr>
            <w:tcW w:w="96" w:type="dxa"/>
            <w:tcBorders/>
            <w:shd w:fill="CCEEFF" w:val="clear"/>
            <w:vAlign w:val="center"/>
          </w:tcPr>
          <w:p>
            <w:pPr>
              <w:pStyle w:val="TableContents"/>
              <w:bidi w:val="0"/>
              <w:spacing w:before="0" w:after="283"/>
              <w:jc w:val="right"/>
              <w:rPr>
                <w:u w:val="single"/>
              </w:rPr>
            </w:pPr>
            <w:r>
              <w:rPr>
                <w:u w:val="single"/>
              </w:rPr>
              <w:t> </w:t>
            </w:r>
          </w:p>
        </w:tc>
        <w:tc>
          <w:tcPr>
            <w:tcW w:w="182" w:type="dxa"/>
            <w:tcBorders/>
            <w:shd w:fill="CCEEFF" w:val="clear"/>
            <w:vAlign w:val="center"/>
          </w:tcPr>
          <w:p>
            <w:pPr>
              <w:pStyle w:val="TableContents"/>
              <w:bidi w:val="0"/>
              <w:spacing w:before="0" w:after="283"/>
              <w:jc w:val="right"/>
              <w:rPr>
                <w:u w:val="single"/>
              </w:rPr>
            </w:pPr>
            <w:r>
              <w:rPr>
                <w:u w:val="single"/>
              </w:rPr>
              <w:t> </w:t>
            </w:r>
          </w:p>
        </w:tc>
        <w:tc>
          <w:tcPr>
            <w:tcW w:w="1100" w:type="dxa"/>
            <w:tcBorders/>
            <w:shd w:fill="CCEEFF" w:val="clear"/>
            <w:vAlign w:val="center"/>
          </w:tcPr>
          <w:p>
            <w:pPr>
              <w:pStyle w:val="TableContents"/>
              <w:bidi w:val="0"/>
              <w:spacing w:before="0" w:after="283"/>
              <w:jc w:val="right"/>
              <w:rPr>
                <w:u w:val="single"/>
              </w:rPr>
            </w:pPr>
            <w:r>
              <w:rPr>
                <w:u w:val="single"/>
              </w:rPr>
              <w:t>60,567</w:t>
            </w:r>
          </w:p>
        </w:tc>
        <w:tc>
          <w:tcPr>
            <w:tcW w:w="319" w:type="dxa"/>
            <w:tcBorders/>
            <w:shd w:fill="CCEEFF" w:val="clear"/>
            <w:vAlign w:val="center"/>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tbl>
      <w:tblPr>
        <w:tblW w:w="9270" w:type="dxa"/>
        <w:jc w:val="left"/>
        <w:tblInd w:w="0" w:type="dxa"/>
        <w:tblLayout w:type="fixed"/>
        <w:tblCellMar>
          <w:top w:w="0" w:type="dxa"/>
          <w:left w:w="0" w:type="dxa"/>
          <w:bottom w:w="0" w:type="dxa"/>
          <w:right w:w="0" w:type="dxa"/>
        </w:tblCellMar>
      </w:tblPr>
      <w:tblGrid>
        <w:gridCol w:w="5048"/>
        <w:gridCol w:w="117"/>
        <w:gridCol w:w="222"/>
        <w:gridCol w:w="1340"/>
        <w:gridCol w:w="117"/>
        <w:gridCol w:w="117"/>
        <w:gridCol w:w="222"/>
        <w:gridCol w:w="1614"/>
        <w:gridCol w:w="473"/>
      </w:tblGrid>
      <w:tr>
        <w:trPr/>
        <w:tc>
          <w:tcPr>
            <w:tcW w:w="9270" w:type="dxa"/>
            <w:gridSpan w:val="9"/>
            <w:tcBorders/>
            <w:vAlign w:val="center"/>
          </w:tcPr>
          <w:p>
            <w:pPr>
              <w:pStyle w:val="TableContents"/>
              <w:bidi w:val="0"/>
              <w:spacing w:before="0" w:after="283"/>
              <w:jc w:val="center"/>
              <w:rPr>
                <w:b/>
                <w:u w:val="single"/>
              </w:rPr>
            </w:pPr>
            <w:r>
              <w:rPr>
                <w:b/>
                <w:u w:val="single"/>
              </w:rPr>
              <w:t>PHOTRONICS, INC.</w:t>
            </w:r>
          </w:p>
        </w:tc>
      </w:tr>
      <w:tr>
        <w:trPr/>
        <w:tc>
          <w:tcPr>
            <w:tcW w:w="9270" w:type="dxa"/>
            <w:gridSpan w:val="9"/>
            <w:tcBorders/>
            <w:vAlign w:val="center"/>
          </w:tcPr>
          <w:p>
            <w:pPr>
              <w:pStyle w:val="TableContents"/>
              <w:bidi w:val="0"/>
              <w:spacing w:before="0" w:after="283"/>
              <w:jc w:val="center"/>
              <w:rPr>
                <w:b/>
                <w:u w:val="single"/>
              </w:rPr>
            </w:pPr>
            <w:r>
              <w:rPr>
                <w:b/>
                <w:u w:val="single"/>
              </w:rPr>
              <w:t>Condensed Consolidated Balance Sheets</w:t>
            </w:r>
          </w:p>
        </w:tc>
      </w:tr>
      <w:tr>
        <w:trPr/>
        <w:tc>
          <w:tcPr>
            <w:tcW w:w="9270" w:type="dxa"/>
            <w:gridSpan w:val="9"/>
            <w:tcBorders/>
            <w:vAlign w:val="center"/>
          </w:tcPr>
          <w:p>
            <w:pPr>
              <w:pStyle w:val="TableContents"/>
              <w:bidi w:val="0"/>
              <w:spacing w:before="0" w:after="283"/>
              <w:jc w:val="center"/>
              <w:rPr/>
            </w:pPr>
            <w:r>
              <w:rPr/>
              <w:t>(in thousands)</w:t>
            </w:r>
          </w:p>
        </w:tc>
      </w:tr>
      <w:tr>
        <w:trPr/>
        <w:tc>
          <w:tcPr>
            <w:tcW w:w="9270" w:type="dxa"/>
            <w:gridSpan w:val="9"/>
            <w:tcBorders/>
            <w:vAlign w:val="center"/>
          </w:tcPr>
          <w:p>
            <w:pPr>
              <w:pStyle w:val="TableContents"/>
              <w:bidi w:val="0"/>
              <w:spacing w:before="0" w:after="283"/>
              <w:jc w:val="center"/>
              <w:rPr/>
            </w:pPr>
            <w:r>
              <w:rPr/>
              <w:t>(Unaudited)</w:t>
            </w:r>
          </w:p>
        </w:tc>
      </w:tr>
      <w:tr>
        <w:trPr/>
        <w:tc>
          <w:tcPr>
            <w:tcW w:w="9270" w:type="dxa"/>
            <w:gridSpan w:val="9"/>
            <w:tcBorders/>
            <w:vAlign w:val="center"/>
          </w:tcPr>
          <w:p>
            <w:pPr>
              <w:pStyle w:val="TableContents"/>
              <w:bidi w:val="0"/>
              <w:spacing w:before="0" w:after="283"/>
              <w:jc w:val="center"/>
              <w:rPr/>
            </w:pPr>
            <w:r>
              <w:rPr/>
              <w:t> </w:t>
            </w:r>
          </w:p>
        </w:tc>
      </w:tr>
      <w:tr>
        <w:trPr/>
        <w:tc>
          <w:tcPr>
            <w:tcW w:w="5048"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center"/>
              <w:rPr/>
            </w:pPr>
            <w:r>
              <w:rPr/>
              <w:t> </w:t>
            </w:r>
          </w:p>
        </w:tc>
        <w:tc>
          <w:tcPr>
            <w:tcW w:w="222"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b/>
              </w:rPr>
            </w:pPr>
            <w:r>
              <w:rPr>
                <w:b/>
              </w:rPr>
              <w:t>August 2,</w:t>
            </w:r>
          </w:p>
        </w:tc>
        <w:tc>
          <w:tcPr>
            <w:tcW w:w="117" w:type="dxa"/>
            <w:tcBorders/>
            <w:vAlign w:val="center"/>
          </w:tcPr>
          <w:p>
            <w:pPr>
              <w:pStyle w:val="TableContents"/>
              <w:bidi w:val="0"/>
              <w:spacing w:before="0" w:after="283"/>
              <w:jc w:val="center"/>
              <w:rPr/>
            </w:pPr>
            <w:r>
              <w:rPr/>
              <w:t> </w:t>
            </w:r>
          </w:p>
        </w:tc>
        <w:tc>
          <w:tcPr>
            <w:tcW w:w="117" w:type="dxa"/>
            <w:tcBorders/>
            <w:vAlign w:val="center"/>
          </w:tcPr>
          <w:p>
            <w:pPr>
              <w:pStyle w:val="TableContents"/>
              <w:bidi w:val="0"/>
              <w:spacing w:before="0" w:after="283"/>
              <w:jc w:val="center"/>
              <w:rPr/>
            </w:pPr>
            <w:r>
              <w:rPr/>
              <w:t> </w:t>
            </w:r>
          </w:p>
        </w:tc>
        <w:tc>
          <w:tcPr>
            <w:tcW w:w="222" w:type="dxa"/>
            <w:tcBorders/>
            <w:vAlign w:val="center"/>
          </w:tcPr>
          <w:p>
            <w:pPr>
              <w:pStyle w:val="TableContents"/>
              <w:bidi w:val="0"/>
              <w:spacing w:before="0" w:after="283"/>
              <w:jc w:val="center"/>
              <w:rPr/>
            </w:pPr>
            <w:r>
              <w:rPr/>
              <w:t> </w:t>
            </w:r>
          </w:p>
        </w:tc>
        <w:tc>
          <w:tcPr>
            <w:tcW w:w="1614" w:type="dxa"/>
            <w:tcBorders/>
            <w:vAlign w:val="center"/>
          </w:tcPr>
          <w:p>
            <w:pPr>
              <w:pStyle w:val="TableContents"/>
              <w:bidi w:val="0"/>
              <w:spacing w:before="0" w:after="283"/>
              <w:jc w:val="center"/>
              <w:rPr>
                <w:b/>
              </w:rPr>
            </w:pPr>
            <w:r>
              <w:rPr>
                <w:b/>
              </w:rPr>
              <w:t>October 31,</w:t>
            </w:r>
          </w:p>
        </w:tc>
        <w:tc>
          <w:tcPr>
            <w:tcW w:w="473" w:type="dxa"/>
            <w:tcBorders/>
            <w:vAlign w:val="center"/>
          </w:tcPr>
          <w:p>
            <w:pPr>
              <w:pStyle w:val="TableContents"/>
              <w:bidi w:val="0"/>
              <w:spacing w:before="0" w:after="283"/>
              <w:jc w:val="center"/>
              <w:rPr/>
            </w:pPr>
            <w:r>
              <w:rPr/>
              <w:t> </w:t>
            </w:r>
          </w:p>
        </w:tc>
      </w:tr>
      <w:tr>
        <w:trPr/>
        <w:tc>
          <w:tcPr>
            <w:tcW w:w="5048"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center"/>
              <w:rPr/>
            </w:pPr>
            <w:r>
              <w:rPr/>
              <w:t> </w:t>
            </w:r>
          </w:p>
        </w:tc>
        <w:tc>
          <w:tcPr>
            <w:tcW w:w="222" w:type="dxa"/>
            <w:tcBorders>
              <w:bottom w:val="single" w:sz="4" w:space="0" w:color="000000"/>
            </w:tcBorders>
            <w:tcMar>
              <w:bottom w:w="28" w:type="dxa"/>
            </w:tcMar>
            <w:vAlign w:val="center"/>
          </w:tcPr>
          <w:p>
            <w:pPr>
              <w:pStyle w:val="TableContents"/>
              <w:bidi w:val="0"/>
              <w:spacing w:before="0" w:after="283"/>
              <w:jc w:val="center"/>
              <w:rPr/>
            </w:pPr>
            <w:r>
              <w:rPr/>
              <w:t> </w:t>
            </w:r>
          </w:p>
        </w:tc>
        <w:tc>
          <w:tcPr>
            <w:tcW w:w="1340" w:type="dxa"/>
            <w:tcBorders>
              <w:bottom w:val="single" w:sz="4" w:space="0" w:color="000000"/>
            </w:tcBorders>
            <w:tcMar>
              <w:bottom w:w="28" w:type="dxa"/>
            </w:tcMar>
            <w:vAlign w:val="center"/>
          </w:tcPr>
          <w:p>
            <w:pPr>
              <w:pStyle w:val="TableContents"/>
              <w:bidi w:val="0"/>
              <w:spacing w:before="0" w:after="283"/>
              <w:jc w:val="center"/>
              <w:rPr>
                <w:b/>
              </w:rPr>
            </w:pPr>
            <w:r>
              <w:rPr>
                <w:b/>
              </w:rPr>
              <w:t>2026</w:t>
            </w:r>
          </w:p>
        </w:tc>
        <w:tc>
          <w:tcPr>
            <w:tcW w:w="117" w:type="dxa"/>
            <w:tcBorders>
              <w:bottom w:val="single" w:sz="4" w:space="0" w:color="000000"/>
            </w:tcBorders>
            <w:tcMar>
              <w:bottom w:w="28" w:type="dxa"/>
            </w:tcMar>
            <w:vAlign w:val="center"/>
          </w:tcPr>
          <w:p>
            <w:pPr>
              <w:pStyle w:val="TableContents"/>
              <w:bidi w:val="0"/>
              <w:spacing w:before="0" w:after="283"/>
              <w:jc w:val="center"/>
              <w:rPr/>
            </w:pPr>
            <w:r>
              <w:rPr/>
              <w:t> </w:t>
            </w:r>
          </w:p>
        </w:tc>
        <w:tc>
          <w:tcPr>
            <w:tcW w:w="117" w:type="dxa"/>
            <w:tcBorders/>
            <w:vAlign w:val="center"/>
          </w:tcPr>
          <w:p>
            <w:pPr>
              <w:pStyle w:val="TableContents"/>
              <w:bidi w:val="0"/>
              <w:spacing w:before="0" w:after="283"/>
              <w:jc w:val="center"/>
              <w:rPr/>
            </w:pPr>
            <w:r>
              <w:rPr/>
              <w:t> </w:t>
            </w:r>
          </w:p>
        </w:tc>
        <w:tc>
          <w:tcPr>
            <w:tcW w:w="222" w:type="dxa"/>
            <w:tcBorders>
              <w:bottom w:val="single" w:sz="4" w:space="0" w:color="000000"/>
            </w:tcBorders>
            <w:tcMar>
              <w:bottom w:w="28" w:type="dxa"/>
            </w:tcMar>
            <w:vAlign w:val="center"/>
          </w:tcPr>
          <w:p>
            <w:pPr>
              <w:pStyle w:val="TableContents"/>
              <w:bidi w:val="0"/>
              <w:spacing w:before="0" w:after="283"/>
              <w:jc w:val="center"/>
              <w:rPr/>
            </w:pPr>
            <w:r>
              <w:rPr/>
              <w:t> </w:t>
            </w:r>
          </w:p>
        </w:tc>
        <w:tc>
          <w:tcPr>
            <w:tcW w:w="1614" w:type="dxa"/>
            <w:tcBorders>
              <w:bottom w:val="single" w:sz="4" w:space="0" w:color="000000"/>
            </w:tcBorders>
            <w:tcMar>
              <w:bottom w:w="28" w:type="dxa"/>
            </w:tcMar>
            <w:vAlign w:val="center"/>
          </w:tcPr>
          <w:p>
            <w:pPr>
              <w:pStyle w:val="TableContents"/>
              <w:bidi w:val="0"/>
              <w:spacing w:before="0" w:after="283"/>
              <w:jc w:val="center"/>
              <w:rPr>
                <w:b/>
              </w:rPr>
            </w:pPr>
            <w:r>
              <w:rPr>
                <w:b/>
              </w:rPr>
              <w:t>2025</w:t>
            </w:r>
          </w:p>
        </w:tc>
        <w:tc>
          <w:tcPr>
            <w:tcW w:w="473" w:type="dxa"/>
            <w:tcBorders>
              <w:bottom w:val="single" w:sz="4" w:space="0" w:color="000000"/>
            </w:tcBorders>
            <w:tcMar>
              <w:bottom w:w="28" w:type="dxa"/>
            </w:tcMar>
            <w:vAlign w:val="center"/>
          </w:tcPr>
          <w:p>
            <w:pPr>
              <w:pStyle w:val="TableContents"/>
              <w:bidi w:val="0"/>
              <w:spacing w:before="0" w:after="283"/>
              <w:jc w:val="center"/>
              <w:rPr/>
            </w:pPr>
            <w:r>
              <w:rPr/>
              <w:t> </w:t>
            </w:r>
          </w:p>
        </w:tc>
      </w:tr>
      <w:tr>
        <w:trPr/>
        <w:tc>
          <w:tcPr>
            <w:tcW w:w="5048"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b/>
                <w:u w:val="single"/>
              </w:rPr>
            </w:pPr>
            <w:r>
              <w:rPr>
                <w:b/>
                <w:u w:val="single"/>
              </w:rPr>
              <w:t>Assets</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Current assets:</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ind w:left="0" w:right="0" w:firstLine="150"/>
              <w:jc w:val="left"/>
              <w:rPr/>
            </w:pPr>
            <w:r>
              <w:rPr/>
              <w:t> </w:t>
            </w:r>
          </w:p>
        </w:tc>
      </w:tr>
      <w:tr>
        <w:trPr/>
        <w:tc>
          <w:tcPr>
            <w:tcW w:w="5048" w:type="dxa"/>
            <w:tcBorders/>
            <w:shd w:fill="CCEEFF" w:val="clear"/>
            <w:vAlign w:val="center"/>
          </w:tcPr>
          <w:p>
            <w:pPr>
              <w:pStyle w:val="TableContents"/>
              <w:bidi w:val="0"/>
              <w:spacing w:before="0" w:after="283"/>
              <w:jc w:val="left"/>
              <w:rPr/>
            </w:pPr>
            <w:r>
              <w:rPr/>
              <w:t>Cash and cash equivalents</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before="0" w:after="283"/>
              <w:jc w:val="right"/>
              <w:rPr/>
            </w:pPr>
            <w:r>
              <w:rPr/>
              <w:t>$</w:t>
            </w:r>
          </w:p>
        </w:tc>
        <w:tc>
          <w:tcPr>
            <w:tcW w:w="1340" w:type="dxa"/>
            <w:tcBorders/>
            <w:shd w:fill="CCEEFF" w:val="clear"/>
            <w:vAlign w:val="center"/>
          </w:tcPr>
          <w:p>
            <w:pPr>
              <w:pStyle w:val="TableContents"/>
              <w:bidi w:val="0"/>
              <w:spacing w:before="0" w:after="283"/>
              <w:jc w:val="right"/>
              <w:rPr/>
            </w:pPr>
            <w:r>
              <w:rPr/>
              <w:t>549,513</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before="0" w:after="283"/>
              <w:jc w:val="right"/>
              <w:rPr/>
            </w:pPr>
            <w:r>
              <w:rPr/>
              <w:t>$</w:t>
            </w:r>
          </w:p>
        </w:tc>
        <w:tc>
          <w:tcPr>
            <w:tcW w:w="1614" w:type="dxa"/>
            <w:tcBorders/>
            <w:shd w:fill="CCEEFF" w:val="clear"/>
            <w:vAlign w:val="center"/>
          </w:tcPr>
          <w:p>
            <w:pPr>
              <w:pStyle w:val="TableContents"/>
              <w:bidi w:val="0"/>
              <w:spacing w:before="0" w:after="283"/>
              <w:jc w:val="right"/>
              <w:rPr/>
            </w:pPr>
            <w:r>
              <w:rPr/>
              <w:t>492,256</w:t>
            </w:r>
          </w:p>
        </w:tc>
        <w:tc>
          <w:tcPr>
            <w:tcW w:w="473" w:type="dxa"/>
            <w:tcBorders/>
            <w:shd w:fill="CCEEFF" w:val="clear"/>
            <w:vAlign w:val="center"/>
          </w:tcPr>
          <w:p>
            <w:pPr>
              <w:pStyle w:val="TableContents"/>
              <w:bidi w:val="0"/>
              <w:spacing w:before="0" w:after="283"/>
              <w:ind w:left="0" w:right="0" w:firstLine="150"/>
              <w:jc w:val="left"/>
              <w:rPr/>
            </w:pPr>
            <w:r>
              <w:rPr/>
              <w:t> </w:t>
            </w:r>
          </w:p>
        </w:tc>
      </w:tr>
      <w:tr>
        <w:trPr/>
        <w:tc>
          <w:tcPr>
            <w:tcW w:w="5048" w:type="dxa"/>
            <w:tcBorders/>
            <w:vAlign w:val="center"/>
          </w:tcPr>
          <w:p>
            <w:pPr>
              <w:pStyle w:val="TableContents"/>
              <w:bidi w:val="0"/>
              <w:spacing w:before="0" w:after="283"/>
              <w:jc w:val="left"/>
              <w:rPr/>
            </w:pPr>
            <w:r>
              <w:rPr/>
              <w:t>Short-term investments</w:t>
            </w:r>
          </w:p>
        </w:tc>
        <w:tc>
          <w:tcPr>
            <w:tcW w:w="1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right"/>
              <w:rPr/>
            </w:pPr>
            <w:r>
              <w:rPr/>
              <w:t> </w:t>
            </w:r>
          </w:p>
        </w:tc>
        <w:tc>
          <w:tcPr>
            <w:tcW w:w="1340" w:type="dxa"/>
            <w:tcBorders/>
            <w:vAlign w:val="center"/>
          </w:tcPr>
          <w:p>
            <w:pPr>
              <w:pStyle w:val="TableContents"/>
              <w:bidi w:val="0"/>
              <w:spacing w:before="0" w:after="283"/>
              <w:jc w:val="right"/>
              <w:rPr/>
            </w:pPr>
            <w:r>
              <w:rPr/>
              <w:t>123,298</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right"/>
              <w:rPr/>
            </w:pPr>
            <w:r>
              <w:rPr/>
              <w:t> </w:t>
            </w:r>
          </w:p>
        </w:tc>
        <w:tc>
          <w:tcPr>
            <w:tcW w:w="1614" w:type="dxa"/>
            <w:tcBorders/>
            <w:vAlign w:val="center"/>
          </w:tcPr>
          <w:p>
            <w:pPr>
              <w:pStyle w:val="TableContents"/>
              <w:bidi w:val="0"/>
              <w:spacing w:before="0" w:after="283"/>
              <w:jc w:val="right"/>
              <w:rPr/>
            </w:pPr>
            <w:r>
              <w:rPr/>
              <w:t>95,909</w:t>
            </w:r>
          </w:p>
        </w:tc>
        <w:tc>
          <w:tcPr>
            <w:tcW w:w="473" w:type="dxa"/>
            <w:tcBorders/>
            <w:vAlign w:val="center"/>
          </w:tcPr>
          <w:p>
            <w:pPr>
              <w:pStyle w:val="TableContents"/>
              <w:bidi w:val="0"/>
              <w:spacing w:before="0" w:after="283"/>
              <w:ind w:left="0" w:right="0" w:firstLine="150"/>
              <w:jc w:val="left"/>
              <w:rPr/>
            </w:pPr>
            <w:r>
              <w:rPr/>
              <w:t> </w:t>
            </w:r>
          </w:p>
        </w:tc>
      </w:tr>
      <w:tr>
        <w:trPr/>
        <w:tc>
          <w:tcPr>
            <w:tcW w:w="5048" w:type="dxa"/>
            <w:tcBorders/>
            <w:shd w:fill="CCEEFF" w:val="clear"/>
            <w:vAlign w:val="center"/>
          </w:tcPr>
          <w:p>
            <w:pPr>
              <w:pStyle w:val="TableContents"/>
              <w:bidi w:val="0"/>
              <w:spacing w:before="0" w:after="283"/>
              <w:jc w:val="left"/>
              <w:rPr/>
            </w:pPr>
            <w:r>
              <w:rPr/>
              <w:t>Accounts receivable</w:t>
            </w:r>
          </w:p>
        </w:tc>
        <w:tc>
          <w:tcPr>
            <w:tcW w:w="117"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right"/>
              <w:rPr/>
            </w:pPr>
            <w:r>
              <w:rPr/>
              <w:t> </w:t>
            </w:r>
          </w:p>
        </w:tc>
        <w:tc>
          <w:tcPr>
            <w:tcW w:w="1340" w:type="dxa"/>
            <w:tcBorders/>
            <w:shd w:fill="CCEEFF" w:val="clear"/>
            <w:vAlign w:val="center"/>
          </w:tcPr>
          <w:p>
            <w:pPr>
              <w:pStyle w:val="TableContents"/>
              <w:bidi w:val="0"/>
              <w:spacing w:before="0" w:after="283"/>
              <w:jc w:val="right"/>
              <w:rPr/>
            </w:pPr>
            <w:r>
              <w:rPr/>
              <w:t>187,730</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right"/>
              <w:rPr/>
            </w:pPr>
            <w:r>
              <w:rPr/>
              <w:t> </w:t>
            </w:r>
          </w:p>
        </w:tc>
        <w:tc>
          <w:tcPr>
            <w:tcW w:w="1614" w:type="dxa"/>
            <w:tcBorders/>
            <w:shd w:fill="CCEEFF" w:val="clear"/>
            <w:vAlign w:val="center"/>
          </w:tcPr>
          <w:p>
            <w:pPr>
              <w:pStyle w:val="TableContents"/>
              <w:bidi w:val="0"/>
              <w:spacing w:before="0" w:after="283"/>
              <w:jc w:val="right"/>
              <w:rPr/>
            </w:pPr>
            <w:r>
              <w:rPr/>
              <w:t>195,921</w:t>
            </w:r>
          </w:p>
        </w:tc>
        <w:tc>
          <w:tcPr>
            <w:tcW w:w="473" w:type="dxa"/>
            <w:tcBorders/>
            <w:shd w:fill="CCEEFF" w:val="clear"/>
            <w:vAlign w:val="center"/>
          </w:tcPr>
          <w:p>
            <w:pPr>
              <w:pStyle w:val="TableContents"/>
              <w:bidi w:val="0"/>
              <w:spacing w:before="0" w:after="283"/>
              <w:ind w:left="0" w:right="0" w:firstLine="150"/>
              <w:jc w:val="left"/>
              <w:rPr/>
            </w:pPr>
            <w:r>
              <w:rPr/>
              <w:t> </w:t>
            </w:r>
          </w:p>
        </w:tc>
      </w:tr>
      <w:tr>
        <w:trPr/>
        <w:tc>
          <w:tcPr>
            <w:tcW w:w="5048" w:type="dxa"/>
            <w:tcBorders/>
            <w:vAlign w:val="center"/>
          </w:tcPr>
          <w:p>
            <w:pPr>
              <w:pStyle w:val="TableContents"/>
              <w:bidi w:val="0"/>
              <w:spacing w:before="0" w:after="283"/>
              <w:jc w:val="left"/>
              <w:rPr/>
            </w:pPr>
            <w:r>
              <w:rPr/>
              <w:t>Inventories</w:t>
            </w:r>
          </w:p>
        </w:tc>
        <w:tc>
          <w:tcPr>
            <w:tcW w:w="1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right"/>
              <w:rPr/>
            </w:pPr>
            <w:r>
              <w:rPr/>
              <w:t> </w:t>
            </w:r>
          </w:p>
        </w:tc>
        <w:tc>
          <w:tcPr>
            <w:tcW w:w="1340" w:type="dxa"/>
            <w:tcBorders/>
            <w:vAlign w:val="center"/>
          </w:tcPr>
          <w:p>
            <w:pPr>
              <w:pStyle w:val="TableContents"/>
              <w:bidi w:val="0"/>
              <w:spacing w:before="0" w:after="283"/>
              <w:jc w:val="right"/>
              <w:rPr/>
            </w:pPr>
            <w:r>
              <w:rPr/>
              <w:t>64,748</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right"/>
              <w:rPr/>
            </w:pPr>
            <w:r>
              <w:rPr/>
              <w:t> </w:t>
            </w:r>
          </w:p>
        </w:tc>
        <w:tc>
          <w:tcPr>
            <w:tcW w:w="1614" w:type="dxa"/>
            <w:tcBorders/>
            <w:vAlign w:val="center"/>
          </w:tcPr>
          <w:p>
            <w:pPr>
              <w:pStyle w:val="TableContents"/>
              <w:bidi w:val="0"/>
              <w:spacing w:before="0" w:after="283"/>
              <w:jc w:val="right"/>
              <w:rPr/>
            </w:pPr>
            <w:r>
              <w:rPr/>
              <w:t>61,767</w:t>
            </w:r>
          </w:p>
        </w:tc>
        <w:tc>
          <w:tcPr>
            <w:tcW w:w="473" w:type="dxa"/>
            <w:tcBorders/>
            <w:vAlign w:val="center"/>
          </w:tcPr>
          <w:p>
            <w:pPr>
              <w:pStyle w:val="TableContents"/>
              <w:bidi w:val="0"/>
              <w:spacing w:before="0" w:after="283"/>
              <w:ind w:left="0" w:right="0" w:firstLine="150"/>
              <w:jc w:val="left"/>
              <w:rPr/>
            </w:pPr>
            <w:r>
              <w:rPr/>
              <w:t> </w:t>
            </w:r>
          </w:p>
        </w:tc>
      </w:tr>
      <w:tr>
        <w:trPr/>
        <w:tc>
          <w:tcPr>
            <w:tcW w:w="5048" w:type="dxa"/>
            <w:tcBorders/>
            <w:shd w:fill="CCEEFF" w:val="clear"/>
            <w:vAlign w:val="center"/>
          </w:tcPr>
          <w:p>
            <w:pPr>
              <w:pStyle w:val="TableContents"/>
              <w:bidi w:val="0"/>
              <w:spacing w:before="0" w:after="283"/>
              <w:jc w:val="left"/>
              <w:rPr/>
            </w:pPr>
            <w:r>
              <w:rPr/>
              <w:t>Other current assets</w:t>
            </w:r>
          </w:p>
        </w:tc>
        <w:tc>
          <w:tcPr>
            <w:tcW w:w="117" w:type="dxa"/>
            <w:tcBorders/>
            <w:shd w:fill="CCEEFF" w:val="clear"/>
            <w:vAlign w:val="center"/>
          </w:tcPr>
          <w:p>
            <w:pPr>
              <w:pStyle w:val="TableContents"/>
              <w:bidi w:val="0"/>
              <w:spacing w:before="0" w:after="283"/>
              <w:jc w:val="right"/>
              <w:rPr/>
            </w:pPr>
            <w:r>
              <w:rPr/>
              <w:t> </w:t>
            </w:r>
          </w:p>
        </w:tc>
        <w:tc>
          <w:tcPr>
            <w:tcW w:w="22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340" w:type="dxa"/>
            <w:tcBorders>
              <w:bottom w:val="single" w:sz="4" w:space="0" w:color="000000"/>
            </w:tcBorders>
            <w:shd w:fill="CCEEFF" w:val="clear"/>
            <w:tcMar>
              <w:bottom w:w="28" w:type="dxa"/>
            </w:tcMar>
            <w:vAlign w:val="center"/>
          </w:tcPr>
          <w:p>
            <w:pPr>
              <w:pStyle w:val="TableContents"/>
              <w:bidi w:val="0"/>
              <w:spacing w:before="0" w:after="283"/>
              <w:jc w:val="right"/>
              <w:rPr/>
            </w:pPr>
            <w:r>
              <w:rPr/>
              <w:t>49,567</w:t>
            </w:r>
          </w:p>
        </w:tc>
        <w:tc>
          <w:tcPr>
            <w:tcW w:w="117"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right"/>
              <w:rPr/>
            </w:pPr>
            <w:r>
              <w:rPr/>
              <w:t> </w:t>
            </w:r>
          </w:p>
        </w:tc>
        <w:tc>
          <w:tcPr>
            <w:tcW w:w="22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614" w:type="dxa"/>
            <w:tcBorders>
              <w:bottom w:val="single" w:sz="4" w:space="0" w:color="000000"/>
            </w:tcBorders>
            <w:shd w:fill="CCEEFF" w:val="clear"/>
            <w:tcMar>
              <w:bottom w:w="28" w:type="dxa"/>
            </w:tcMar>
            <w:vAlign w:val="center"/>
          </w:tcPr>
          <w:p>
            <w:pPr>
              <w:pStyle w:val="TableContents"/>
              <w:bidi w:val="0"/>
              <w:spacing w:before="0" w:after="283"/>
              <w:jc w:val="right"/>
              <w:rPr/>
            </w:pPr>
            <w:r>
              <w:rPr/>
              <w:t>44,199</w:t>
            </w:r>
          </w:p>
        </w:tc>
        <w:tc>
          <w:tcPr>
            <w:tcW w:w="473"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ind w:left="0" w:right="0" w:firstLine="150"/>
              <w:jc w:val="left"/>
              <w:rPr/>
            </w:pPr>
            <w:r>
              <w:rPr/>
              <w:t> </w:t>
            </w:r>
          </w:p>
        </w:tc>
      </w:tr>
      <w:tr>
        <w:trPr/>
        <w:tc>
          <w:tcPr>
            <w:tcW w:w="5048" w:type="dxa"/>
            <w:tcBorders/>
            <w:shd w:fill="CCEEFF" w:val="clear"/>
            <w:vAlign w:val="center"/>
          </w:tcPr>
          <w:p>
            <w:pPr>
              <w:pStyle w:val="TableContents"/>
              <w:bidi w:val="0"/>
              <w:spacing w:before="0" w:after="283"/>
              <w:jc w:val="left"/>
              <w:rPr/>
            </w:pPr>
            <w:r>
              <w:rPr/>
              <w:t>Total current assets</w:t>
            </w:r>
          </w:p>
        </w:tc>
        <w:tc>
          <w:tcPr>
            <w:tcW w:w="117"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right"/>
              <w:rPr/>
            </w:pPr>
            <w:r>
              <w:rPr/>
              <w:t> </w:t>
            </w:r>
          </w:p>
        </w:tc>
        <w:tc>
          <w:tcPr>
            <w:tcW w:w="1340" w:type="dxa"/>
            <w:tcBorders/>
            <w:shd w:fill="CCEEFF" w:val="clear"/>
            <w:vAlign w:val="center"/>
          </w:tcPr>
          <w:p>
            <w:pPr>
              <w:pStyle w:val="TableContents"/>
              <w:bidi w:val="0"/>
              <w:spacing w:before="0" w:after="283"/>
              <w:jc w:val="right"/>
              <w:rPr/>
            </w:pPr>
            <w:r>
              <w:rPr/>
              <w:t>974,856</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right"/>
              <w:rPr/>
            </w:pPr>
            <w:r>
              <w:rPr/>
              <w:t> </w:t>
            </w:r>
          </w:p>
        </w:tc>
        <w:tc>
          <w:tcPr>
            <w:tcW w:w="1614" w:type="dxa"/>
            <w:tcBorders/>
            <w:shd w:fill="CCEEFF" w:val="clear"/>
            <w:vAlign w:val="center"/>
          </w:tcPr>
          <w:p>
            <w:pPr>
              <w:pStyle w:val="TableContents"/>
              <w:bidi w:val="0"/>
              <w:spacing w:before="0" w:after="283"/>
              <w:jc w:val="right"/>
              <w:rPr/>
            </w:pPr>
            <w:r>
              <w:rPr/>
              <w:t>890,052</w:t>
            </w:r>
          </w:p>
        </w:tc>
        <w:tc>
          <w:tcPr>
            <w:tcW w:w="4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283"/>
              <w:jc w:val="left"/>
              <w:rPr/>
            </w:pPr>
            <w:r>
              <w:rPr/>
              <w:t>Property, plant and equipment, net</w:t>
            </w:r>
          </w:p>
        </w:tc>
        <w:tc>
          <w:tcPr>
            <w:tcW w:w="117"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right"/>
              <w:rPr/>
            </w:pPr>
            <w:r>
              <w:rPr/>
              <w:t> </w:t>
            </w:r>
          </w:p>
        </w:tc>
        <w:tc>
          <w:tcPr>
            <w:tcW w:w="1340" w:type="dxa"/>
            <w:tcBorders/>
            <w:shd w:fill="CCEEFF" w:val="clear"/>
            <w:vAlign w:val="center"/>
          </w:tcPr>
          <w:p>
            <w:pPr>
              <w:pStyle w:val="TableContents"/>
              <w:bidi w:val="0"/>
              <w:spacing w:before="0" w:after="283"/>
              <w:jc w:val="right"/>
              <w:rPr/>
            </w:pPr>
            <w:r>
              <w:rPr/>
              <w:t>955,038</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right"/>
              <w:rPr/>
            </w:pPr>
            <w:r>
              <w:rPr/>
              <w:t> </w:t>
            </w:r>
          </w:p>
        </w:tc>
        <w:tc>
          <w:tcPr>
            <w:tcW w:w="1614" w:type="dxa"/>
            <w:tcBorders/>
            <w:shd w:fill="CCEEFF" w:val="clear"/>
            <w:vAlign w:val="center"/>
          </w:tcPr>
          <w:p>
            <w:pPr>
              <w:pStyle w:val="TableContents"/>
              <w:bidi w:val="0"/>
              <w:spacing w:before="0" w:after="283"/>
              <w:jc w:val="right"/>
              <w:rPr/>
            </w:pPr>
            <w:r>
              <w:rPr/>
              <w:t>854,436</w:t>
            </w:r>
          </w:p>
        </w:tc>
        <w:tc>
          <w:tcPr>
            <w:tcW w:w="4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Other assets</w:t>
            </w:r>
          </w:p>
        </w:tc>
        <w:tc>
          <w:tcPr>
            <w:tcW w:w="117" w:type="dxa"/>
            <w:tcBorders/>
            <w:vAlign w:val="center"/>
          </w:tcPr>
          <w:p>
            <w:pPr>
              <w:pStyle w:val="TableContents"/>
              <w:bidi w:val="0"/>
              <w:spacing w:before="0" w:after="283"/>
              <w:jc w:val="right"/>
              <w:rPr/>
            </w:pPr>
            <w:r>
              <w:rPr/>
              <w:t> </w:t>
            </w:r>
          </w:p>
        </w:tc>
        <w:tc>
          <w:tcPr>
            <w:tcW w:w="222" w:type="dxa"/>
            <w:tcBorders>
              <w:bottom w:val="single" w:sz="4" w:space="0" w:color="000000"/>
            </w:tcBorders>
            <w:tcMar>
              <w:bottom w:w="28" w:type="dxa"/>
            </w:tcMar>
            <w:vAlign w:val="center"/>
          </w:tcPr>
          <w:p>
            <w:pPr>
              <w:pStyle w:val="TableContents"/>
              <w:bidi w:val="0"/>
              <w:spacing w:before="0" w:after="283"/>
              <w:jc w:val="right"/>
              <w:rPr/>
            </w:pPr>
            <w:r>
              <w:rPr/>
              <w:t> </w:t>
            </w:r>
          </w:p>
        </w:tc>
        <w:tc>
          <w:tcPr>
            <w:tcW w:w="1340" w:type="dxa"/>
            <w:tcBorders>
              <w:bottom w:val="single" w:sz="4" w:space="0" w:color="000000"/>
            </w:tcBorders>
            <w:tcMar>
              <w:bottom w:w="28" w:type="dxa"/>
            </w:tcMar>
            <w:vAlign w:val="center"/>
          </w:tcPr>
          <w:p>
            <w:pPr>
              <w:pStyle w:val="TableContents"/>
              <w:bidi w:val="0"/>
              <w:spacing w:before="0" w:after="283"/>
              <w:jc w:val="right"/>
              <w:rPr/>
            </w:pPr>
            <w:r>
              <w:rPr/>
              <w:t>60,849</w:t>
            </w:r>
          </w:p>
        </w:tc>
        <w:tc>
          <w:tcPr>
            <w:tcW w:w="117" w:type="dxa"/>
            <w:tcBorders>
              <w:bottom w:val="single" w:sz="4"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right"/>
              <w:rPr/>
            </w:pPr>
            <w:r>
              <w:rPr/>
              <w:t> </w:t>
            </w:r>
          </w:p>
        </w:tc>
        <w:tc>
          <w:tcPr>
            <w:tcW w:w="222" w:type="dxa"/>
            <w:tcBorders>
              <w:bottom w:val="single" w:sz="4" w:space="0" w:color="000000"/>
            </w:tcBorders>
            <w:tcMar>
              <w:bottom w:w="28" w:type="dxa"/>
            </w:tcMar>
            <w:vAlign w:val="center"/>
          </w:tcPr>
          <w:p>
            <w:pPr>
              <w:pStyle w:val="TableContents"/>
              <w:bidi w:val="0"/>
              <w:spacing w:before="0" w:after="283"/>
              <w:jc w:val="right"/>
              <w:rPr/>
            </w:pPr>
            <w:r>
              <w:rPr/>
              <w:t> </w:t>
            </w:r>
          </w:p>
        </w:tc>
        <w:tc>
          <w:tcPr>
            <w:tcW w:w="1614" w:type="dxa"/>
            <w:tcBorders>
              <w:bottom w:val="single" w:sz="4" w:space="0" w:color="000000"/>
            </w:tcBorders>
            <w:tcMar>
              <w:bottom w:w="28" w:type="dxa"/>
            </w:tcMar>
            <w:vAlign w:val="center"/>
          </w:tcPr>
          <w:p>
            <w:pPr>
              <w:pStyle w:val="TableContents"/>
              <w:bidi w:val="0"/>
              <w:spacing w:before="0" w:after="283"/>
              <w:jc w:val="right"/>
              <w:rPr/>
            </w:pPr>
            <w:r>
              <w:rPr/>
              <w:t>60,046</w:t>
            </w:r>
          </w:p>
        </w:tc>
        <w:tc>
          <w:tcPr>
            <w:tcW w:w="473" w:type="dxa"/>
            <w:tcBorders>
              <w:bottom w:val="single" w:sz="4" w:space="0" w:color="000000"/>
            </w:tcBorders>
            <w:tcMar>
              <w:bottom w:w="28" w:type="dxa"/>
            </w:tcMar>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14"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Total assets</w:t>
            </w:r>
          </w:p>
        </w:tc>
        <w:tc>
          <w:tcPr>
            <w:tcW w:w="117" w:type="dxa"/>
            <w:tcBorders/>
            <w:vAlign w:val="center"/>
          </w:tcPr>
          <w:p>
            <w:pPr>
              <w:pStyle w:val="TableContents"/>
              <w:bidi w:val="0"/>
              <w:spacing w:before="0" w:after="283"/>
              <w:jc w:val="right"/>
              <w:rPr/>
            </w:pPr>
            <w:r>
              <w:rPr/>
              <w:t> </w:t>
            </w:r>
          </w:p>
        </w:tc>
        <w:tc>
          <w:tcPr>
            <w:tcW w:w="222" w:type="dxa"/>
            <w:tcBorders>
              <w:bottom w:val="double" w:sz="5" w:space="0" w:color="000000"/>
            </w:tcBorders>
            <w:tcMar>
              <w:bottom w:w="28" w:type="dxa"/>
            </w:tcMar>
            <w:vAlign w:val="center"/>
          </w:tcPr>
          <w:p>
            <w:pPr>
              <w:pStyle w:val="TableContents"/>
              <w:bidi w:val="0"/>
              <w:spacing w:before="0" w:after="283"/>
              <w:jc w:val="right"/>
              <w:rPr/>
            </w:pPr>
            <w:r>
              <w:rPr/>
              <w:t>$</w:t>
            </w:r>
          </w:p>
        </w:tc>
        <w:tc>
          <w:tcPr>
            <w:tcW w:w="1340" w:type="dxa"/>
            <w:tcBorders>
              <w:bottom w:val="double" w:sz="5" w:space="0" w:color="000000"/>
            </w:tcBorders>
            <w:tcMar>
              <w:bottom w:w="28" w:type="dxa"/>
            </w:tcMar>
            <w:vAlign w:val="center"/>
          </w:tcPr>
          <w:p>
            <w:pPr>
              <w:pStyle w:val="TableContents"/>
              <w:bidi w:val="0"/>
              <w:spacing w:before="0" w:after="283"/>
              <w:jc w:val="right"/>
              <w:rPr/>
            </w:pPr>
            <w:r>
              <w:rPr/>
              <w:t>1,990,743</w:t>
            </w:r>
          </w:p>
        </w:tc>
        <w:tc>
          <w:tcPr>
            <w:tcW w:w="117" w:type="dxa"/>
            <w:tcBorders>
              <w:bottom w:val="double" w:sz="5"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right"/>
              <w:rPr/>
            </w:pPr>
            <w:r>
              <w:rPr/>
              <w:t> </w:t>
            </w:r>
          </w:p>
        </w:tc>
        <w:tc>
          <w:tcPr>
            <w:tcW w:w="222" w:type="dxa"/>
            <w:tcBorders>
              <w:bottom w:val="double" w:sz="5" w:space="0" w:color="000000"/>
            </w:tcBorders>
            <w:tcMar>
              <w:bottom w:w="28" w:type="dxa"/>
            </w:tcMar>
            <w:vAlign w:val="center"/>
          </w:tcPr>
          <w:p>
            <w:pPr>
              <w:pStyle w:val="TableContents"/>
              <w:bidi w:val="0"/>
              <w:spacing w:before="0" w:after="283"/>
              <w:jc w:val="right"/>
              <w:rPr/>
            </w:pPr>
            <w:r>
              <w:rPr/>
              <w:t>$</w:t>
            </w:r>
          </w:p>
        </w:tc>
        <w:tc>
          <w:tcPr>
            <w:tcW w:w="1614" w:type="dxa"/>
            <w:tcBorders>
              <w:bottom w:val="double" w:sz="5" w:space="0" w:color="000000"/>
            </w:tcBorders>
            <w:tcMar>
              <w:bottom w:w="28" w:type="dxa"/>
            </w:tcMar>
            <w:vAlign w:val="center"/>
          </w:tcPr>
          <w:p>
            <w:pPr>
              <w:pStyle w:val="TableContents"/>
              <w:bidi w:val="0"/>
              <w:spacing w:before="0" w:after="283"/>
              <w:jc w:val="right"/>
              <w:rPr/>
            </w:pPr>
            <w:r>
              <w:rPr/>
              <w:t>1,804,534</w:t>
            </w:r>
          </w:p>
        </w:tc>
        <w:tc>
          <w:tcPr>
            <w:tcW w:w="473" w:type="dxa"/>
            <w:tcBorders>
              <w:bottom w:val="double" w:sz="5" w:space="0" w:color="000000"/>
            </w:tcBorders>
            <w:tcMar>
              <w:bottom w:w="28" w:type="dxa"/>
            </w:tcMar>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14"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14"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b/>
                <w:u w:val="single"/>
              </w:rPr>
            </w:pPr>
            <w:r>
              <w:rPr>
                <w:b/>
                <w:u w:val="single"/>
              </w:rPr>
              <w:t>Liabilities and Equity</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14"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Current liabilities:</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ind w:left="0" w:right="0" w:firstLine="150"/>
              <w:jc w:val="left"/>
              <w:rPr/>
            </w:pPr>
            <w:r>
              <w:rPr/>
              <w:t> </w:t>
            </w:r>
          </w:p>
        </w:tc>
      </w:tr>
      <w:tr>
        <w:trPr/>
        <w:tc>
          <w:tcPr>
            <w:tcW w:w="5048" w:type="dxa"/>
            <w:tcBorders/>
            <w:shd w:fill="CCEEFF" w:val="clear"/>
            <w:vAlign w:val="center"/>
          </w:tcPr>
          <w:p>
            <w:pPr>
              <w:pStyle w:val="TableContents"/>
              <w:bidi w:val="0"/>
              <w:spacing w:before="0" w:after="283"/>
              <w:jc w:val="left"/>
              <w:rPr/>
            </w:pPr>
            <w:r>
              <w:rPr/>
              <w:t>Current portion of long-term debt</w:t>
            </w:r>
          </w:p>
        </w:tc>
        <w:tc>
          <w:tcPr>
            <w:tcW w:w="117"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right"/>
              <w:rPr/>
            </w:pPr>
            <w:r>
              <w:rPr/>
              <w:t>$</w:t>
            </w:r>
          </w:p>
        </w:tc>
        <w:tc>
          <w:tcPr>
            <w:tcW w:w="1340" w:type="dxa"/>
            <w:tcBorders/>
            <w:shd w:fill="CCEEFF" w:val="clear"/>
            <w:vAlign w:val="center"/>
          </w:tcPr>
          <w:p>
            <w:pPr>
              <w:pStyle w:val="TableContents"/>
              <w:bidi w:val="0"/>
              <w:spacing w:before="0" w:after="283"/>
              <w:jc w:val="right"/>
              <w:rPr/>
            </w:pPr>
            <w:r>
              <w:rPr/>
              <w:t>3,889</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right"/>
              <w:rPr/>
            </w:pPr>
            <w:r>
              <w:rPr/>
              <w:t>$</w:t>
            </w:r>
          </w:p>
        </w:tc>
        <w:tc>
          <w:tcPr>
            <w:tcW w:w="1614" w:type="dxa"/>
            <w:tcBorders/>
            <w:shd w:fill="CCEEFF" w:val="clear"/>
            <w:vAlign w:val="center"/>
          </w:tcPr>
          <w:p>
            <w:pPr>
              <w:pStyle w:val="TableContents"/>
              <w:bidi w:val="0"/>
              <w:spacing w:before="0" w:after="283"/>
              <w:jc w:val="right"/>
              <w:rPr/>
            </w:pPr>
            <w:r>
              <w:rPr/>
              <w:t>11</w:t>
            </w:r>
          </w:p>
        </w:tc>
        <w:tc>
          <w:tcPr>
            <w:tcW w:w="473" w:type="dxa"/>
            <w:tcBorders/>
            <w:shd w:fill="CCEEFF" w:val="clear"/>
            <w:vAlign w:val="center"/>
          </w:tcPr>
          <w:p>
            <w:pPr>
              <w:pStyle w:val="TableContents"/>
              <w:bidi w:val="0"/>
              <w:spacing w:before="0" w:after="283"/>
              <w:ind w:left="0" w:right="0" w:firstLine="150"/>
              <w:jc w:val="left"/>
              <w:rPr/>
            </w:pPr>
            <w:r>
              <w:rPr/>
              <w:t> </w:t>
            </w:r>
          </w:p>
        </w:tc>
      </w:tr>
      <w:tr>
        <w:trPr/>
        <w:tc>
          <w:tcPr>
            <w:tcW w:w="5048" w:type="dxa"/>
            <w:tcBorders/>
            <w:vAlign w:val="center"/>
          </w:tcPr>
          <w:p>
            <w:pPr>
              <w:pStyle w:val="TableContents"/>
              <w:bidi w:val="0"/>
              <w:spacing w:before="0" w:after="283"/>
              <w:jc w:val="left"/>
              <w:rPr/>
            </w:pPr>
            <w:r>
              <w:rPr/>
              <w:t>Accounts payable and accrued liabilities</w:t>
            </w:r>
          </w:p>
        </w:tc>
        <w:tc>
          <w:tcPr>
            <w:tcW w:w="117" w:type="dxa"/>
            <w:tcBorders/>
            <w:vAlign w:val="center"/>
          </w:tcPr>
          <w:p>
            <w:pPr>
              <w:pStyle w:val="TableContents"/>
              <w:bidi w:val="0"/>
              <w:spacing w:before="0" w:after="283"/>
              <w:jc w:val="right"/>
              <w:rPr/>
            </w:pPr>
            <w:r>
              <w:rPr/>
              <w:t> </w:t>
            </w:r>
          </w:p>
        </w:tc>
        <w:tc>
          <w:tcPr>
            <w:tcW w:w="222" w:type="dxa"/>
            <w:tcBorders>
              <w:bottom w:val="single" w:sz="4" w:space="0" w:color="000000"/>
            </w:tcBorders>
            <w:tcMar>
              <w:bottom w:w="28" w:type="dxa"/>
            </w:tcMar>
            <w:vAlign w:val="center"/>
          </w:tcPr>
          <w:p>
            <w:pPr>
              <w:pStyle w:val="TableContents"/>
              <w:bidi w:val="0"/>
              <w:spacing w:before="0" w:after="283"/>
              <w:jc w:val="right"/>
              <w:rPr/>
            </w:pPr>
            <w:r>
              <w:rPr/>
              <w:t> </w:t>
            </w:r>
          </w:p>
        </w:tc>
        <w:tc>
          <w:tcPr>
            <w:tcW w:w="1340" w:type="dxa"/>
            <w:tcBorders>
              <w:bottom w:val="single" w:sz="4" w:space="0" w:color="000000"/>
            </w:tcBorders>
            <w:tcMar>
              <w:bottom w:w="28" w:type="dxa"/>
            </w:tcMar>
            <w:vAlign w:val="center"/>
          </w:tcPr>
          <w:p>
            <w:pPr>
              <w:pStyle w:val="TableContents"/>
              <w:bidi w:val="0"/>
              <w:spacing w:before="0" w:after="283"/>
              <w:jc w:val="right"/>
              <w:rPr/>
            </w:pPr>
            <w:r>
              <w:rPr/>
              <w:t>193,394</w:t>
            </w:r>
          </w:p>
        </w:tc>
        <w:tc>
          <w:tcPr>
            <w:tcW w:w="117" w:type="dxa"/>
            <w:tcBorders>
              <w:bottom w:val="single" w:sz="4"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right"/>
              <w:rPr/>
            </w:pPr>
            <w:r>
              <w:rPr/>
              <w:t> </w:t>
            </w:r>
          </w:p>
        </w:tc>
        <w:tc>
          <w:tcPr>
            <w:tcW w:w="222" w:type="dxa"/>
            <w:tcBorders>
              <w:bottom w:val="single" w:sz="4" w:space="0" w:color="000000"/>
            </w:tcBorders>
            <w:tcMar>
              <w:bottom w:w="28" w:type="dxa"/>
            </w:tcMar>
            <w:vAlign w:val="center"/>
          </w:tcPr>
          <w:p>
            <w:pPr>
              <w:pStyle w:val="TableContents"/>
              <w:bidi w:val="0"/>
              <w:spacing w:before="0" w:after="283"/>
              <w:jc w:val="right"/>
              <w:rPr/>
            </w:pPr>
            <w:r>
              <w:rPr/>
              <w:t> </w:t>
            </w:r>
          </w:p>
        </w:tc>
        <w:tc>
          <w:tcPr>
            <w:tcW w:w="1614" w:type="dxa"/>
            <w:tcBorders>
              <w:bottom w:val="single" w:sz="4" w:space="0" w:color="000000"/>
            </w:tcBorders>
            <w:tcMar>
              <w:bottom w:w="28" w:type="dxa"/>
            </w:tcMar>
            <w:vAlign w:val="center"/>
          </w:tcPr>
          <w:p>
            <w:pPr>
              <w:pStyle w:val="TableContents"/>
              <w:bidi w:val="0"/>
              <w:spacing w:before="0" w:after="283"/>
              <w:jc w:val="right"/>
              <w:rPr/>
            </w:pPr>
            <w:r>
              <w:rPr/>
              <w:t>165,862</w:t>
            </w:r>
          </w:p>
        </w:tc>
        <w:tc>
          <w:tcPr>
            <w:tcW w:w="473" w:type="dxa"/>
            <w:tcBorders>
              <w:bottom w:val="single" w:sz="4" w:space="0" w:color="000000"/>
            </w:tcBorders>
            <w:tcMar>
              <w:bottom w:w="28" w:type="dxa"/>
            </w:tcMar>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14"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ind w:left="0" w:right="0" w:firstLine="150"/>
              <w:jc w:val="left"/>
              <w:rPr/>
            </w:pPr>
            <w:r>
              <w:rPr/>
              <w:t> </w:t>
            </w:r>
          </w:p>
        </w:tc>
      </w:tr>
      <w:tr>
        <w:trPr/>
        <w:tc>
          <w:tcPr>
            <w:tcW w:w="5048" w:type="dxa"/>
            <w:tcBorders/>
            <w:vAlign w:val="center"/>
          </w:tcPr>
          <w:p>
            <w:pPr>
              <w:pStyle w:val="TableContents"/>
              <w:bidi w:val="0"/>
              <w:spacing w:before="0" w:after="283"/>
              <w:jc w:val="left"/>
              <w:rPr/>
            </w:pPr>
            <w:r>
              <w:rPr/>
              <w:t>Total current liabilities</w:t>
            </w:r>
          </w:p>
        </w:tc>
        <w:tc>
          <w:tcPr>
            <w:tcW w:w="1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right"/>
              <w:rPr/>
            </w:pPr>
            <w:r>
              <w:rPr/>
              <w:t> </w:t>
            </w:r>
          </w:p>
        </w:tc>
        <w:tc>
          <w:tcPr>
            <w:tcW w:w="1340" w:type="dxa"/>
            <w:tcBorders/>
            <w:vAlign w:val="center"/>
          </w:tcPr>
          <w:p>
            <w:pPr>
              <w:pStyle w:val="TableContents"/>
              <w:bidi w:val="0"/>
              <w:spacing w:before="0" w:after="283"/>
              <w:jc w:val="right"/>
              <w:rPr/>
            </w:pPr>
            <w:r>
              <w:rPr/>
              <w:t>197,283</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right"/>
              <w:rPr/>
            </w:pPr>
            <w:r>
              <w:rPr/>
              <w:t> </w:t>
            </w:r>
          </w:p>
        </w:tc>
        <w:tc>
          <w:tcPr>
            <w:tcW w:w="1614" w:type="dxa"/>
            <w:tcBorders/>
            <w:vAlign w:val="center"/>
          </w:tcPr>
          <w:p>
            <w:pPr>
              <w:pStyle w:val="TableContents"/>
              <w:bidi w:val="0"/>
              <w:spacing w:before="0" w:after="283"/>
              <w:jc w:val="right"/>
              <w:rPr/>
            </w:pPr>
            <w:r>
              <w:rPr/>
              <w:t>165,873</w:t>
            </w:r>
          </w:p>
        </w:tc>
        <w:tc>
          <w:tcPr>
            <w:tcW w:w="4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14"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Long-term debt</w:t>
            </w:r>
          </w:p>
        </w:tc>
        <w:tc>
          <w:tcPr>
            <w:tcW w:w="1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right"/>
              <w:rPr/>
            </w:pPr>
            <w:r>
              <w:rPr/>
              <w:t> </w:t>
            </w:r>
          </w:p>
        </w:tc>
        <w:tc>
          <w:tcPr>
            <w:tcW w:w="1340" w:type="dxa"/>
            <w:tcBorders/>
            <w:vAlign w:val="center"/>
          </w:tcPr>
          <w:p>
            <w:pPr>
              <w:pStyle w:val="TableContents"/>
              <w:bidi w:val="0"/>
              <w:spacing w:before="0" w:after="283"/>
              <w:jc w:val="right"/>
              <w:rPr/>
            </w:pPr>
            <w:r>
              <w:rPr/>
              <w:t>4</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right"/>
              <w:rPr/>
            </w:pPr>
            <w:r>
              <w:rPr/>
              <w:t> </w:t>
            </w:r>
          </w:p>
        </w:tc>
        <w:tc>
          <w:tcPr>
            <w:tcW w:w="1614" w:type="dxa"/>
            <w:tcBorders/>
            <w:vAlign w:val="center"/>
          </w:tcPr>
          <w:p>
            <w:pPr>
              <w:pStyle w:val="TableContents"/>
              <w:bidi w:val="0"/>
              <w:spacing w:before="0" w:after="283"/>
              <w:jc w:val="right"/>
              <w:rPr/>
            </w:pPr>
            <w:r>
              <w:rPr/>
              <w:t>13</w:t>
            </w:r>
          </w:p>
        </w:tc>
        <w:tc>
          <w:tcPr>
            <w:tcW w:w="4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283"/>
              <w:jc w:val="left"/>
              <w:rPr/>
            </w:pPr>
            <w:r>
              <w:rPr/>
              <w:t>Other liabilities</w:t>
            </w:r>
          </w:p>
        </w:tc>
        <w:tc>
          <w:tcPr>
            <w:tcW w:w="117"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right"/>
              <w:rPr/>
            </w:pPr>
            <w:r>
              <w:rPr/>
              <w:t> </w:t>
            </w:r>
          </w:p>
        </w:tc>
        <w:tc>
          <w:tcPr>
            <w:tcW w:w="1340" w:type="dxa"/>
            <w:tcBorders/>
            <w:shd w:fill="CCEEFF" w:val="clear"/>
            <w:vAlign w:val="center"/>
          </w:tcPr>
          <w:p>
            <w:pPr>
              <w:pStyle w:val="TableContents"/>
              <w:bidi w:val="0"/>
              <w:spacing w:before="0" w:after="283"/>
              <w:jc w:val="right"/>
              <w:rPr/>
            </w:pPr>
            <w:r>
              <w:rPr/>
              <w:t>49,754</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right"/>
              <w:rPr/>
            </w:pPr>
            <w:r>
              <w:rPr/>
              <w:t> </w:t>
            </w:r>
          </w:p>
        </w:tc>
        <w:tc>
          <w:tcPr>
            <w:tcW w:w="1614" w:type="dxa"/>
            <w:tcBorders/>
            <w:shd w:fill="CCEEFF" w:val="clear"/>
            <w:vAlign w:val="center"/>
          </w:tcPr>
          <w:p>
            <w:pPr>
              <w:pStyle w:val="TableContents"/>
              <w:bidi w:val="0"/>
              <w:spacing w:before="0" w:after="283"/>
              <w:jc w:val="right"/>
              <w:rPr/>
            </w:pPr>
            <w:r>
              <w:rPr/>
              <w:t>41,341</w:t>
            </w:r>
          </w:p>
        </w:tc>
        <w:tc>
          <w:tcPr>
            <w:tcW w:w="4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283"/>
              <w:jc w:val="left"/>
              <w:rPr/>
            </w:pPr>
            <w:r>
              <w:rPr/>
              <w:t>Equity:</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14"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ind w:left="0" w:right="0" w:firstLine="150"/>
              <w:jc w:val="left"/>
              <w:rPr/>
            </w:pPr>
            <w:r>
              <w:rPr/>
              <w:t> </w:t>
            </w:r>
          </w:p>
        </w:tc>
      </w:tr>
      <w:tr>
        <w:trPr/>
        <w:tc>
          <w:tcPr>
            <w:tcW w:w="5048" w:type="dxa"/>
            <w:tcBorders/>
            <w:vAlign w:val="center"/>
          </w:tcPr>
          <w:p>
            <w:pPr>
              <w:pStyle w:val="TableContents"/>
              <w:bidi w:val="0"/>
              <w:spacing w:before="0" w:after="283"/>
              <w:jc w:val="left"/>
              <w:rPr/>
            </w:pPr>
            <w:r>
              <w:rPr/>
              <w:t>Photronics, Inc. shareholders' equity</w:t>
            </w:r>
          </w:p>
        </w:tc>
        <w:tc>
          <w:tcPr>
            <w:tcW w:w="1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right"/>
              <w:rPr/>
            </w:pPr>
            <w:r>
              <w:rPr/>
              <w:t> </w:t>
            </w:r>
          </w:p>
        </w:tc>
        <w:tc>
          <w:tcPr>
            <w:tcW w:w="1340" w:type="dxa"/>
            <w:tcBorders/>
            <w:vAlign w:val="center"/>
          </w:tcPr>
          <w:p>
            <w:pPr>
              <w:pStyle w:val="TableContents"/>
              <w:bidi w:val="0"/>
              <w:spacing w:before="0" w:after="283"/>
              <w:jc w:val="right"/>
              <w:rPr/>
            </w:pPr>
            <w:r>
              <w:rPr/>
              <w:t>1,280,694</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right"/>
              <w:rPr/>
            </w:pPr>
            <w:r>
              <w:rPr/>
              <w:t> </w:t>
            </w:r>
          </w:p>
        </w:tc>
        <w:tc>
          <w:tcPr>
            <w:tcW w:w="1614" w:type="dxa"/>
            <w:tcBorders/>
            <w:vAlign w:val="center"/>
          </w:tcPr>
          <w:p>
            <w:pPr>
              <w:pStyle w:val="TableContents"/>
              <w:bidi w:val="0"/>
              <w:spacing w:before="0" w:after="283"/>
              <w:jc w:val="right"/>
              <w:rPr/>
            </w:pPr>
            <w:r>
              <w:rPr/>
              <w:t>1,173,589</w:t>
            </w:r>
          </w:p>
        </w:tc>
        <w:tc>
          <w:tcPr>
            <w:tcW w:w="473" w:type="dxa"/>
            <w:tcBorders/>
            <w:vAlign w:val="center"/>
          </w:tcPr>
          <w:p>
            <w:pPr>
              <w:pStyle w:val="TableContents"/>
              <w:bidi w:val="0"/>
              <w:spacing w:before="0" w:after="283"/>
              <w:ind w:left="0" w:right="0" w:firstLine="150"/>
              <w:jc w:val="left"/>
              <w:rPr/>
            </w:pPr>
            <w:r>
              <w:rPr/>
              <w:t> </w:t>
            </w:r>
          </w:p>
        </w:tc>
      </w:tr>
      <w:tr>
        <w:trPr/>
        <w:tc>
          <w:tcPr>
            <w:tcW w:w="5048" w:type="dxa"/>
            <w:tcBorders/>
            <w:shd w:fill="CCEEFF" w:val="clear"/>
            <w:vAlign w:val="center"/>
          </w:tcPr>
          <w:p>
            <w:pPr>
              <w:pStyle w:val="TableContents"/>
              <w:bidi w:val="0"/>
              <w:spacing w:before="0" w:after="283"/>
              <w:jc w:val="left"/>
              <w:rPr/>
            </w:pPr>
            <w:r>
              <w:rPr/>
              <w:t>Noncontrolling interests</w:t>
            </w:r>
          </w:p>
        </w:tc>
        <w:tc>
          <w:tcPr>
            <w:tcW w:w="117" w:type="dxa"/>
            <w:tcBorders/>
            <w:shd w:fill="CCEEFF" w:val="clear"/>
            <w:vAlign w:val="center"/>
          </w:tcPr>
          <w:p>
            <w:pPr>
              <w:pStyle w:val="TableContents"/>
              <w:bidi w:val="0"/>
              <w:spacing w:before="0" w:after="283"/>
              <w:jc w:val="right"/>
              <w:rPr/>
            </w:pPr>
            <w:r>
              <w:rPr/>
              <w:t> </w:t>
            </w:r>
          </w:p>
        </w:tc>
        <w:tc>
          <w:tcPr>
            <w:tcW w:w="22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340" w:type="dxa"/>
            <w:tcBorders>
              <w:bottom w:val="single" w:sz="4" w:space="0" w:color="000000"/>
            </w:tcBorders>
            <w:shd w:fill="CCEEFF" w:val="clear"/>
            <w:tcMar>
              <w:bottom w:w="28" w:type="dxa"/>
            </w:tcMar>
            <w:vAlign w:val="center"/>
          </w:tcPr>
          <w:p>
            <w:pPr>
              <w:pStyle w:val="TableContents"/>
              <w:bidi w:val="0"/>
              <w:spacing w:before="0" w:after="283"/>
              <w:jc w:val="right"/>
              <w:rPr/>
            </w:pPr>
            <w:r>
              <w:rPr/>
              <w:t>463,008</w:t>
            </w:r>
          </w:p>
        </w:tc>
        <w:tc>
          <w:tcPr>
            <w:tcW w:w="117"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right"/>
              <w:rPr/>
            </w:pPr>
            <w:r>
              <w:rPr/>
              <w:t> </w:t>
            </w:r>
          </w:p>
        </w:tc>
        <w:tc>
          <w:tcPr>
            <w:tcW w:w="222"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614" w:type="dxa"/>
            <w:tcBorders>
              <w:bottom w:val="single" w:sz="4" w:space="0" w:color="000000"/>
            </w:tcBorders>
            <w:shd w:fill="CCEEFF" w:val="clear"/>
            <w:tcMar>
              <w:bottom w:w="28" w:type="dxa"/>
            </w:tcMar>
            <w:vAlign w:val="center"/>
          </w:tcPr>
          <w:p>
            <w:pPr>
              <w:pStyle w:val="TableContents"/>
              <w:bidi w:val="0"/>
              <w:spacing w:before="0" w:after="283"/>
              <w:jc w:val="right"/>
              <w:rPr/>
            </w:pPr>
            <w:r>
              <w:rPr/>
              <w:t>423,718</w:t>
            </w:r>
          </w:p>
        </w:tc>
        <w:tc>
          <w:tcPr>
            <w:tcW w:w="473" w:type="dxa"/>
            <w:tcBorders>
              <w:bottom w:val="single" w:sz="4" w:space="0" w:color="000000"/>
            </w:tcBorders>
            <w:shd w:fill="CCEEFF" w:val="clear"/>
            <w:tcMar>
              <w:bottom w:w="28" w:type="dxa"/>
            </w:tcMar>
            <w:vAlign w:val="center"/>
          </w:tcPr>
          <w:p>
            <w:pPr>
              <w:pStyle w:val="TableContents"/>
              <w:bidi w:val="0"/>
              <w:spacing w:before="0" w:after="283"/>
              <w:ind w:left="0" w:right="0" w:firstLine="225"/>
              <w:jc w:val="left"/>
              <w:rPr/>
            </w:pPr>
            <w:r>
              <w:rPr/>
              <w:t> </w:t>
            </w:r>
          </w:p>
        </w:tc>
      </w:tr>
      <w:tr>
        <w:trPr/>
        <w:tc>
          <w:tcPr>
            <w:tcW w:w="5048" w:type="dxa"/>
            <w:tcBorders/>
            <w:vAlign w:val="center"/>
          </w:tcPr>
          <w:p>
            <w:pPr>
              <w:pStyle w:val="TableContents"/>
              <w:bidi w:val="0"/>
              <w:spacing w:before="0" w:after="283"/>
              <w:jc w:val="left"/>
              <w:rPr/>
            </w:pPr>
            <w:r>
              <w:rPr/>
              <w:t>Total equity</w:t>
            </w:r>
          </w:p>
        </w:tc>
        <w:tc>
          <w:tcPr>
            <w:tcW w:w="117" w:type="dxa"/>
            <w:tcBorders/>
            <w:vAlign w:val="center"/>
          </w:tcPr>
          <w:p>
            <w:pPr>
              <w:pStyle w:val="TableContents"/>
              <w:bidi w:val="0"/>
              <w:spacing w:before="0" w:after="283"/>
              <w:jc w:val="right"/>
              <w:rPr/>
            </w:pPr>
            <w:r>
              <w:rPr/>
              <w:t> </w:t>
            </w:r>
          </w:p>
        </w:tc>
        <w:tc>
          <w:tcPr>
            <w:tcW w:w="222" w:type="dxa"/>
            <w:tcBorders>
              <w:bottom w:val="single" w:sz="4" w:space="0" w:color="000000"/>
            </w:tcBorders>
            <w:tcMar>
              <w:bottom w:w="28" w:type="dxa"/>
            </w:tcMar>
            <w:vAlign w:val="center"/>
          </w:tcPr>
          <w:p>
            <w:pPr>
              <w:pStyle w:val="TableContents"/>
              <w:bidi w:val="0"/>
              <w:spacing w:before="0" w:after="283"/>
              <w:jc w:val="right"/>
              <w:rPr/>
            </w:pPr>
            <w:r>
              <w:rPr/>
              <w:t> </w:t>
            </w:r>
          </w:p>
        </w:tc>
        <w:tc>
          <w:tcPr>
            <w:tcW w:w="1340" w:type="dxa"/>
            <w:tcBorders>
              <w:bottom w:val="single" w:sz="4" w:space="0" w:color="000000"/>
            </w:tcBorders>
            <w:tcMar>
              <w:bottom w:w="28" w:type="dxa"/>
            </w:tcMar>
            <w:vAlign w:val="center"/>
          </w:tcPr>
          <w:p>
            <w:pPr>
              <w:pStyle w:val="TableContents"/>
              <w:bidi w:val="0"/>
              <w:spacing w:before="0" w:after="283"/>
              <w:jc w:val="right"/>
              <w:rPr/>
            </w:pPr>
            <w:r>
              <w:rPr/>
              <w:t>1,743,702</w:t>
            </w:r>
          </w:p>
        </w:tc>
        <w:tc>
          <w:tcPr>
            <w:tcW w:w="117" w:type="dxa"/>
            <w:tcBorders>
              <w:bottom w:val="single" w:sz="4"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right"/>
              <w:rPr/>
            </w:pPr>
            <w:r>
              <w:rPr/>
              <w:t> </w:t>
            </w:r>
          </w:p>
        </w:tc>
        <w:tc>
          <w:tcPr>
            <w:tcW w:w="222" w:type="dxa"/>
            <w:tcBorders>
              <w:bottom w:val="single" w:sz="4" w:space="0" w:color="000000"/>
            </w:tcBorders>
            <w:tcMar>
              <w:bottom w:w="28" w:type="dxa"/>
            </w:tcMar>
            <w:vAlign w:val="center"/>
          </w:tcPr>
          <w:p>
            <w:pPr>
              <w:pStyle w:val="TableContents"/>
              <w:bidi w:val="0"/>
              <w:spacing w:before="0" w:after="283"/>
              <w:jc w:val="right"/>
              <w:rPr/>
            </w:pPr>
            <w:r>
              <w:rPr/>
              <w:t> </w:t>
            </w:r>
          </w:p>
        </w:tc>
        <w:tc>
          <w:tcPr>
            <w:tcW w:w="1614" w:type="dxa"/>
            <w:tcBorders>
              <w:bottom w:val="single" w:sz="4" w:space="0" w:color="000000"/>
            </w:tcBorders>
            <w:tcMar>
              <w:bottom w:w="28" w:type="dxa"/>
            </w:tcMar>
            <w:vAlign w:val="center"/>
          </w:tcPr>
          <w:p>
            <w:pPr>
              <w:pStyle w:val="TableContents"/>
              <w:bidi w:val="0"/>
              <w:spacing w:before="0" w:after="283"/>
              <w:jc w:val="right"/>
              <w:rPr/>
            </w:pPr>
            <w:r>
              <w:rPr/>
              <w:t>1,597,307</w:t>
            </w:r>
          </w:p>
        </w:tc>
        <w:tc>
          <w:tcPr>
            <w:tcW w:w="473" w:type="dxa"/>
            <w:tcBorders>
              <w:bottom w:val="single" w:sz="4" w:space="0" w:color="000000"/>
            </w:tcBorders>
            <w:tcMar>
              <w:bottom w:w="28" w:type="dxa"/>
            </w:tcMar>
            <w:vAlign w:val="center"/>
          </w:tcPr>
          <w:p>
            <w:pPr>
              <w:pStyle w:val="TableContents"/>
              <w:bidi w:val="0"/>
              <w:spacing w:before="0" w:after="283"/>
              <w:jc w:val="left"/>
              <w:rPr/>
            </w:pPr>
            <w:r>
              <w:rPr/>
              <w:t> </w:t>
            </w:r>
          </w:p>
        </w:tc>
      </w:tr>
      <w:tr>
        <w:trPr/>
        <w:tc>
          <w:tcPr>
            <w:tcW w:w="5048"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14"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r>
      <w:tr>
        <w:trPr/>
        <w:tc>
          <w:tcPr>
            <w:tcW w:w="5048" w:type="dxa"/>
            <w:tcBorders/>
            <w:vAlign w:val="center"/>
          </w:tcPr>
          <w:p>
            <w:pPr>
              <w:pStyle w:val="TableContents"/>
              <w:bidi w:val="0"/>
              <w:spacing w:before="0" w:after="283"/>
              <w:jc w:val="left"/>
              <w:rPr/>
            </w:pPr>
            <w:r>
              <w:rPr/>
              <w:t>Total liabilities and equity</w:t>
            </w:r>
          </w:p>
        </w:tc>
        <w:tc>
          <w:tcPr>
            <w:tcW w:w="117" w:type="dxa"/>
            <w:tcBorders/>
            <w:vAlign w:val="center"/>
          </w:tcPr>
          <w:p>
            <w:pPr>
              <w:pStyle w:val="TableContents"/>
              <w:bidi w:val="0"/>
              <w:spacing w:before="0" w:after="283"/>
              <w:jc w:val="right"/>
              <w:rPr/>
            </w:pPr>
            <w:r>
              <w:rPr/>
              <w:t> </w:t>
            </w:r>
          </w:p>
        </w:tc>
        <w:tc>
          <w:tcPr>
            <w:tcW w:w="222" w:type="dxa"/>
            <w:tcBorders>
              <w:bottom w:val="double" w:sz="5" w:space="0" w:color="000000"/>
            </w:tcBorders>
            <w:tcMar>
              <w:bottom w:w="28" w:type="dxa"/>
            </w:tcMar>
            <w:vAlign w:val="center"/>
          </w:tcPr>
          <w:p>
            <w:pPr>
              <w:pStyle w:val="TableContents"/>
              <w:bidi w:val="0"/>
              <w:spacing w:before="0" w:after="283"/>
              <w:jc w:val="right"/>
              <w:rPr/>
            </w:pPr>
            <w:r>
              <w:rPr/>
              <w:t>$</w:t>
            </w:r>
          </w:p>
        </w:tc>
        <w:tc>
          <w:tcPr>
            <w:tcW w:w="1340" w:type="dxa"/>
            <w:tcBorders>
              <w:bottom w:val="double" w:sz="5" w:space="0" w:color="000000"/>
            </w:tcBorders>
            <w:tcMar>
              <w:bottom w:w="28" w:type="dxa"/>
            </w:tcMar>
            <w:vAlign w:val="center"/>
          </w:tcPr>
          <w:p>
            <w:pPr>
              <w:pStyle w:val="TableContents"/>
              <w:bidi w:val="0"/>
              <w:spacing w:before="0" w:after="283"/>
              <w:jc w:val="right"/>
              <w:rPr/>
            </w:pPr>
            <w:r>
              <w:rPr/>
              <w:t>1,990,743</w:t>
            </w:r>
          </w:p>
        </w:tc>
        <w:tc>
          <w:tcPr>
            <w:tcW w:w="117" w:type="dxa"/>
            <w:tcBorders>
              <w:bottom w:val="double" w:sz="5" w:space="0" w:color="000000"/>
            </w:tcBorders>
            <w:tcMar>
              <w:bottom w:w="28" w:type="dxa"/>
            </w:tcMar>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right"/>
              <w:rPr/>
            </w:pPr>
            <w:r>
              <w:rPr/>
              <w:t> </w:t>
            </w:r>
          </w:p>
        </w:tc>
        <w:tc>
          <w:tcPr>
            <w:tcW w:w="222" w:type="dxa"/>
            <w:tcBorders>
              <w:bottom w:val="double" w:sz="5" w:space="0" w:color="000000"/>
            </w:tcBorders>
            <w:tcMar>
              <w:bottom w:w="28" w:type="dxa"/>
            </w:tcMar>
            <w:vAlign w:val="center"/>
          </w:tcPr>
          <w:p>
            <w:pPr>
              <w:pStyle w:val="TableContents"/>
              <w:bidi w:val="0"/>
              <w:spacing w:before="0" w:after="283"/>
              <w:jc w:val="right"/>
              <w:rPr/>
            </w:pPr>
            <w:r>
              <w:rPr/>
              <w:t>$</w:t>
            </w:r>
          </w:p>
        </w:tc>
        <w:tc>
          <w:tcPr>
            <w:tcW w:w="1614" w:type="dxa"/>
            <w:tcBorders>
              <w:bottom w:val="double" w:sz="5" w:space="0" w:color="000000"/>
            </w:tcBorders>
            <w:tcMar>
              <w:bottom w:w="28" w:type="dxa"/>
            </w:tcMar>
            <w:vAlign w:val="center"/>
          </w:tcPr>
          <w:p>
            <w:pPr>
              <w:pStyle w:val="TableContents"/>
              <w:bidi w:val="0"/>
              <w:spacing w:before="0" w:after="283"/>
              <w:jc w:val="right"/>
              <w:rPr/>
            </w:pPr>
            <w:r>
              <w:rPr/>
              <w:t>1,804,534</w:t>
            </w:r>
          </w:p>
        </w:tc>
        <w:tc>
          <w:tcPr>
            <w:tcW w:w="473" w:type="dxa"/>
            <w:tcBorders>
              <w:bottom w:val="double" w:sz="5"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xml:space="preserve">  </w:t>
      </w:r>
    </w:p>
    <w:tbl>
      <w:tblPr>
        <w:tblW w:w="10200" w:type="dxa"/>
        <w:jc w:val="left"/>
        <w:tblInd w:w="0" w:type="dxa"/>
        <w:tblLayout w:type="fixed"/>
        <w:tblCellMar>
          <w:top w:w="0" w:type="dxa"/>
          <w:left w:w="0" w:type="dxa"/>
          <w:bottom w:w="0" w:type="dxa"/>
          <w:right w:w="0" w:type="dxa"/>
        </w:tblCellMar>
      </w:tblPr>
      <w:tblGrid>
        <w:gridCol w:w="7080"/>
        <w:gridCol w:w="90"/>
        <w:gridCol w:w="170"/>
        <w:gridCol w:w="1017"/>
        <w:gridCol w:w="185"/>
        <w:gridCol w:w="90"/>
        <w:gridCol w:w="170"/>
        <w:gridCol w:w="1017"/>
        <w:gridCol w:w="381"/>
      </w:tblGrid>
      <w:tr>
        <w:trPr/>
        <w:tc>
          <w:tcPr>
            <w:tcW w:w="10200" w:type="dxa"/>
            <w:gridSpan w:val="9"/>
            <w:tcBorders/>
            <w:vAlign w:val="center"/>
          </w:tcPr>
          <w:p>
            <w:pPr>
              <w:pStyle w:val="TableContents"/>
              <w:bidi w:val="0"/>
              <w:spacing w:before="0" w:after="283"/>
              <w:jc w:val="center"/>
              <w:rPr>
                <w:b/>
                <w:u w:val="single"/>
              </w:rPr>
            </w:pPr>
            <w:bookmarkStart w:id="4" w:name="new_id-0"/>
            <w:bookmarkEnd w:id="4"/>
            <w:r>
              <w:rPr>
                <w:b/>
                <w:u w:val="single"/>
              </w:rPr>
              <w:t>PHOTRONICS,  INC.</w:t>
            </w:r>
          </w:p>
        </w:tc>
      </w:tr>
      <w:tr>
        <w:trPr/>
        <w:tc>
          <w:tcPr>
            <w:tcW w:w="10200" w:type="dxa"/>
            <w:gridSpan w:val="9"/>
            <w:tcBorders/>
            <w:vAlign w:val="center"/>
          </w:tcPr>
          <w:p>
            <w:pPr>
              <w:pStyle w:val="TableContents"/>
              <w:bidi w:val="0"/>
              <w:spacing w:before="0" w:after="283"/>
              <w:jc w:val="center"/>
              <w:rPr>
                <w:b/>
                <w:u w:val="single"/>
              </w:rPr>
            </w:pPr>
            <w:r>
              <w:rPr>
                <w:b/>
                <w:u w:val="single"/>
              </w:rPr>
              <w:t>Condensed Consolidated Statements of Cash Flows</w:t>
            </w:r>
          </w:p>
        </w:tc>
      </w:tr>
      <w:tr>
        <w:trPr/>
        <w:tc>
          <w:tcPr>
            <w:tcW w:w="10200" w:type="dxa"/>
            <w:gridSpan w:val="9"/>
            <w:tcBorders/>
            <w:vAlign w:val="center"/>
          </w:tcPr>
          <w:p>
            <w:pPr>
              <w:pStyle w:val="TableContents"/>
              <w:bidi w:val="0"/>
              <w:spacing w:before="0" w:after="283"/>
              <w:jc w:val="center"/>
              <w:rPr/>
            </w:pPr>
            <w:r>
              <w:rPr/>
              <w:t>(in thousands)</w:t>
            </w:r>
          </w:p>
        </w:tc>
      </w:tr>
      <w:tr>
        <w:trPr/>
        <w:tc>
          <w:tcPr>
            <w:tcW w:w="10200" w:type="dxa"/>
            <w:gridSpan w:val="9"/>
            <w:tcBorders/>
            <w:vAlign w:val="center"/>
          </w:tcPr>
          <w:p>
            <w:pPr>
              <w:pStyle w:val="TableContents"/>
              <w:bidi w:val="0"/>
              <w:spacing w:before="0" w:after="283"/>
              <w:jc w:val="center"/>
              <w:rPr/>
            </w:pPr>
            <w:r>
              <w:rPr/>
              <w:t>(Unaudited)</w:t>
            </w:r>
          </w:p>
        </w:tc>
      </w:tr>
      <w:tr>
        <w:trPr/>
        <w:tc>
          <w:tcPr>
            <w:tcW w:w="7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 </w:t>
            </w:r>
          </w:p>
        </w:tc>
        <w:tc>
          <w:tcPr>
            <w:tcW w:w="3120" w:type="dxa"/>
            <w:gridSpan w:val="8"/>
            <w:tcBorders>
              <w:bottom w:val="single" w:sz="4" w:space="0" w:color="000000"/>
            </w:tcBorders>
            <w:tcMar>
              <w:bottom w:w="28" w:type="dxa"/>
            </w:tcMar>
            <w:vAlign w:val="center"/>
          </w:tcPr>
          <w:p>
            <w:pPr>
              <w:pStyle w:val="TableContents"/>
              <w:bidi w:val="0"/>
              <w:spacing w:before="0" w:after="283"/>
              <w:jc w:val="center"/>
              <w:rPr>
                <w:b/>
              </w:rPr>
            </w:pPr>
            <w:r>
              <w:rPr>
                <w:b/>
              </w:rPr>
              <w:t>Nine Months Ended</w:t>
            </w:r>
          </w:p>
        </w:tc>
      </w:tr>
      <w:tr>
        <w:trPr/>
        <w:tc>
          <w:tcPr>
            <w:tcW w:w="7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7" w:type="dxa"/>
            <w:tcBorders/>
            <w:vAlign w:val="center"/>
          </w:tcPr>
          <w:p>
            <w:pPr>
              <w:pStyle w:val="TableContents"/>
              <w:bidi w:val="0"/>
              <w:spacing w:before="0" w:after="283"/>
              <w:jc w:val="center"/>
              <w:rPr>
                <w:b/>
              </w:rPr>
            </w:pPr>
            <w:r>
              <w:rPr>
                <w:b/>
              </w:rPr>
              <w:t>August 2,</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7" w:type="dxa"/>
            <w:tcBorders/>
            <w:vAlign w:val="center"/>
          </w:tcPr>
          <w:p>
            <w:pPr>
              <w:pStyle w:val="TableContents"/>
              <w:bidi w:val="0"/>
              <w:spacing w:before="0" w:after="283"/>
              <w:jc w:val="center"/>
              <w:rPr>
                <w:b/>
              </w:rPr>
            </w:pPr>
            <w:r>
              <w:rPr>
                <w:b/>
              </w:rPr>
              <w:t>August 3,</w:t>
            </w:r>
          </w:p>
        </w:tc>
        <w:tc>
          <w:tcPr>
            <w:tcW w:w="381" w:type="dxa"/>
            <w:tcBorders/>
            <w:vAlign w:val="center"/>
          </w:tcPr>
          <w:p>
            <w:pPr>
              <w:pStyle w:val="TableContents"/>
              <w:bidi w:val="0"/>
              <w:spacing w:before="0" w:after="283"/>
              <w:jc w:val="center"/>
              <w:rPr/>
            </w:pPr>
            <w:r>
              <w:rPr/>
              <w:t> </w:t>
            </w:r>
          </w:p>
        </w:tc>
      </w:tr>
      <w:tr>
        <w:trPr/>
        <w:tc>
          <w:tcPr>
            <w:tcW w:w="7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4" w:space="0" w:color="000000"/>
            </w:tcBorders>
            <w:tcMar>
              <w:bottom w:w="28" w:type="dxa"/>
            </w:tcMar>
            <w:vAlign w:val="center"/>
          </w:tcPr>
          <w:p>
            <w:pPr>
              <w:pStyle w:val="TableContents"/>
              <w:bidi w:val="0"/>
              <w:spacing w:before="0" w:after="283"/>
              <w:jc w:val="center"/>
              <w:rPr/>
            </w:pPr>
            <w:r>
              <w:rPr/>
              <w:t> </w:t>
            </w:r>
          </w:p>
        </w:tc>
        <w:tc>
          <w:tcPr>
            <w:tcW w:w="1017" w:type="dxa"/>
            <w:tcBorders>
              <w:bottom w:val="single" w:sz="4"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4"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4" w:space="0" w:color="000000"/>
            </w:tcBorders>
            <w:tcMar>
              <w:bottom w:w="28" w:type="dxa"/>
            </w:tcMar>
            <w:vAlign w:val="center"/>
          </w:tcPr>
          <w:p>
            <w:pPr>
              <w:pStyle w:val="TableContents"/>
              <w:bidi w:val="0"/>
              <w:spacing w:before="0" w:after="283"/>
              <w:jc w:val="center"/>
              <w:rPr/>
            </w:pPr>
            <w:r>
              <w:rPr/>
              <w:t> </w:t>
            </w:r>
          </w:p>
        </w:tc>
        <w:tc>
          <w:tcPr>
            <w:tcW w:w="1017" w:type="dxa"/>
            <w:tcBorders>
              <w:bottom w:val="single" w:sz="4" w:space="0" w:color="000000"/>
            </w:tcBorders>
            <w:tcMar>
              <w:bottom w:w="28" w:type="dxa"/>
            </w:tcMar>
            <w:vAlign w:val="center"/>
          </w:tcPr>
          <w:p>
            <w:pPr>
              <w:pStyle w:val="TableContents"/>
              <w:bidi w:val="0"/>
              <w:spacing w:before="0" w:after="283"/>
              <w:jc w:val="center"/>
              <w:rPr>
                <w:b/>
              </w:rPr>
            </w:pPr>
            <w:r>
              <w:rPr>
                <w:b/>
              </w:rPr>
              <w:t>2025</w:t>
            </w:r>
          </w:p>
        </w:tc>
        <w:tc>
          <w:tcPr>
            <w:tcW w:w="381" w:type="dxa"/>
            <w:tcBorders>
              <w:bottom w:val="single" w:sz="4" w:space="0" w:color="000000"/>
            </w:tcBorders>
            <w:tcMar>
              <w:bottom w:w="28" w:type="dxa"/>
            </w:tcMar>
            <w:vAlign w:val="center"/>
          </w:tcPr>
          <w:p>
            <w:pPr>
              <w:pStyle w:val="TableContents"/>
              <w:bidi w:val="0"/>
              <w:spacing w:before="0" w:after="283"/>
              <w:jc w:val="center"/>
              <w:rPr/>
            </w:pPr>
            <w:r>
              <w:rPr/>
              <w:t> </w:t>
            </w:r>
          </w:p>
        </w:tc>
      </w:tr>
      <w:tr>
        <w:trPr/>
        <w:tc>
          <w:tcPr>
            <w:tcW w:w="7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ind w:left="0" w:right="0" w:firstLine="150"/>
              <w:jc w:val="left"/>
              <w:rPr/>
            </w:pPr>
            <w:r>
              <w:rPr/>
              <w:t> </w:t>
            </w:r>
          </w:p>
        </w:tc>
      </w:tr>
      <w:tr>
        <w:trPr/>
        <w:tc>
          <w:tcPr>
            <w:tcW w:w="7080"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017" w:type="dxa"/>
            <w:tcBorders/>
            <w:shd w:fill="CCEEFF" w:val="clear"/>
            <w:vAlign w:val="center"/>
          </w:tcPr>
          <w:p>
            <w:pPr>
              <w:pStyle w:val="TableContents"/>
              <w:bidi w:val="0"/>
              <w:spacing w:before="0" w:after="283"/>
              <w:jc w:val="right"/>
              <w:rPr/>
            </w:pPr>
            <w:r>
              <w:rPr/>
              <w:t>147,310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017" w:type="dxa"/>
            <w:tcBorders/>
            <w:shd w:fill="CCEEFF" w:val="clear"/>
            <w:vAlign w:val="center"/>
          </w:tcPr>
          <w:p>
            <w:pPr>
              <w:pStyle w:val="TableContents"/>
              <w:bidi w:val="0"/>
              <w:spacing w:before="0" w:after="283"/>
              <w:jc w:val="right"/>
              <w:rPr/>
            </w:pPr>
            <w:r>
              <w:rPr/>
              <w:t>111,613</w:t>
            </w:r>
          </w:p>
        </w:tc>
        <w:tc>
          <w:tcPr>
            <w:tcW w:w="381" w:type="dxa"/>
            <w:tcBorders/>
            <w:shd w:fill="CCEEFF" w:val="clear"/>
            <w:vAlign w:val="center"/>
          </w:tcPr>
          <w:p>
            <w:pPr>
              <w:pStyle w:val="TableContents"/>
              <w:bidi w:val="0"/>
              <w:spacing w:before="0" w:after="283"/>
              <w:ind w:left="0" w:right="0" w:firstLine="150"/>
              <w:jc w:val="left"/>
              <w:rPr/>
            </w:pPr>
            <w:r>
              <w:rPr/>
              <w:t> </w:t>
            </w:r>
          </w:p>
        </w:tc>
      </w:tr>
      <w:tr>
        <w:trPr/>
        <w:tc>
          <w:tcPr>
            <w:tcW w:w="7080" w:type="dxa"/>
            <w:tcBorders/>
            <w:vAlign w:val="center"/>
          </w:tcPr>
          <w:p>
            <w:pPr>
              <w:pStyle w:val="TableContents"/>
              <w:bidi w:val="0"/>
              <w:spacing w:before="0" w:after="283"/>
              <w:jc w:val="left"/>
              <w:rPr/>
            </w:pPr>
            <w:r>
              <w:rPr/>
              <w:t>Adjustments to reconcile net income to net 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ind w:left="0" w:right="0" w:firstLine="150"/>
              <w:jc w:val="left"/>
              <w:rPr/>
            </w:pPr>
            <w:r>
              <w:rPr/>
              <w:t> </w:t>
            </w:r>
          </w:p>
        </w:tc>
      </w:tr>
      <w:tr>
        <w:trPr/>
        <w:tc>
          <w:tcPr>
            <w:tcW w:w="7080" w:type="dxa"/>
            <w:tcBorders/>
            <w:shd w:fill="CCEEFF" w:val="clear"/>
            <w:vAlign w:val="center"/>
          </w:tcPr>
          <w:p>
            <w:pPr>
              <w:pStyle w:val="TableContents"/>
              <w:bidi w:val="0"/>
              <w:spacing w:before="0" w:after="283"/>
              <w:jc w:val="left"/>
              <w:rPr/>
            </w:pPr>
            <w:r>
              <w:rPr/>
              <w:t>provided by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firstLine="150"/>
              <w:jc w:val="left"/>
              <w:rPr/>
            </w:pPr>
            <w:r>
              <w:rPr/>
              <w:t> </w:t>
            </w:r>
          </w:p>
        </w:tc>
      </w:tr>
      <w:tr>
        <w:trPr/>
        <w:tc>
          <w:tcPr>
            <w:tcW w:w="7080"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60,818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59,234</w:t>
            </w:r>
          </w:p>
        </w:tc>
        <w:tc>
          <w:tcPr>
            <w:tcW w:w="381" w:type="dxa"/>
            <w:tcBorders/>
            <w:vAlign w:val="center"/>
          </w:tcPr>
          <w:p>
            <w:pPr>
              <w:pStyle w:val="TableContents"/>
              <w:bidi w:val="0"/>
              <w:spacing w:before="0" w:after="283"/>
              <w:ind w:left="0" w:right="0" w:firstLine="150"/>
              <w:jc w:val="left"/>
              <w:rPr/>
            </w:pPr>
            <w:r>
              <w:rPr/>
              <w:t> </w:t>
            </w:r>
          </w:p>
        </w:tc>
      </w:tr>
      <w:tr>
        <w:trPr/>
        <w:tc>
          <w:tcPr>
            <w:tcW w:w="7080" w:type="dxa"/>
            <w:tcBorders/>
            <w:shd w:fill="CCEEFF" w:val="clear"/>
            <w:vAlign w:val="center"/>
          </w:tcPr>
          <w:p>
            <w:pPr>
              <w:pStyle w:val="TableContents"/>
              <w:bidi w:val="0"/>
              <w:spacing w:before="0" w:after="283"/>
              <w:jc w:val="left"/>
              <w:rPr/>
            </w:pPr>
            <w:r>
              <w:rPr/>
              <w:t>Share-based compensation</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10,437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10,003</w:t>
            </w:r>
          </w:p>
        </w:tc>
        <w:tc>
          <w:tcPr>
            <w:tcW w:w="381" w:type="dxa"/>
            <w:tcBorders/>
            <w:shd w:fill="CCEEFF" w:val="clear"/>
            <w:vAlign w:val="center"/>
          </w:tcPr>
          <w:p>
            <w:pPr>
              <w:pStyle w:val="TableContents"/>
              <w:bidi w:val="0"/>
              <w:spacing w:before="0" w:after="283"/>
              <w:ind w:left="0" w:right="0" w:firstLine="150"/>
              <w:jc w:val="left"/>
              <w:rPr/>
            </w:pPr>
            <w:r>
              <w:rPr/>
              <w:t> </w:t>
            </w:r>
          </w:p>
        </w:tc>
      </w:tr>
      <w:tr>
        <w:trPr/>
        <w:tc>
          <w:tcPr>
            <w:tcW w:w="7080" w:type="dxa"/>
            <w:tcBorders/>
            <w:vAlign w:val="center"/>
          </w:tcPr>
          <w:p>
            <w:pPr>
              <w:pStyle w:val="TableContents"/>
              <w:bidi w:val="0"/>
              <w:spacing w:before="0" w:after="283"/>
              <w:jc w:val="left"/>
              <w:rPr/>
            </w:pPr>
            <w:r>
              <w:rPr/>
              <w:t>Changes in operating assets, liabilities and other</w:t>
            </w:r>
          </w:p>
        </w:tc>
        <w:tc>
          <w:tcPr>
            <w:tcW w:w="90" w:type="dxa"/>
            <w:tcBorders/>
            <w:vAlign w:val="center"/>
          </w:tcPr>
          <w:p>
            <w:pPr>
              <w:pStyle w:val="TableContents"/>
              <w:bidi w:val="0"/>
              <w:spacing w:before="0" w:after="283"/>
              <w:jc w:val="right"/>
              <w:rPr/>
            </w:pPr>
            <w:r>
              <w:rPr/>
              <w:t> </w:t>
            </w:r>
          </w:p>
        </w:tc>
        <w:tc>
          <w:tcPr>
            <w:tcW w:w="170" w:type="dxa"/>
            <w:tcBorders>
              <w:bottom w:val="single" w:sz="4" w:space="0" w:color="000000"/>
            </w:tcBorders>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tcMar>
              <w:bottom w:w="28" w:type="dxa"/>
            </w:tcMar>
            <w:vAlign w:val="center"/>
          </w:tcPr>
          <w:p>
            <w:pPr>
              <w:pStyle w:val="TableContents"/>
              <w:bidi w:val="0"/>
              <w:spacing w:before="0" w:after="283"/>
              <w:jc w:val="right"/>
              <w:rPr/>
            </w:pPr>
            <w:r>
              <w:rPr/>
              <w:t>2,045</w:t>
            </w:r>
          </w:p>
        </w:tc>
        <w:tc>
          <w:tcPr>
            <w:tcW w:w="185" w:type="dxa"/>
            <w:tcBorders>
              <w:bottom w:val="single" w:sz="4"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4" w:space="0" w:color="000000"/>
            </w:tcBorders>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tcMar>
              <w:bottom w:w="28" w:type="dxa"/>
            </w:tcMar>
            <w:vAlign w:val="center"/>
          </w:tcPr>
          <w:p>
            <w:pPr>
              <w:pStyle w:val="TableContents"/>
              <w:bidi w:val="0"/>
              <w:spacing w:before="0" w:after="283"/>
              <w:jc w:val="right"/>
              <w:rPr/>
            </w:pPr>
            <w:r>
              <w:rPr/>
              <w:t>(20,876</w:t>
            </w:r>
          </w:p>
        </w:tc>
        <w:tc>
          <w:tcPr>
            <w:tcW w:w="381" w:type="dxa"/>
            <w:tcBorders>
              <w:bottom w:val="single" w:sz="4" w:space="0" w:color="000000"/>
            </w:tcBorders>
            <w:tcMar>
              <w:bottom w:w="28" w:type="dxa"/>
            </w:tcM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Net cash provided by operating activities</w:t>
            </w:r>
          </w:p>
        </w:tc>
        <w:tc>
          <w:tcPr>
            <w:tcW w:w="90" w:type="dxa"/>
            <w:tcBorders/>
            <w:vAlign w:val="center"/>
          </w:tcPr>
          <w:p>
            <w:pPr>
              <w:pStyle w:val="TableContents"/>
              <w:bidi w:val="0"/>
              <w:spacing w:before="0" w:after="283"/>
              <w:jc w:val="right"/>
              <w:rPr/>
            </w:pPr>
            <w:r>
              <w:rPr/>
              <w:t> </w:t>
            </w:r>
          </w:p>
        </w:tc>
        <w:tc>
          <w:tcPr>
            <w:tcW w:w="170" w:type="dxa"/>
            <w:tcBorders>
              <w:bottom w:val="single" w:sz="4" w:space="0" w:color="000000"/>
            </w:tcBorders>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tcMar>
              <w:bottom w:w="28" w:type="dxa"/>
            </w:tcMar>
            <w:vAlign w:val="center"/>
          </w:tcPr>
          <w:p>
            <w:pPr>
              <w:pStyle w:val="TableContents"/>
              <w:bidi w:val="0"/>
              <w:spacing w:before="0" w:after="283"/>
              <w:jc w:val="right"/>
              <w:rPr/>
            </w:pPr>
            <w:r>
              <w:rPr/>
              <w:t>220,610</w:t>
            </w:r>
          </w:p>
        </w:tc>
        <w:tc>
          <w:tcPr>
            <w:tcW w:w="185" w:type="dxa"/>
            <w:tcBorders>
              <w:bottom w:val="single" w:sz="4"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4" w:space="0" w:color="000000"/>
            </w:tcBorders>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tcMar>
              <w:bottom w:w="28" w:type="dxa"/>
            </w:tcMar>
            <w:vAlign w:val="center"/>
          </w:tcPr>
          <w:p>
            <w:pPr>
              <w:pStyle w:val="TableContents"/>
              <w:bidi w:val="0"/>
              <w:spacing w:before="0" w:after="283"/>
              <w:jc w:val="right"/>
              <w:rPr/>
            </w:pPr>
            <w:r>
              <w:rPr/>
              <w:t>159,974</w:t>
            </w:r>
          </w:p>
        </w:tc>
        <w:tc>
          <w:tcPr>
            <w:tcW w:w="381" w:type="dxa"/>
            <w:tcBorders>
              <w:bottom w:val="single" w:sz="4" w:space="0" w:color="000000"/>
            </w:tcBorders>
            <w:tcMar>
              <w:bottom w:w="28" w:type="dxa"/>
            </w:tcM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ind w:left="0" w:right="0" w:firstLine="150"/>
              <w:jc w:val="left"/>
              <w:rPr/>
            </w:pPr>
            <w:r>
              <w:rPr/>
              <w:t> </w:t>
            </w:r>
          </w:p>
        </w:tc>
      </w:tr>
      <w:tr>
        <w:trPr/>
        <w:tc>
          <w:tcPr>
            <w:tcW w:w="7080" w:type="dxa"/>
            <w:tcBorders/>
            <w:shd w:fill="CCEEFF" w:val="clear"/>
            <w:vAlign w:val="center"/>
          </w:tcPr>
          <w:p>
            <w:pPr>
              <w:pStyle w:val="TableContents"/>
              <w:bidi w:val="0"/>
              <w:spacing w:before="0" w:after="283"/>
              <w:jc w:val="left"/>
              <w:rPr/>
            </w:pPr>
            <w:r>
              <w:rPr/>
              <w:t>Purchases of property, plant and equipment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(130,410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(120,588</w:t>
            </w:r>
          </w:p>
        </w:tc>
        <w:tc>
          <w:tcPr>
            <w:tcW w:w="381" w:type="dxa"/>
            <w:tcBorders/>
            <w:shd w:fill="CCEEFF" w:val="clear"/>
            <w:vAlign w:val="center"/>
          </w:tcPr>
          <w:p>
            <w:pPr>
              <w:pStyle w:val="TableContents"/>
              <w:bidi w:val="0"/>
              <w:spacing w:before="0" w:after="283"/>
              <w:ind w:left="0" w:right="0" w:firstLine="150"/>
              <w:jc w:val="left"/>
              <w:rPr/>
            </w:pPr>
            <w:r>
              <w:rPr/>
              <w:t>) </w:t>
            </w:r>
          </w:p>
        </w:tc>
      </w:tr>
      <w:tr>
        <w:trPr/>
        <w:tc>
          <w:tcPr>
            <w:tcW w:w="7080" w:type="dxa"/>
            <w:tcBorders/>
            <w:vAlign w:val="center"/>
          </w:tcPr>
          <w:p>
            <w:pPr>
              <w:pStyle w:val="TableContents"/>
              <w:bidi w:val="0"/>
              <w:spacing w:before="0" w:after="283"/>
              <w:jc w:val="left"/>
              <w:rPr/>
            </w:pPr>
            <w:r>
              <w:rPr/>
              <w:t>Purchases of short-term investments</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(178,654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(96,571</w:t>
            </w:r>
          </w:p>
        </w:tc>
        <w:tc>
          <w:tcPr>
            <w:tcW w:w="381" w:type="dxa"/>
            <w:tcBorders/>
            <w:vAlign w:val="center"/>
          </w:tcPr>
          <w:p>
            <w:pPr>
              <w:pStyle w:val="TableContents"/>
              <w:bidi w:val="0"/>
              <w:spacing w:before="0" w:after="283"/>
              <w:ind w:left="0" w:right="0" w:firstLine="150"/>
              <w:jc w:val="left"/>
              <w:rPr/>
            </w:pPr>
            <w:r>
              <w:rPr/>
              <w:t>) </w:t>
            </w:r>
          </w:p>
        </w:tc>
      </w:tr>
      <w:tr>
        <w:trPr/>
        <w:tc>
          <w:tcPr>
            <w:tcW w:w="7080" w:type="dxa"/>
            <w:tcBorders/>
            <w:shd w:fill="CCEEFF" w:val="clear"/>
            <w:vAlign w:val="center"/>
          </w:tcPr>
          <w:p>
            <w:pPr>
              <w:pStyle w:val="TableContents"/>
              <w:bidi w:val="0"/>
              <w:spacing w:before="0" w:after="283"/>
              <w:jc w:val="left"/>
              <w:rPr/>
            </w:pPr>
            <w:r>
              <w:rPr/>
              <w:t>Proceeds from maturities of short-term investments</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135,571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42,148</w:t>
            </w:r>
          </w:p>
        </w:tc>
        <w:tc>
          <w:tcPr>
            <w:tcW w:w="381" w:type="dxa"/>
            <w:tcBorders/>
            <w:shd w:fill="CCEEFF" w:val="clear"/>
            <w:vAlign w:val="center"/>
          </w:tcPr>
          <w:p>
            <w:pPr>
              <w:pStyle w:val="TableContents"/>
              <w:bidi w:val="0"/>
              <w:spacing w:before="0" w:after="283"/>
              <w:ind w:left="0" w:right="0" w:firstLine="150"/>
              <w:jc w:val="left"/>
              <w:rPr/>
            </w:pPr>
            <w:r>
              <w:rPr/>
              <w:t> </w:t>
            </w:r>
          </w:p>
        </w:tc>
      </w:tr>
      <w:tr>
        <w:trPr/>
        <w:tc>
          <w:tcPr>
            <w:tcW w:w="7080" w:type="dxa"/>
            <w:tcBorders/>
            <w:vAlign w:val="center"/>
          </w:tcPr>
          <w:p>
            <w:pPr>
              <w:pStyle w:val="TableContents"/>
              <w:bidi w:val="0"/>
              <w:spacing w:before="0" w:after="283"/>
              <w:jc w:val="left"/>
              <w:rPr/>
            </w:pPr>
            <w:r>
              <w:rPr/>
              <w:t>Proceeds from sales of short-term investments</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20,233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w:t>
            </w:r>
          </w:p>
        </w:tc>
        <w:tc>
          <w:tcPr>
            <w:tcW w:w="381" w:type="dxa"/>
            <w:tcBorders/>
            <w:vAlign w:val="center"/>
          </w:tcPr>
          <w:p>
            <w:pPr>
              <w:pStyle w:val="TableContents"/>
              <w:bidi w:val="0"/>
              <w:spacing w:before="0" w:after="283"/>
              <w:ind w:left="0" w:right="0" w:firstLine="150"/>
              <w:jc w:val="left"/>
              <w:rPr/>
            </w:pPr>
            <w:r>
              <w:rPr/>
              <w:t> </w:t>
            </w:r>
          </w:p>
        </w:tc>
      </w:tr>
      <w:tr>
        <w:trPr/>
        <w:tc>
          <w:tcPr>
            <w:tcW w:w="7080" w:type="dxa"/>
            <w:tcBorders/>
            <w:shd w:fill="CCEEFF" w:val="clear"/>
            <w:vAlign w:val="center"/>
          </w:tcPr>
          <w:p>
            <w:pPr>
              <w:pStyle w:val="TableContents"/>
              <w:bidi w:val="0"/>
              <w:spacing w:before="0" w:after="283"/>
              <w:jc w:val="left"/>
              <w:rPr/>
            </w:pPr>
            <w:r>
              <w:rPr/>
              <w:t>Government incentives</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2,567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1,469</w:t>
            </w:r>
          </w:p>
        </w:tc>
        <w:tc>
          <w:tcPr>
            <w:tcW w:w="381" w:type="dxa"/>
            <w:tcBorders/>
            <w:shd w:fill="CCEEFF" w:val="clear"/>
            <w:vAlign w:val="center"/>
          </w:tcPr>
          <w:p>
            <w:pPr>
              <w:pStyle w:val="TableContents"/>
              <w:bidi w:val="0"/>
              <w:spacing w:before="0" w:after="283"/>
              <w:ind w:left="0" w:right="0" w:firstLine="150"/>
              <w:jc w:val="left"/>
              <w:rPr/>
            </w:pPr>
            <w:r>
              <w:rPr/>
              <w:t> </w:t>
            </w:r>
          </w:p>
        </w:tc>
      </w:tr>
      <w:tr>
        <w:trPr/>
        <w:tc>
          <w:tcPr>
            <w:tcW w:w="708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(57</w:t>
            </w:r>
          </w:p>
        </w:tc>
        <w:tc>
          <w:tcPr>
            <w:tcW w:w="381"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c>
          <w:tcPr>
            <w:tcW w:w="1017"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c>
          <w:tcPr>
            <w:tcW w:w="185"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c>
          <w:tcPr>
            <w:tcW w:w="1017"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c>
          <w:tcPr>
            <w:tcW w:w="381"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right"/>
              <w:rPr/>
            </w:pPr>
            <w:r>
              <w:rPr/>
              <w:t> </w:t>
            </w:r>
          </w:p>
        </w:tc>
        <w:tc>
          <w:tcPr>
            <w:tcW w:w="170" w:type="dxa"/>
            <w:tcBorders>
              <w:bottom w:val="single" w:sz="4" w:space="0" w:color="000000"/>
            </w:tcBorders>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tcMar>
              <w:bottom w:w="28" w:type="dxa"/>
            </w:tcMar>
            <w:vAlign w:val="center"/>
          </w:tcPr>
          <w:p>
            <w:pPr>
              <w:pStyle w:val="TableContents"/>
              <w:bidi w:val="0"/>
              <w:spacing w:before="0" w:after="283"/>
              <w:jc w:val="right"/>
              <w:rPr/>
            </w:pPr>
            <w:r>
              <w:rPr/>
              <w:t>(150,749</w:t>
            </w:r>
          </w:p>
        </w:tc>
        <w:tc>
          <w:tcPr>
            <w:tcW w:w="185" w:type="dxa"/>
            <w:tcBorders>
              <w:bottom w:val="single" w:sz="4"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4" w:space="0" w:color="000000"/>
            </w:tcBorders>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tcMar>
              <w:bottom w:w="28" w:type="dxa"/>
            </w:tcMar>
            <w:vAlign w:val="center"/>
          </w:tcPr>
          <w:p>
            <w:pPr>
              <w:pStyle w:val="TableContents"/>
              <w:bidi w:val="0"/>
              <w:spacing w:before="0" w:after="283"/>
              <w:jc w:val="right"/>
              <w:rPr/>
            </w:pPr>
            <w:r>
              <w:rPr/>
              <w:t>(173,599</w:t>
            </w:r>
          </w:p>
        </w:tc>
        <w:tc>
          <w:tcPr>
            <w:tcW w:w="381" w:type="dxa"/>
            <w:tcBorders>
              <w:bottom w:val="single" w:sz="4" w:space="0" w:color="000000"/>
            </w:tcBorders>
            <w:tcMar>
              <w:bottom w:w="28" w:type="dxa"/>
            </w:tcM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Cash flows from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Repayments of debt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(17,969</w:t>
            </w:r>
          </w:p>
        </w:tc>
        <w:tc>
          <w:tcPr>
            <w:tcW w:w="381"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Common stock repurchases</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(97,422</w:t>
            </w:r>
          </w:p>
        </w:tc>
        <w:tc>
          <w:tcPr>
            <w:tcW w:w="381"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Proceeds from share-based arrangements</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1,337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2,120</w:t>
            </w:r>
          </w:p>
        </w:tc>
        <w:tc>
          <w:tcPr>
            <w:tcW w:w="381"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Net settlements of restricted stock awards</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(1,673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(2,013</w:t>
            </w:r>
          </w:p>
        </w:tc>
        <w:tc>
          <w:tcPr>
            <w:tcW w:w="381"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c>
          <w:tcPr>
            <w:tcW w:w="1017"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c>
          <w:tcPr>
            <w:tcW w:w="185"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c>
          <w:tcPr>
            <w:tcW w:w="1017"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c>
          <w:tcPr>
            <w:tcW w:w="381" w:type="dxa"/>
            <w:tcBorders>
              <w:top w:val="single" w:sz="4" w:space="0" w:color="000000"/>
            </w:tcBorders>
            <w:shd w:fill="CCEEFF" w:val="clear"/>
            <w:tcMar>
              <w:top w:w="28" w:type="dxa"/>
            </w:tcM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Net cash used in financing activities</w:t>
            </w:r>
          </w:p>
        </w:tc>
        <w:tc>
          <w:tcPr>
            <w:tcW w:w="90" w:type="dxa"/>
            <w:tcBorders/>
            <w:vAlign w:val="center"/>
          </w:tcPr>
          <w:p>
            <w:pPr>
              <w:pStyle w:val="TableContents"/>
              <w:bidi w:val="0"/>
              <w:spacing w:before="0" w:after="283"/>
              <w:jc w:val="right"/>
              <w:rPr/>
            </w:pPr>
            <w:r>
              <w:rPr/>
              <w:t> </w:t>
            </w:r>
          </w:p>
        </w:tc>
        <w:tc>
          <w:tcPr>
            <w:tcW w:w="170" w:type="dxa"/>
            <w:tcBorders>
              <w:bottom w:val="single" w:sz="4" w:space="0" w:color="000000"/>
            </w:tcBorders>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tcMar>
              <w:bottom w:w="28" w:type="dxa"/>
            </w:tcMar>
            <w:vAlign w:val="center"/>
          </w:tcPr>
          <w:p>
            <w:pPr>
              <w:pStyle w:val="TableContents"/>
              <w:bidi w:val="0"/>
              <w:spacing w:before="0" w:after="283"/>
              <w:jc w:val="right"/>
              <w:rPr/>
            </w:pPr>
            <w:r>
              <w:rPr/>
              <w:t>(344</w:t>
            </w:r>
          </w:p>
        </w:tc>
        <w:tc>
          <w:tcPr>
            <w:tcW w:w="185" w:type="dxa"/>
            <w:tcBorders>
              <w:bottom w:val="single" w:sz="4"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4" w:space="0" w:color="000000"/>
            </w:tcBorders>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tcMar>
              <w:bottom w:w="28" w:type="dxa"/>
            </w:tcMar>
            <w:vAlign w:val="center"/>
          </w:tcPr>
          <w:p>
            <w:pPr>
              <w:pStyle w:val="TableContents"/>
              <w:bidi w:val="0"/>
              <w:spacing w:before="0" w:after="283"/>
              <w:jc w:val="right"/>
              <w:rPr/>
            </w:pPr>
            <w:r>
              <w:rPr/>
              <w:t>(115,284</w:t>
            </w:r>
          </w:p>
        </w:tc>
        <w:tc>
          <w:tcPr>
            <w:tcW w:w="381" w:type="dxa"/>
            <w:tcBorders>
              <w:bottom w:val="single" w:sz="4" w:space="0" w:color="000000"/>
            </w:tcBorders>
            <w:tcMar>
              <w:bottom w:w="28" w:type="dxa"/>
            </w:tcM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Effects of exchange rate changes on cash, cash equivalents, and restricted cash</w:t>
            </w:r>
          </w:p>
        </w:tc>
        <w:tc>
          <w:tcPr>
            <w:tcW w:w="90" w:type="dxa"/>
            <w:tcBorders/>
            <w:vAlign w:val="center"/>
          </w:tcPr>
          <w:p>
            <w:pPr>
              <w:pStyle w:val="TableContents"/>
              <w:bidi w:val="0"/>
              <w:spacing w:before="0" w:after="283"/>
              <w:jc w:val="right"/>
              <w:rPr/>
            </w:pPr>
            <w:r>
              <w:rPr/>
              <w:t> </w:t>
            </w:r>
          </w:p>
        </w:tc>
        <w:tc>
          <w:tcPr>
            <w:tcW w:w="170" w:type="dxa"/>
            <w:tcBorders>
              <w:bottom w:val="single" w:sz="4" w:space="0" w:color="000000"/>
            </w:tcBorders>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tcMar>
              <w:bottom w:w="28" w:type="dxa"/>
            </w:tcMar>
            <w:vAlign w:val="center"/>
          </w:tcPr>
          <w:p>
            <w:pPr>
              <w:pStyle w:val="TableContents"/>
              <w:bidi w:val="0"/>
              <w:spacing w:before="0" w:after="283"/>
              <w:jc w:val="right"/>
              <w:rPr/>
            </w:pPr>
            <w:r>
              <w:rPr/>
              <w:t>(12,306</w:t>
            </w:r>
          </w:p>
        </w:tc>
        <w:tc>
          <w:tcPr>
            <w:tcW w:w="185" w:type="dxa"/>
            <w:tcBorders>
              <w:bottom w:val="single" w:sz="4"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4" w:space="0" w:color="000000"/>
            </w:tcBorders>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tcMar>
              <w:bottom w:w="28" w:type="dxa"/>
            </w:tcMar>
            <w:vAlign w:val="center"/>
          </w:tcPr>
          <w:p>
            <w:pPr>
              <w:pStyle w:val="TableContents"/>
              <w:bidi w:val="0"/>
              <w:spacing w:before="0" w:after="283"/>
              <w:jc w:val="right"/>
              <w:rPr/>
            </w:pPr>
            <w:r>
              <w:rPr/>
              <w:t>10,129</w:t>
            </w:r>
          </w:p>
        </w:tc>
        <w:tc>
          <w:tcPr>
            <w:tcW w:w="381" w:type="dxa"/>
            <w:tcBorders>
              <w:bottom w:val="single" w:sz="4" w:space="0" w:color="000000"/>
            </w:tcBorders>
            <w:tcMar>
              <w:bottom w:w="28" w:type="dxa"/>
            </w:tcM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Net increase (decrease) in cash, cash equivalents, and restricted cash</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57,211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017" w:type="dxa"/>
            <w:tcBorders/>
            <w:vAlign w:val="center"/>
          </w:tcPr>
          <w:p>
            <w:pPr>
              <w:pStyle w:val="TableContents"/>
              <w:bidi w:val="0"/>
              <w:spacing w:before="0" w:after="283"/>
              <w:jc w:val="right"/>
              <w:rPr/>
            </w:pPr>
            <w:r>
              <w:rPr/>
              <w:t>(118,780</w:t>
            </w:r>
          </w:p>
        </w:tc>
        <w:tc>
          <w:tcPr>
            <w:tcW w:w="381"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Cash, cash equivalents, and restricted cash, beginning of period</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shd w:fill="CCEEFF" w:val="clear"/>
            <w:tcMar>
              <w:bottom w:w="28" w:type="dxa"/>
            </w:tcMar>
            <w:vAlign w:val="center"/>
          </w:tcPr>
          <w:p>
            <w:pPr>
              <w:pStyle w:val="TableContents"/>
              <w:bidi w:val="0"/>
              <w:spacing w:before="0" w:after="283"/>
              <w:jc w:val="right"/>
              <w:rPr/>
            </w:pPr>
            <w:r>
              <w:rPr/>
              <w:t>495,113</w:t>
            </w:r>
          </w:p>
        </w:tc>
        <w:tc>
          <w:tcPr>
            <w:tcW w:w="185"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shd w:fill="CCEEFF" w:val="clear"/>
            <w:tcMar>
              <w:bottom w:w="28" w:type="dxa"/>
            </w:tcMar>
            <w:vAlign w:val="center"/>
          </w:tcPr>
          <w:p>
            <w:pPr>
              <w:pStyle w:val="TableContents"/>
              <w:bidi w:val="0"/>
              <w:spacing w:before="0" w:after="283"/>
              <w:jc w:val="right"/>
              <w:rPr/>
            </w:pPr>
            <w:r>
              <w:rPr/>
              <w:t>601,243</w:t>
            </w:r>
          </w:p>
        </w:tc>
        <w:tc>
          <w:tcPr>
            <w:tcW w:w="381"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Cash, cash equivalents, and restricted cash, end of period</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shd w:fill="CCEEFF" w:val="clear"/>
            <w:tcMar>
              <w:bottom w:w="28" w:type="dxa"/>
            </w:tcMar>
            <w:vAlign w:val="center"/>
          </w:tcPr>
          <w:p>
            <w:pPr>
              <w:pStyle w:val="TableContents"/>
              <w:bidi w:val="0"/>
              <w:spacing w:before="0" w:after="283"/>
              <w:jc w:val="right"/>
              <w:rPr/>
            </w:pPr>
            <w:r>
              <w:rPr/>
              <w:t>552,324</w:t>
            </w:r>
          </w:p>
        </w:tc>
        <w:tc>
          <w:tcPr>
            <w:tcW w:w="185"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4" w:space="0" w:color="000000"/>
            </w:tcBorders>
            <w:shd w:fill="CCEEFF" w:val="clear"/>
            <w:tcMar>
              <w:bottom w:w="28" w:type="dxa"/>
            </w:tcMar>
            <w:vAlign w:val="center"/>
          </w:tcPr>
          <w:p>
            <w:pPr>
              <w:pStyle w:val="TableContents"/>
              <w:bidi w:val="0"/>
              <w:spacing w:before="0" w:after="283"/>
              <w:jc w:val="right"/>
              <w:rPr/>
            </w:pPr>
            <w:r>
              <w:rPr/>
              <w:t> </w:t>
            </w:r>
          </w:p>
        </w:tc>
        <w:tc>
          <w:tcPr>
            <w:tcW w:w="1017" w:type="dxa"/>
            <w:tcBorders>
              <w:bottom w:val="single" w:sz="4" w:space="0" w:color="000000"/>
            </w:tcBorders>
            <w:shd w:fill="CCEEFF" w:val="clear"/>
            <w:tcMar>
              <w:bottom w:w="28" w:type="dxa"/>
            </w:tcMar>
            <w:vAlign w:val="center"/>
          </w:tcPr>
          <w:p>
            <w:pPr>
              <w:pStyle w:val="TableContents"/>
              <w:bidi w:val="0"/>
              <w:spacing w:before="0" w:after="283"/>
              <w:jc w:val="right"/>
              <w:rPr/>
            </w:pPr>
            <w:r>
              <w:rPr/>
              <w:t>482,463</w:t>
            </w:r>
          </w:p>
        </w:tc>
        <w:tc>
          <w:tcPr>
            <w:tcW w:w="381" w:type="dxa"/>
            <w:tcBorders>
              <w:bottom w:val="single" w:sz="4" w:space="0" w:color="000000"/>
            </w:tcBorders>
            <w:shd w:fill="CCEEFF" w:val="clear"/>
            <w:tcMar>
              <w:bottom w:w="28" w:type="dxa"/>
            </w:tcM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Less: Ending restricted cash</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2,811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017" w:type="dxa"/>
            <w:tcBorders/>
            <w:shd w:fill="CCEEFF" w:val="clear"/>
            <w:vAlign w:val="center"/>
          </w:tcPr>
          <w:p>
            <w:pPr>
              <w:pStyle w:val="TableContents"/>
              <w:bidi w:val="0"/>
              <w:spacing w:before="0" w:after="283"/>
              <w:jc w:val="right"/>
              <w:rPr/>
            </w:pPr>
            <w:r>
              <w:rPr/>
              <w:t>2,942</w:t>
            </w:r>
          </w:p>
        </w:tc>
        <w:tc>
          <w:tcPr>
            <w:tcW w:w="381" w:type="dxa"/>
            <w:tcBorders/>
            <w:shd w:fill="CCEEFF" w:val="clear"/>
            <w:vAlign w:val="center"/>
          </w:tcPr>
          <w:p>
            <w:pPr>
              <w:pStyle w:val="TableContents"/>
              <w:bidi w:val="0"/>
              <w:spacing w:before="0" w:after="283"/>
              <w:jc w:val="left"/>
              <w:rPr/>
            </w:pPr>
            <w:r>
              <w:rPr/>
              <w:t> </w:t>
            </w:r>
          </w:p>
        </w:tc>
      </w:tr>
      <w:tr>
        <w:trPr/>
        <w:tc>
          <w:tcPr>
            <w:tcW w:w="7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pPr>
            <w:r>
              <w:rPr/>
              <w:t>Cash and cash equivalents at end of period</w:t>
            </w:r>
          </w:p>
        </w:tc>
        <w:tc>
          <w:tcPr>
            <w:tcW w:w="90" w:type="dxa"/>
            <w:tcBorders/>
            <w:shd w:fill="CCEEFF" w:val="clear"/>
            <w:vAlign w:val="center"/>
          </w:tcPr>
          <w:p>
            <w:pPr>
              <w:pStyle w:val="TableContents"/>
              <w:bidi w:val="0"/>
              <w:spacing w:before="0" w:after="283"/>
              <w:jc w:val="right"/>
              <w:rPr/>
            </w:pPr>
            <w:r>
              <w:rPr/>
              <w:t> </w:t>
            </w:r>
          </w:p>
        </w:tc>
        <w:tc>
          <w:tcPr>
            <w:tcW w:w="170"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right"/>
              <w:rPr/>
            </w:pPr>
            <w:r>
              <w:rPr/>
              <w:t>$</w:t>
            </w:r>
          </w:p>
        </w:tc>
        <w:tc>
          <w:tcPr>
            <w:tcW w:w="1017"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right"/>
              <w:rPr/>
            </w:pPr>
            <w:r>
              <w:rPr/>
              <w:t>549,513</w:t>
            </w:r>
          </w:p>
        </w:tc>
        <w:tc>
          <w:tcPr>
            <w:tcW w:w="185"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right"/>
              <w:rPr/>
            </w:pPr>
            <w:r>
              <w:rPr/>
              <w:t>$</w:t>
            </w:r>
          </w:p>
        </w:tc>
        <w:tc>
          <w:tcPr>
            <w:tcW w:w="1017"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right"/>
              <w:rPr/>
            </w:pPr>
            <w:r>
              <w:rPr/>
              <w:t>479,521</w:t>
            </w:r>
          </w:p>
        </w:tc>
        <w:tc>
          <w:tcPr>
            <w:tcW w:w="381"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tbl>
      <w:tblPr>
        <w:tblW w:w="14280" w:type="dxa"/>
        <w:jc w:val="left"/>
        <w:tblInd w:w="0" w:type="dxa"/>
        <w:tblLayout w:type="fixed"/>
        <w:tblCellMar>
          <w:top w:w="0" w:type="dxa"/>
          <w:left w:w="0" w:type="dxa"/>
          <w:bottom w:w="0" w:type="dxa"/>
          <w:right w:w="0" w:type="dxa"/>
        </w:tblCellMar>
      </w:tblPr>
      <w:tblGrid>
        <w:gridCol w:w="9471"/>
        <w:gridCol w:w="99"/>
        <w:gridCol w:w="188"/>
        <w:gridCol w:w="1138"/>
        <w:gridCol w:w="205"/>
        <w:gridCol w:w="99"/>
        <w:gridCol w:w="188"/>
        <w:gridCol w:w="838"/>
        <w:gridCol w:w="205"/>
        <w:gridCol w:w="99"/>
        <w:gridCol w:w="188"/>
        <w:gridCol w:w="1138"/>
        <w:gridCol w:w="424"/>
      </w:tblGrid>
      <w:tr>
        <w:trPr/>
        <w:tc>
          <w:tcPr>
            <w:tcW w:w="14280" w:type="dxa"/>
            <w:gridSpan w:val="13"/>
            <w:tcBorders/>
            <w:vAlign w:val="center"/>
          </w:tcPr>
          <w:p>
            <w:pPr>
              <w:pStyle w:val="TableContents"/>
              <w:bidi w:val="0"/>
              <w:spacing w:before="0" w:after="283"/>
              <w:jc w:val="center"/>
              <w:rPr>
                <w:b/>
                <w:u w:val="single"/>
              </w:rPr>
            </w:pPr>
            <w:r>
              <w:rPr>
                <w:b/>
                <w:u w:val="single"/>
              </w:rPr>
              <w:t>PHOTRONICS, INC.</w:t>
            </w:r>
          </w:p>
        </w:tc>
      </w:tr>
      <w:tr>
        <w:trPr/>
        <w:tc>
          <w:tcPr>
            <w:tcW w:w="14280" w:type="dxa"/>
            <w:gridSpan w:val="13"/>
            <w:tcBorders/>
            <w:vAlign w:val="center"/>
          </w:tcPr>
          <w:p>
            <w:pPr>
              <w:pStyle w:val="TableContents"/>
              <w:bidi w:val="0"/>
              <w:spacing w:before="0" w:after="283"/>
              <w:jc w:val="center"/>
              <w:rPr>
                <w:b/>
                <w:u w:val="single"/>
              </w:rPr>
            </w:pPr>
            <w:r>
              <w:rPr>
                <w:b/>
                <w:u w:val="single"/>
              </w:rPr>
              <w:t>Reconciliation of U.S. GAAP to non-GAAP:</w:t>
              <w:br/>
              <w:t>Net income and diluted earnings per share attributable to Photronics, Inc. shareholders</w:t>
            </w:r>
          </w:p>
        </w:tc>
      </w:tr>
      <w:tr>
        <w:trPr/>
        <w:tc>
          <w:tcPr>
            <w:tcW w:w="14280" w:type="dxa"/>
            <w:gridSpan w:val="13"/>
            <w:tcBorders/>
            <w:vAlign w:val="center"/>
          </w:tcPr>
          <w:p>
            <w:pPr>
              <w:pStyle w:val="TableContents"/>
              <w:bidi w:val="0"/>
              <w:spacing w:before="0" w:after="283"/>
              <w:jc w:val="center"/>
              <w:rPr/>
            </w:pPr>
            <w:r>
              <w:rPr/>
              <w:t>(in thousands, except per share amounts)</w:t>
            </w:r>
          </w:p>
        </w:tc>
      </w:tr>
      <w:tr>
        <w:trPr/>
        <w:tc>
          <w:tcPr>
            <w:tcW w:w="14280" w:type="dxa"/>
            <w:gridSpan w:val="13"/>
            <w:tcBorders/>
            <w:vAlign w:val="center"/>
          </w:tcPr>
          <w:p>
            <w:pPr>
              <w:pStyle w:val="TableContents"/>
              <w:bidi w:val="0"/>
              <w:spacing w:before="0" w:after="283"/>
              <w:jc w:val="center"/>
              <w:rPr/>
            </w:pPr>
            <w:r>
              <w:rPr/>
              <w:t>(Unaudited)</w:t>
            </w:r>
          </w:p>
        </w:tc>
      </w:tr>
      <w:tr>
        <w:trPr/>
        <w:tc>
          <w:tcPr>
            <w:tcW w:w="947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r>
      <w:tr>
        <w:trPr/>
        <w:tc>
          <w:tcPr>
            <w:tcW w:w="9471" w:type="dxa"/>
            <w:tcBorders/>
            <w:vAlign w:val="center"/>
          </w:tcPr>
          <w:p>
            <w:pPr>
              <w:pStyle w:val="TableContents"/>
              <w:bidi w:val="0"/>
              <w:spacing w:before="0" w:after="283"/>
              <w:jc w:val="left"/>
              <w:rPr/>
            </w:pPr>
            <w:r>
              <w:rPr/>
              <w:t> </w:t>
            </w:r>
          </w:p>
        </w:tc>
        <w:tc>
          <w:tcPr>
            <w:tcW w:w="4809" w:type="dxa"/>
            <w:gridSpan w:val="12"/>
            <w:tcBorders>
              <w:bottom w:val="single" w:sz="4" w:space="0" w:color="000000"/>
            </w:tcBorders>
            <w:tcMar>
              <w:bottom w:w="28" w:type="dxa"/>
            </w:tcMar>
            <w:vAlign w:val="center"/>
          </w:tcPr>
          <w:p>
            <w:pPr>
              <w:pStyle w:val="TableContents"/>
              <w:bidi w:val="0"/>
              <w:spacing w:before="0" w:after="283"/>
              <w:jc w:val="center"/>
              <w:rPr>
                <w:b/>
              </w:rPr>
            </w:pPr>
            <w:r>
              <w:rPr>
                <w:b/>
              </w:rPr>
              <w:t>Three Months ended</w:t>
            </w:r>
          </w:p>
        </w:tc>
      </w:tr>
      <w:tr>
        <w:trPr/>
        <w:tc>
          <w:tcPr>
            <w:tcW w:w="947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center"/>
              <w:rPr/>
            </w:pPr>
            <w:r>
              <w:rPr/>
              <w:t> </w:t>
            </w:r>
          </w:p>
        </w:tc>
        <w:tc>
          <w:tcPr>
            <w:tcW w:w="188" w:type="dxa"/>
            <w:tcBorders/>
            <w:vAlign w:val="center"/>
          </w:tcPr>
          <w:p>
            <w:pPr>
              <w:pStyle w:val="TableContents"/>
              <w:bidi w:val="0"/>
              <w:spacing w:before="0" w:after="283"/>
              <w:jc w:val="center"/>
              <w:rPr/>
            </w:pPr>
            <w:r>
              <w:rPr/>
              <w:t> </w:t>
            </w:r>
          </w:p>
        </w:tc>
        <w:tc>
          <w:tcPr>
            <w:tcW w:w="1138" w:type="dxa"/>
            <w:tcBorders/>
            <w:vAlign w:val="center"/>
          </w:tcPr>
          <w:p>
            <w:pPr>
              <w:pStyle w:val="TableContents"/>
              <w:bidi w:val="0"/>
              <w:spacing w:before="0" w:after="283"/>
              <w:jc w:val="center"/>
              <w:rPr>
                <w:b/>
              </w:rPr>
            </w:pPr>
            <w:r>
              <w:rPr>
                <w:b/>
              </w:rPr>
              <w:t>August 2,</w:t>
            </w:r>
          </w:p>
        </w:tc>
        <w:tc>
          <w:tcPr>
            <w:tcW w:w="205"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88" w:type="dxa"/>
            <w:tcBorders/>
            <w:vAlign w:val="center"/>
          </w:tcPr>
          <w:p>
            <w:pPr>
              <w:pStyle w:val="TableContents"/>
              <w:bidi w:val="0"/>
              <w:spacing w:before="0" w:after="283"/>
              <w:jc w:val="center"/>
              <w:rPr/>
            </w:pPr>
            <w:r>
              <w:rPr/>
              <w:t> </w:t>
            </w:r>
          </w:p>
        </w:tc>
        <w:tc>
          <w:tcPr>
            <w:tcW w:w="838" w:type="dxa"/>
            <w:tcBorders/>
            <w:vAlign w:val="center"/>
          </w:tcPr>
          <w:p>
            <w:pPr>
              <w:pStyle w:val="TableContents"/>
              <w:bidi w:val="0"/>
              <w:spacing w:before="0" w:after="283"/>
              <w:jc w:val="center"/>
              <w:rPr>
                <w:b/>
              </w:rPr>
            </w:pPr>
            <w:r>
              <w:rPr>
                <w:b/>
              </w:rPr>
              <w:t>May 3,</w:t>
            </w:r>
          </w:p>
        </w:tc>
        <w:tc>
          <w:tcPr>
            <w:tcW w:w="205"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88" w:type="dxa"/>
            <w:tcBorders/>
            <w:vAlign w:val="center"/>
          </w:tcPr>
          <w:p>
            <w:pPr>
              <w:pStyle w:val="TableContents"/>
              <w:bidi w:val="0"/>
              <w:spacing w:before="0" w:after="283"/>
              <w:jc w:val="center"/>
              <w:rPr/>
            </w:pPr>
            <w:r>
              <w:rPr/>
              <w:t> </w:t>
            </w:r>
          </w:p>
        </w:tc>
        <w:tc>
          <w:tcPr>
            <w:tcW w:w="1138" w:type="dxa"/>
            <w:tcBorders/>
            <w:vAlign w:val="center"/>
          </w:tcPr>
          <w:p>
            <w:pPr>
              <w:pStyle w:val="TableContents"/>
              <w:bidi w:val="0"/>
              <w:spacing w:before="0" w:after="283"/>
              <w:jc w:val="center"/>
              <w:rPr>
                <w:b/>
              </w:rPr>
            </w:pPr>
            <w:r>
              <w:rPr>
                <w:b/>
              </w:rPr>
              <w:t>August 3,</w:t>
            </w:r>
          </w:p>
        </w:tc>
        <w:tc>
          <w:tcPr>
            <w:tcW w:w="424" w:type="dxa"/>
            <w:tcBorders/>
            <w:vAlign w:val="center"/>
          </w:tcPr>
          <w:p>
            <w:pPr>
              <w:pStyle w:val="TableContents"/>
              <w:bidi w:val="0"/>
              <w:spacing w:before="0" w:after="283"/>
              <w:jc w:val="center"/>
              <w:rPr/>
            </w:pPr>
            <w:r>
              <w:rPr/>
              <w:t> </w:t>
            </w:r>
          </w:p>
        </w:tc>
      </w:tr>
      <w:tr>
        <w:trPr/>
        <w:tc>
          <w:tcPr>
            <w:tcW w:w="947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center"/>
              <w:rPr/>
            </w:pPr>
            <w:r>
              <w:rPr/>
              <w:t> </w:t>
            </w:r>
          </w:p>
        </w:tc>
        <w:tc>
          <w:tcPr>
            <w:tcW w:w="188" w:type="dxa"/>
            <w:tcBorders>
              <w:bottom w:val="single" w:sz="4" w:space="0" w:color="000000"/>
            </w:tcBorders>
            <w:tcMar>
              <w:bottom w:w="28" w:type="dxa"/>
            </w:tcMar>
            <w:vAlign w:val="center"/>
          </w:tcPr>
          <w:p>
            <w:pPr>
              <w:pStyle w:val="TableContents"/>
              <w:bidi w:val="0"/>
              <w:spacing w:before="0" w:after="283"/>
              <w:jc w:val="center"/>
              <w:rPr/>
            </w:pPr>
            <w:r>
              <w:rPr/>
              <w:t> </w:t>
            </w:r>
          </w:p>
        </w:tc>
        <w:tc>
          <w:tcPr>
            <w:tcW w:w="1138" w:type="dxa"/>
            <w:tcBorders>
              <w:bottom w:val="single" w:sz="4" w:space="0" w:color="000000"/>
            </w:tcBorders>
            <w:tcMar>
              <w:bottom w:w="28" w:type="dxa"/>
            </w:tcMar>
            <w:vAlign w:val="center"/>
          </w:tcPr>
          <w:p>
            <w:pPr>
              <w:pStyle w:val="TableContents"/>
              <w:bidi w:val="0"/>
              <w:spacing w:before="0" w:after="283"/>
              <w:jc w:val="center"/>
              <w:rPr>
                <w:b/>
              </w:rPr>
            </w:pPr>
            <w:r>
              <w:rPr>
                <w:b/>
              </w:rPr>
              <w:t>2026</w:t>
            </w:r>
          </w:p>
        </w:tc>
        <w:tc>
          <w:tcPr>
            <w:tcW w:w="205" w:type="dxa"/>
            <w:tcBorders>
              <w:bottom w:val="single" w:sz="4" w:space="0" w:color="000000"/>
            </w:tcBorders>
            <w:tcMar>
              <w:bottom w:w="28" w:type="dxa"/>
            </w:tcMar>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88" w:type="dxa"/>
            <w:tcBorders>
              <w:bottom w:val="single" w:sz="4" w:space="0" w:color="000000"/>
            </w:tcBorders>
            <w:tcMar>
              <w:bottom w:w="28" w:type="dxa"/>
            </w:tcMar>
            <w:vAlign w:val="center"/>
          </w:tcPr>
          <w:p>
            <w:pPr>
              <w:pStyle w:val="TableContents"/>
              <w:bidi w:val="0"/>
              <w:spacing w:before="0" w:after="283"/>
              <w:jc w:val="center"/>
              <w:rPr/>
            </w:pPr>
            <w:r>
              <w:rPr/>
              <w:t> </w:t>
            </w:r>
          </w:p>
        </w:tc>
        <w:tc>
          <w:tcPr>
            <w:tcW w:w="838" w:type="dxa"/>
            <w:tcBorders>
              <w:bottom w:val="single" w:sz="4" w:space="0" w:color="000000"/>
            </w:tcBorders>
            <w:tcMar>
              <w:bottom w:w="28" w:type="dxa"/>
            </w:tcMar>
            <w:vAlign w:val="center"/>
          </w:tcPr>
          <w:p>
            <w:pPr>
              <w:pStyle w:val="TableContents"/>
              <w:bidi w:val="0"/>
              <w:spacing w:before="0" w:after="283"/>
              <w:jc w:val="center"/>
              <w:rPr>
                <w:b/>
              </w:rPr>
            </w:pPr>
            <w:r>
              <w:rPr>
                <w:b/>
              </w:rPr>
              <w:t>2026</w:t>
            </w:r>
          </w:p>
        </w:tc>
        <w:tc>
          <w:tcPr>
            <w:tcW w:w="205" w:type="dxa"/>
            <w:tcBorders>
              <w:bottom w:val="single" w:sz="4" w:space="0" w:color="000000"/>
            </w:tcBorders>
            <w:tcMar>
              <w:bottom w:w="28" w:type="dxa"/>
            </w:tcMar>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88" w:type="dxa"/>
            <w:tcBorders>
              <w:bottom w:val="single" w:sz="4" w:space="0" w:color="000000"/>
            </w:tcBorders>
            <w:tcMar>
              <w:bottom w:w="28" w:type="dxa"/>
            </w:tcMar>
            <w:vAlign w:val="center"/>
          </w:tcPr>
          <w:p>
            <w:pPr>
              <w:pStyle w:val="TableContents"/>
              <w:bidi w:val="0"/>
              <w:spacing w:before="0" w:after="283"/>
              <w:jc w:val="center"/>
              <w:rPr/>
            </w:pPr>
            <w:r>
              <w:rPr/>
              <w:t> </w:t>
            </w:r>
          </w:p>
        </w:tc>
        <w:tc>
          <w:tcPr>
            <w:tcW w:w="1138" w:type="dxa"/>
            <w:tcBorders>
              <w:bottom w:val="single" w:sz="4" w:space="0" w:color="000000"/>
            </w:tcBorders>
            <w:tcMar>
              <w:bottom w:w="28" w:type="dxa"/>
            </w:tcMar>
            <w:vAlign w:val="center"/>
          </w:tcPr>
          <w:p>
            <w:pPr>
              <w:pStyle w:val="TableContents"/>
              <w:bidi w:val="0"/>
              <w:spacing w:before="0" w:after="283"/>
              <w:jc w:val="center"/>
              <w:rPr>
                <w:b/>
              </w:rPr>
            </w:pPr>
            <w:r>
              <w:rPr>
                <w:b/>
              </w:rPr>
              <w:t>2025</w:t>
            </w:r>
          </w:p>
        </w:tc>
        <w:tc>
          <w:tcPr>
            <w:tcW w:w="424" w:type="dxa"/>
            <w:tcBorders>
              <w:bottom w:val="single" w:sz="4" w:space="0" w:color="000000"/>
            </w:tcBorders>
            <w:tcMar>
              <w:bottom w:w="28" w:type="dxa"/>
            </w:tcMar>
            <w:vAlign w:val="center"/>
          </w:tcPr>
          <w:p>
            <w:pPr>
              <w:pStyle w:val="TableContents"/>
              <w:bidi w:val="0"/>
              <w:spacing w:before="0" w:after="283"/>
              <w:jc w:val="center"/>
              <w:rPr/>
            </w:pPr>
            <w:r>
              <w:rPr/>
              <w:t> </w:t>
            </w:r>
          </w:p>
        </w:tc>
      </w:tr>
      <w:tr>
        <w:trPr/>
        <w:tc>
          <w:tcPr>
            <w:tcW w:w="947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r>
      <w:tr>
        <w:trPr/>
        <w:tc>
          <w:tcPr>
            <w:tcW w:w="947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r>
      <w:tr>
        <w:trPr/>
        <w:tc>
          <w:tcPr>
            <w:tcW w:w="9471" w:type="dxa"/>
            <w:tcBorders/>
            <w:shd w:fill="CCEEFF" w:val="clear"/>
            <w:vAlign w:val="center"/>
          </w:tcPr>
          <w:p>
            <w:pPr>
              <w:pStyle w:val="TableContents"/>
              <w:bidi w:val="0"/>
              <w:spacing w:before="0" w:after="283"/>
              <w:jc w:val="left"/>
              <w:rPr>
                <w:b/>
              </w:rPr>
            </w:pPr>
            <w:r>
              <w:rPr>
                <w:b/>
              </w:rPr>
              <w:t>U.S. GAAP net income attributable to Photronics, Inc. shareholders</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w:t>
            </w:r>
          </w:p>
        </w:tc>
        <w:tc>
          <w:tcPr>
            <w:tcW w:w="1138" w:type="dxa"/>
            <w:tcBorders/>
            <w:shd w:fill="CCEEFF" w:val="clear"/>
            <w:vAlign w:val="center"/>
          </w:tcPr>
          <w:p>
            <w:pPr>
              <w:pStyle w:val="TableContents"/>
              <w:bidi w:val="0"/>
              <w:spacing w:before="0" w:after="283"/>
              <w:jc w:val="right"/>
              <w:rPr/>
            </w:pPr>
            <w:r>
              <w:rPr/>
              <w:t>28,916</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w:t>
            </w:r>
          </w:p>
        </w:tc>
        <w:tc>
          <w:tcPr>
            <w:tcW w:w="838" w:type="dxa"/>
            <w:tcBorders/>
            <w:shd w:fill="CCEEFF" w:val="clear"/>
            <w:vAlign w:val="center"/>
          </w:tcPr>
          <w:p>
            <w:pPr>
              <w:pStyle w:val="TableContents"/>
              <w:bidi w:val="0"/>
              <w:spacing w:before="0" w:after="283"/>
              <w:jc w:val="right"/>
              <w:rPr/>
            </w:pPr>
            <w:r>
              <w:rPr/>
              <w:t>31,429</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w:t>
            </w:r>
          </w:p>
        </w:tc>
        <w:tc>
          <w:tcPr>
            <w:tcW w:w="1138" w:type="dxa"/>
            <w:tcBorders/>
            <w:shd w:fill="CCEEFF" w:val="clear"/>
            <w:vAlign w:val="center"/>
          </w:tcPr>
          <w:p>
            <w:pPr>
              <w:pStyle w:val="TableContents"/>
              <w:bidi w:val="0"/>
              <w:spacing w:before="0" w:after="283"/>
              <w:jc w:val="right"/>
              <w:rPr/>
            </w:pPr>
            <w:r>
              <w:rPr/>
              <w:t>22,891</w:t>
            </w:r>
          </w:p>
        </w:tc>
        <w:tc>
          <w:tcPr>
            <w:tcW w:w="424" w:type="dxa"/>
            <w:tcBorders/>
            <w:shd w:fill="CCEEFF" w:val="clear"/>
            <w:vAlign w:val="center"/>
          </w:tcPr>
          <w:p>
            <w:pPr>
              <w:pStyle w:val="TableContents"/>
              <w:bidi w:val="0"/>
              <w:spacing w:before="0" w:after="283"/>
              <w:ind w:left="0" w:right="0" w:firstLine="150"/>
              <w:jc w:val="left"/>
              <w:rPr/>
            </w:pPr>
            <w:r>
              <w:rPr/>
              <w:t> </w:t>
            </w:r>
          </w:p>
        </w:tc>
      </w:tr>
      <w:tr>
        <w:trPr/>
        <w:tc>
          <w:tcPr>
            <w:tcW w:w="9471" w:type="dxa"/>
            <w:tcBorders/>
            <w:vAlign w:val="center"/>
          </w:tcPr>
          <w:p>
            <w:pPr>
              <w:pStyle w:val="TableContents"/>
              <w:bidi w:val="0"/>
              <w:spacing w:before="0" w:after="283"/>
              <w:jc w:val="left"/>
              <w:rPr/>
            </w:pPr>
            <w:r>
              <w:rPr/>
              <w:t>FX (gain) loss</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138" w:type="dxa"/>
            <w:tcBorders/>
            <w:vAlign w:val="center"/>
          </w:tcPr>
          <w:p>
            <w:pPr>
              <w:pStyle w:val="TableContents"/>
              <w:bidi w:val="0"/>
              <w:spacing w:before="0" w:after="283"/>
              <w:jc w:val="right"/>
              <w:rPr/>
            </w:pPr>
            <w:r>
              <w:rPr/>
              <w:t>(4,776</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838" w:type="dxa"/>
            <w:tcBorders/>
            <w:vAlign w:val="center"/>
          </w:tcPr>
          <w:p>
            <w:pPr>
              <w:pStyle w:val="TableContents"/>
              <w:bidi w:val="0"/>
              <w:spacing w:before="0" w:after="283"/>
              <w:jc w:val="right"/>
              <w:rPr/>
            </w:pPr>
            <w:r>
              <w:rPr/>
              <w:t>(7,869</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138" w:type="dxa"/>
            <w:tcBorders/>
            <w:vAlign w:val="center"/>
          </w:tcPr>
          <w:p>
            <w:pPr>
              <w:pStyle w:val="TableContents"/>
              <w:bidi w:val="0"/>
              <w:spacing w:before="0" w:after="283"/>
              <w:jc w:val="right"/>
              <w:rPr/>
            </w:pPr>
            <w:r>
              <w:rPr/>
              <w:t>14,258</w:t>
            </w:r>
          </w:p>
        </w:tc>
        <w:tc>
          <w:tcPr>
            <w:tcW w:w="424" w:type="dxa"/>
            <w:tcBorders/>
            <w:vAlign w:val="center"/>
          </w:tcPr>
          <w:p>
            <w:pPr>
              <w:pStyle w:val="TableContents"/>
              <w:bidi w:val="0"/>
              <w:spacing w:before="0" w:after="283"/>
              <w:ind w:left="0" w:right="0" w:firstLine="150"/>
              <w:jc w:val="left"/>
              <w:rPr/>
            </w:pPr>
            <w:r>
              <w:rPr/>
              <w:t> </w:t>
            </w:r>
          </w:p>
        </w:tc>
      </w:tr>
      <w:tr>
        <w:trPr/>
        <w:tc>
          <w:tcPr>
            <w:tcW w:w="9471" w:type="dxa"/>
            <w:tcBorders/>
            <w:shd w:fill="CCEEFF" w:val="clear"/>
            <w:vAlign w:val="center"/>
          </w:tcPr>
          <w:p>
            <w:pPr>
              <w:pStyle w:val="TableContents"/>
              <w:bidi w:val="0"/>
              <w:spacing w:before="0" w:after="283"/>
              <w:jc w:val="left"/>
              <w:rPr/>
            </w:pPr>
            <w:r>
              <w:rPr/>
              <w:t>Estimated tax effects of FX (gain) loss</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1138" w:type="dxa"/>
            <w:tcBorders/>
            <w:shd w:fill="CCEEFF" w:val="clear"/>
            <w:vAlign w:val="center"/>
          </w:tcPr>
          <w:p>
            <w:pPr>
              <w:pStyle w:val="TableContents"/>
              <w:bidi w:val="0"/>
              <w:spacing w:before="0" w:after="283"/>
              <w:jc w:val="right"/>
              <w:rPr/>
            </w:pPr>
            <w:r>
              <w:rPr/>
              <w:t>2,055</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838" w:type="dxa"/>
            <w:tcBorders/>
            <w:shd w:fill="CCEEFF" w:val="clear"/>
            <w:vAlign w:val="center"/>
          </w:tcPr>
          <w:p>
            <w:pPr>
              <w:pStyle w:val="TableContents"/>
              <w:bidi w:val="0"/>
              <w:spacing w:before="0" w:after="283"/>
              <w:jc w:val="right"/>
              <w:rPr/>
            </w:pPr>
            <w:r>
              <w:rPr/>
              <w:t>629</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1138" w:type="dxa"/>
            <w:tcBorders/>
            <w:shd w:fill="CCEEFF" w:val="clear"/>
            <w:vAlign w:val="center"/>
          </w:tcPr>
          <w:p>
            <w:pPr>
              <w:pStyle w:val="TableContents"/>
              <w:bidi w:val="0"/>
              <w:spacing w:before="0" w:after="283"/>
              <w:jc w:val="right"/>
              <w:rPr/>
            </w:pPr>
            <w:r>
              <w:rPr/>
              <w:t>(3,663</w:t>
            </w:r>
          </w:p>
        </w:tc>
        <w:tc>
          <w:tcPr>
            <w:tcW w:w="424" w:type="dxa"/>
            <w:tcBorders/>
            <w:shd w:fill="CCEEFF" w:val="clear"/>
            <w:vAlign w:val="center"/>
          </w:tcPr>
          <w:p>
            <w:pPr>
              <w:pStyle w:val="TableContents"/>
              <w:bidi w:val="0"/>
              <w:spacing w:before="0" w:after="283"/>
              <w:ind w:left="0" w:right="0" w:firstLine="150"/>
              <w:jc w:val="left"/>
              <w:rPr/>
            </w:pPr>
            <w:r>
              <w:rPr/>
              <w:t>) </w:t>
            </w:r>
          </w:p>
        </w:tc>
      </w:tr>
      <w:tr>
        <w:trPr/>
        <w:tc>
          <w:tcPr>
            <w:tcW w:w="9471" w:type="dxa"/>
            <w:tcBorders/>
            <w:vAlign w:val="center"/>
          </w:tcPr>
          <w:p>
            <w:pPr>
              <w:pStyle w:val="TableContents"/>
              <w:bidi w:val="0"/>
              <w:spacing w:before="0" w:after="283"/>
              <w:jc w:val="left"/>
              <w:rPr/>
            </w:pPr>
            <w:r>
              <w:rPr/>
              <w:t>Estimated noncontrolling interest effects of above</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138" w:type="dxa"/>
            <w:tcBorders/>
            <w:vAlign w:val="center"/>
          </w:tcPr>
          <w:p>
            <w:pPr>
              <w:pStyle w:val="TableContents"/>
              <w:bidi w:val="0"/>
              <w:spacing w:before="0" w:after="283"/>
              <w:jc w:val="right"/>
              <w:rPr/>
            </w:pPr>
            <w:r>
              <w:rPr/>
              <w:t>3,233</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838" w:type="dxa"/>
            <w:tcBorders/>
            <w:vAlign w:val="center"/>
          </w:tcPr>
          <w:p>
            <w:pPr>
              <w:pStyle w:val="TableContents"/>
              <w:bidi w:val="0"/>
              <w:spacing w:before="0" w:after="283"/>
              <w:jc w:val="right"/>
              <w:rPr/>
            </w:pPr>
            <w:r>
              <w:rPr/>
              <w:t>739</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138" w:type="dxa"/>
            <w:tcBorders/>
            <w:vAlign w:val="center"/>
          </w:tcPr>
          <w:p>
            <w:pPr>
              <w:pStyle w:val="TableContents"/>
              <w:bidi w:val="0"/>
              <w:spacing w:before="0" w:after="283"/>
              <w:jc w:val="right"/>
              <w:rPr/>
            </w:pPr>
            <w:r>
              <w:rPr/>
              <w:t>(4,130</w:t>
            </w:r>
          </w:p>
        </w:tc>
        <w:tc>
          <w:tcPr>
            <w:tcW w:w="424" w:type="dxa"/>
            <w:tcBorders/>
            <w:vAlign w:val="center"/>
          </w:tcPr>
          <w:p>
            <w:pPr>
              <w:pStyle w:val="TableContents"/>
              <w:bidi w:val="0"/>
              <w:spacing w:before="0" w:after="283"/>
              <w:jc w:val="left"/>
              <w:rPr/>
            </w:pPr>
            <w:r>
              <w:rPr/>
              <w:t>) </w:t>
            </w:r>
          </w:p>
        </w:tc>
      </w:tr>
      <w:tr>
        <w:trPr/>
        <w:tc>
          <w:tcPr>
            <w:tcW w:w="947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1138"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838"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 </w:t>
            </w:r>
          </w:p>
        </w:tc>
        <w:tc>
          <w:tcPr>
            <w:tcW w:w="1138" w:type="dxa"/>
            <w:tcBorders/>
            <w:shd w:fill="CCEEFF" w:val="clear"/>
            <w:vAlign w:val="center"/>
          </w:tcPr>
          <w:p>
            <w:pPr>
              <w:pStyle w:val="TableContents"/>
              <w:bidi w:val="0"/>
              <w:spacing w:before="0" w:after="283"/>
              <w:jc w:val="right"/>
              <w:rPr/>
            </w:pPr>
            <w:r>
              <w:rPr/>
              <w:t> </w:t>
            </w:r>
          </w:p>
        </w:tc>
        <w:tc>
          <w:tcPr>
            <w:tcW w:w="424" w:type="dxa"/>
            <w:tcBorders/>
            <w:shd w:fill="CCEEFF" w:val="clear"/>
            <w:vAlign w:val="center"/>
          </w:tcPr>
          <w:p>
            <w:pPr>
              <w:pStyle w:val="TableContents"/>
              <w:bidi w:val="0"/>
              <w:spacing w:before="0" w:after="283"/>
              <w:jc w:val="right"/>
              <w:rPr/>
            </w:pPr>
            <w:r>
              <w:rPr/>
              <w:t> </w:t>
            </w:r>
          </w:p>
        </w:tc>
      </w:tr>
      <w:tr>
        <w:trPr/>
        <w:tc>
          <w:tcPr>
            <w:tcW w:w="9471" w:type="dxa"/>
            <w:tcBorders/>
            <w:vAlign w:val="center"/>
          </w:tcPr>
          <w:p>
            <w:pPr>
              <w:pStyle w:val="TableContents"/>
              <w:bidi w:val="0"/>
              <w:spacing w:before="0" w:after="283"/>
              <w:jc w:val="left"/>
              <w:rPr>
                <w:b/>
              </w:rPr>
            </w:pPr>
            <w:r>
              <w:rPr>
                <w:b/>
              </w:rPr>
              <w:t>Non-GAAP net income attributable to Photronics, Inc. shareholders</w:t>
            </w:r>
          </w:p>
        </w:tc>
        <w:tc>
          <w:tcPr>
            <w:tcW w:w="99" w:type="dxa"/>
            <w:tcBorders/>
            <w:vAlign w:val="center"/>
          </w:tcPr>
          <w:p>
            <w:pPr>
              <w:pStyle w:val="TableContents"/>
              <w:bidi w:val="0"/>
              <w:spacing w:before="0" w:after="283"/>
              <w:jc w:val="right"/>
              <w:rPr/>
            </w:pPr>
            <w:r>
              <w:rPr/>
              <w:t> </w:t>
            </w:r>
          </w:p>
        </w:tc>
        <w:tc>
          <w:tcPr>
            <w:tcW w:w="18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b/>
              </w:rPr>
            </w:pPr>
            <w:r>
              <w:rPr>
                <w:b/>
              </w:rPr>
              <w:t>$</w:t>
            </w:r>
          </w:p>
        </w:tc>
        <w:tc>
          <w:tcPr>
            <w:tcW w:w="113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b/>
              </w:rPr>
            </w:pPr>
            <w:r>
              <w:rPr>
                <w:b/>
              </w:rPr>
              <w:t>29,428</w:t>
            </w:r>
          </w:p>
        </w:tc>
        <w:tc>
          <w:tcPr>
            <w:tcW w:w="205"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b/>
              </w:rPr>
            </w:pPr>
            <w:r>
              <w:rPr>
                <w:b/>
              </w:rPr>
              <w:t>$</w:t>
            </w:r>
          </w:p>
        </w:tc>
        <w:tc>
          <w:tcPr>
            <w:tcW w:w="83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b/>
              </w:rPr>
            </w:pPr>
            <w:r>
              <w:rPr>
                <w:b/>
              </w:rPr>
              <w:t>24,928</w:t>
            </w:r>
          </w:p>
        </w:tc>
        <w:tc>
          <w:tcPr>
            <w:tcW w:w="205"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b/>
              </w:rPr>
            </w:pPr>
            <w:r>
              <w:rPr>
                <w:b/>
              </w:rPr>
              <w:t>$</w:t>
            </w:r>
          </w:p>
        </w:tc>
        <w:tc>
          <w:tcPr>
            <w:tcW w:w="113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b/>
              </w:rPr>
            </w:pPr>
            <w:r>
              <w:rPr>
                <w:b/>
              </w:rPr>
              <w:t>29,356</w:t>
            </w:r>
          </w:p>
        </w:tc>
        <w:tc>
          <w:tcPr>
            <w:tcW w:w="424"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left"/>
              <w:rPr/>
            </w:pPr>
            <w:r>
              <w:rPr/>
              <w:t> </w:t>
            </w:r>
          </w:p>
        </w:tc>
      </w:tr>
      <w:tr>
        <w:trPr/>
        <w:tc>
          <w:tcPr>
            <w:tcW w:w="947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r>
      <w:tr>
        <w:trPr/>
        <w:tc>
          <w:tcPr>
            <w:tcW w:w="9471" w:type="dxa"/>
            <w:tcBorders/>
            <w:vAlign w:val="center"/>
          </w:tcPr>
          <w:p>
            <w:pPr>
              <w:pStyle w:val="TableContents"/>
              <w:bidi w:val="0"/>
              <w:spacing w:before="0" w:after="283"/>
              <w:jc w:val="left"/>
              <w:rPr>
                <w:b/>
              </w:rPr>
            </w:pPr>
            <w:r>
              <w:rPr>
                <w:b/>
              </w:rPr>
              <w:t>Weighted-average number of common shares outstanding - Diluted</w:t>
            </w:r>
          </w:p>
        </w:tc>
        <w:tc>
          <w:tcPr>
            <w:tcW w:w="99" w:type="dxa"/>
            <w:tcBorders/>
            <w:vAlign w:val="center"/>
          </w:tcPr>
          <w:p>
            <w:pPr>
              <w:pStyle w:val="TableContents"/>
              <w:bidi w:val="0"/>
              <w:spacing w:before="0" w:after="283"/>
              <w:jc w:val="right"/>
              <w:rPr/>
            </w:pPr>
            <w:r>
              <w:rPr/>
              <w:t> </w:t>
            </w:r>
          </w:p>
        </w:tc>
        <w:tc>
          <w:tcPr>
            <w:tcW w:w="18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pPr>
            <w:r>
              <w:rPr/>
              <w:t> </w:t>
            </w:r>
          </w:p>
        </w:tc>
        <w:tc>
          <w:tcPr>
            <w:tcW w:w="113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b/>
              </w:rPr>
            </w:pPr>
            <w:r>
              <w:rPr>
                <w:b/>
              </w:rPr>
              <w:t>58,718</w:t>
            </w:r>
          </w:p>
        </w:tc>
        <w:tc>
          <w:tcPr>
            <w:tcW w:w="205"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pPr>
            <w:r>
              <w:rPr/>
              <w:t> </w:t>
            </w:r>
          </w:p>
        </w:tc>
        <w:tc>
          <w:tcPr>
            <w:tcW w:w="83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b/>
              </w:rPr>
            </w:pPr>
            <w:r>
              <w:rPr>
                <w:b/>
              </w:rPr>
              <w:t>58,745</w:t>
            </w:r>
          </w:p>
        </w:tc>
        <w:tc>
          <w:tcPr>
            <w:tcW w:w="205"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pPr>
            <w:r>
              <w:rPr/>
              <w:t> </w:t>
            </w:r>
          </w:p>
        </w:tc>
        <w:tc>
          <w:tcPr>
            <w:tcW w:w="1138"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right"/>
              <w:rPr>
                <w:b/>
              </w:rPr>
            </w:pPr>
            <w:r>
              <w:rPr>
                <w:b/>
              </w:rPr>
              <w:t>58,068</w:t>
            </w:r>
          </w:p>
        </w:tc>
        <w:tc>
          <w:tcPr>
            <w:tcW w:w="424" w:type="dxa"/>
            <w:tcBorders>
              <w:top w:val="single" w:sz="4" w:space="0" w:color="000000"/>
              <w:bottom w:val="double" w:sz="5" w:space="0" w:color="000000"/>
            </w:tcBorders>
            <w:tcMar>
              <w:top w:w="28" w:type="dxa"/>
              <w:bottom w:w="28" w:type="dxa"/>
            </w:tcMar>
            <w:vAlign w:val="center"/>
          </w:tcPr>
          <w:p>
            <w:pPr>
              <w:pStyle w:val="TableContents"/>
              <w:bidi w:val="0"/>
              <w:spacing w:before="0" w:after="283"/>
              <w:jc w:val="left"/>
              <w:rPr/>
            </w:pPr>
            <w:r>
              <w:rPr/>
              <w:t> </w:t>
            </w:r>
          </w:p>
        </w:tc>
      </w:tr>
      <w:tr>
        <w:trPr/>
        <w:tc>
          <w:tcPr>
            <w:tcW w:w="947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r>
      <w:tr>
        <w:trPr/>
        <w:tc>
          <w:tcPr>
            <w:tcW w:w="947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r>
      <w:tr>
        <w:trPr/>
        <w:tc>
          <w:tcPr>
            <w:tcW w:w="9471" w:type="dxa"/>
            <w:tcBorders/>
            <w:shd w:fill="CCEEFF" w:val="clear"/>
            <w:vAlign w:val="center"/>
          </w:tcPr>
          <w:p>
            <w:pPr>
              <w:pStyle w:val="TableContents"/>
              <w:bidi w:val="0"/>
              <w:spacing w:before="0" w:after="283"/>
              <w:jc w:val="left"/>
              <w:rPr>
                <w:b/>
              </w:rPr>
            </w:pPr>
            <w:r>
              <w:rPr>
                <w:b/>
              </w:rPr>
              <w:t>U.S. GAAP diluted earnings per share attributable to Photronics, Inc. shareholders</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w:t>
            </w:r>
          </w:p>
        </w:tc>
        <w:tc>
          <w:tcPr>
            <w:tcW w:w="1138" w:type="dxa"/>
            <w:tcBorders/>
            <w:shd w:fill="CCEEFF" w:val="clear"/>
            <w:vAlign w:val="center"/>
          </w:tcPr>
          <w:p>
            <w:pPr>
              <w:pStyle w:val="TableContents"/>
              <w:bidi w:val="0"/>
              <w:spacing w:before="0" w:after="283"/>
              <w:jc w:val="right"/>
              <w:rPr/>
            </w:pPr>
            <w:r>
              <w:rPr/>
              <w:t>0.49</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w:t>
            </w:r>
          </w:p>
        </w:tc>
        <w:tc>
          <w:tcPr>
            <w:tcW w:w="838" w:type="dxa"/>
            <w:tcBorders/>
            <w:shd w:fill="CCEEFF" w:val="clear"/>
            <w:vAlign w:val="center"/>
          </w:tcPr>
          <w:p>
            <w:pPr>
              <w:pStyle w:val="TableContents"/>
              <w:bidi w:val="0"/>
              <w:spacing w:before="0" w:after="283"/>
              <w:jc w:val="right"/>
              <w:rPr/>
            </w:pPr>
            <w:r>
              <w:rPr/>
              <w:t>0.54</w:t>
            </w:r>
          </w:p>
        </w:tc>
        <w:tc>
          <w:tcPr>
            <w:tcW w:w="20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right"/>
              <w:rPr/>
            </w:pPr>
            <w:r>
              <w:rPr/>
              <w:t>$</w:t>
            </w:r>
          </w:p>
        </w:tc>
        <w:tc>
          <w:tcPr>
            <w:tcW w:w="1138" w:type="dxa"/>
            <w:tcBorders/>
            <w:shd w:fill="CCEEFF" w:val="clear"/>
            <w:vAlign w:val="center"/>
          </w:tcPr>
          <w:p>
            <w:pPr>
              <w:pStyle w:val="TableContents"/>
              <w:bidi w:val="0"/>
              <w:spacing w:before="0" w:after="283"/>
              <w:jc w:val="right"/>
              <w:rPr/>
            </w:pPr>
            <w:r>
              <w:rPr/>
              <w:t>0.39</w:t>
            </w:r>
          </w:p>
        </w:tc>
        <w:tc>
          <w:tcPr>
            <w:tcW w:w="424" w:type="dxa"/>
            <w:tcBorders/>
            <w:shd w:fill="CCEEFF" w:val="clear"/>
            <w:vAlign w:val="center"/>
          </w:tcPr>
          <w:p>
            <w:pPr>
              <w:pStyle w:val="TableContents"/>
              <w:bidi w:val="0"/>
              <w:spacing w:before="0" w:after="283"/>
              <w:ind w:left="0" w:right="0" w:firstLine="150"/>
              <w:jc w:val="left"/>
              <w:rPr/>
            </w:pPr>
            <w:r>
              <w:rPr/>
              <w:t> </w:t>
            </w:r>
          </w:p>
        </w:tc>
      </w:tr>
      <w:tr>
        <w:trPr/>
        <w:tc>
          <w:tcPr>
            <w:tcW w:w="9471" w:type="dxa"/>
            <w:tcBorders/>
            <w:vAlign w:val="center"/>
          </w:tcPr>
          <w:p>
            <w:pPr>
              <w:pStyle w:val="TableContents"/>
              <w:bidi w:val="0"/>
              <w:spacing w:before="0" w:after="283"/>
              <w:jc w:val="left"/>
              <w:rPr/>
            </w:pPr>
            <w:r>
              <w:rPr/>
              <w:t>Effects of non-GAAP adjustments above</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138" w:type="dxa"/>
            <w:tcBorders/>
            <w:vAlign w:val="center"/>
          </w:tcPr>
          <w:p>
            <w:pPr>
              <w:pStyle w:val="TableContents"/>
              <w:bidi w:val="0"/>
              <w:spacing w:before="0" w:after="283"/>
              <w:jc w:val="right"/>
              <w:rPr/>
            </w:pPr>
            <w:r>
              <w:rPr/>
              <w:t>0.01</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838" w:type="dxa"/>
            <w:tcBorders/>
            <w:vAlign w:val="center"/>
          </w:tcPr>
          <w:p>
            <w:pPr>
              <w:pStyle w:val="TableContents"/>
              <w:bidi w:val="0"/>
              <w:spacing w:before="0" w:after="283"/>
              <w:jc w:val="right"/>
              <w:rPr/>
            </w:pPr>
            <w:r>
              <w:rPr/>
              <w:t>(0.12</w:t>
            </w:r>
          </w:p>
        </w:tc>
        <w:tc>
          <w:tcPr>
            <w:tcW w:w="20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138" w:type="dxa"/>
            <w:tcBorders/>
            <w:vAlign w:val="center"/>
          </w:tcPr>
          <w:p>
            <w:pPr>
              <w:pStyle w:val="TableContents"/>
              <w:bidi w:val="0"/>
              <w:spacing w:before="0" w:after="283"/>
              <w:jc w:val="right"/>
              <w:rPr/>
            </w:pPr>
            <w:r>
              <w:rPr/>
              <w:t>0.12</w:t>
            </w:r>
          </w:p>
        </w:tc>
        <w:tc>
          <w:tcPr>
            <w:tcW w:w="424" w:type="dxa"/>
            <w:tcBorders/>
            <w:vAlign w:val="center"/>
          </w:tcPr>
          <w:p>
            <w:pPr>
              <w:pStyle w:val="TableContents"/>
              <w:bidi w:val="0"/>
              <w:spacing w:before="0" w:after="283"/>
              <w:jc w:val="left"/>
              <w:rPr/>
            </w:pPr>
            <w:r>
              <w:rPr/>
              <w:t> </w:t>
            </w:r>
          </w:p>
        </w:tc>
      </w:tr>
      <w:tr>
        <w:trPr/>
        <w:tc>
          <w:tcPr>
            <w:tcW w:w="9471" w:type="dxa"/>
            <w:tcBorders/>
            <w:shd w:fill="CCEEFF" w:val="clear"/>
            <w:vAlign w:val="center"/>
          </w:tcPr>
          <w:p>
            <w:pPr>
              <w:pStyle w:val="TableContents"/>
              <w:bidi w:val="0"/>
              <w:spacing w:before="0" w:after="283"/>
              <w:jc w:val="left"/>
              <w:rPr>
                <w:b/>
              </w:rPr>
            </w:pPr>
            <w:r>
              <w:rPr>
                <w:b/>
              </w:rPr>
              <w:t>Non-GAAP diluted earnings per share attributable to Photronics, Inc. shareholders</w:t>
            </w:r>
          </w:p>
        </w:tc>
        <w:tc>
          <w:tcPr>
            <w:tcW w:w="99" w:type="dxa"/>
            <w:tcBorders/>
            <w:shd w:fill="CCEEFF" w:val="clear"/>
            <w:vAlign w:val="center"/>
          </w:tcPr>
          <w:p>
            <w:pPr>
              <w:pStyle w:val="TableContents"/>
              <w:bidi w:val="0"/>
              <w:spacing w:before="0" w:after="283"/>
              <w:jc w:val="right"/>
              <w:rPr/>
            </w:pPr>
            <w:r>
              <w:rPr/>
              <w:t> </w:t>
            </w:r>
          </w:p>
        </w:tc>
        <w:tc>
          <w:tcPr>
            <w:tcW w:w="188"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right"/>
              <w:rPr>
                <w:b/>
              </w:rPr>
            </w:pPr>
            <w:r>
              <w:rPr>
                <w:b/>
              </w:rPr>
              <w:t>$</w:t>
            </w:r>
          </w:p>
        </w:tc>
        <w:tc>
          <w:tcPr>
            <w:tcW w:w="1138"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right"/>
              <w:rPr>
                <w:b/>
              </w:rPr>
            </w:pPr>
            <w:r>
              <w:rPr>
                <w:b/>
              </w:rPr>
              <w:t>0.50</w:t>
            </w:r>
          </w:p>
        </w:tc>
        <w:tc>
          <w:tcPr>
            <w:tcW w:w="205"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right"/>
              <w:rPr>
                <w:b/>
              </w:rPr>
            </w:pPr>
            <w:r>
              <w:rPr>
                <w:b/>
              </w:rPr>
              <w:t>$</w:t>
            </w:r>
          </w:p>
        </w:tc>
        <w:tc>
          <w:tcPr>
            <w:tcW w:w="838"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right"/>
              <w:rPr>
                <w:b/>
              </w:rPr>
            </w:pPr>
            <w:r>
              <w:rPr>
                <w:b/>
              </w:rPr>
              <w:t>0.42</w:t>
            </w:r>
          </w:p>
        </w:tc>
        <w:tc>
          <w:tcPr>
            <w:tcW w:w="205"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right"/>
              <w:rPr/>
            </w:pPr>
            <w:r>
              <w:rPr/>
              <w:t> </w:t>
            </w:r>
          </w:p>
        </w:tc>
        <w:tc>
          <w:tcPr>
            <w:tcW w:w="188"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right"/>
              <w:rPr>
                <w:b/>
              </w:rPr>
            </w:pPr>
            <w:r>
              <w:rPr>
                <w:b/>
              </w:rPr>
              <w:t>$</w:t>
            </w:r>
          </w:p>
        </w:tc>
        <w:tc>
          <w:tcPr>
            <w:tcW w:w="1138"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right"/>
              <w:rPr>
                <w:b/>
              </w:rPr>
            </w:pPr>
            <w:r>
              <w:rPr>
                <w:b/>
              </w:rPr>
              <w:t>0.51</w:t>
            </w:r>
          </w:p>
        </w:tc>
        <w:tc>
          <w:tcPr>
            <w:tcW w:w="424" w:type="dxa"/>
            <w:tcBorders>
              <w:top w:val="single" w:sz="4" w:space="0" w:color="000000"/>
              <w:bottom w:val="double" w:sz="5" w:space="0" w:color="000000"/>
            </w:tcBorders>
            <w:shd w:fill="CCEE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w:t>
      </w:r>
    </w:p>
    <w:p>
      <w:pPr>
        <w:pStyle w:val="HorizontalLine"/>
        <w:bidi w:val="0"/>
        <w:spacing w:before="0" w:after="0"/>
        <w:jc w:val="left"/>
        <w:rPr/>
      </w:pPr>
      <w:r>
        <w:rPr/>
      </w:r>
    </w:p>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 w:name="Arial">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2594</Words>
  <Characters>14740</Characters>
  <CharactersWithSpaces>18658</CharactersWithSpaces>
  <Paragraphs>2150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