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RUI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SECOR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PHOTRONICS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CAO &amp;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2"/>
        <w:gridCol w:w="903"/>
        <w:gridCol w:w="773"/>
        <w:gridCol w:w="600"/>
        <w:gridCol w:w="346"/>
        <w:gridCol w:w="795"/>
        <w:gridCol w:w="448"/>
        <w:gridCol w:w="79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26,687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meet tax liabilities associated with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/s/Brandon DeSocio, attorney-in-fact for RUI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725" TargetMode="External"/><Relationship Id="rId5" Type="http://schemas.openxmlformats.org/officeDocument/2006/relationships/hyperlink" Target="http://www.sec.gov/cgi-bin/browse-edgar?action=getcompany&amp;CIK=00008101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3145</Characters>
  <CharactersWithSpaces>3654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