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740" w:right="1560" w:hanging="3732"/>
        <w:spacing w:after="0" w:line="266" w:lineRule="auto"/>
        <w:tabs>
          <w:tab w:leader="none" w:pos="4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January 29, 2023</w:t>
      </w:r>
    </w:p>
    <w:p>
      <w:pPr>
        <w:spacing w:after="0" w:line="172" w:lineRule="exact"/>
        <w:rPr>
          <w:sz w:val="24"/>
          <w:szCs w:val="24"/>
          <w:color w:val="auto"/>
        </w:rPr>
      </w:pPr>
    </w:p>
    <w:p>
      <w:pPr>
        <w:ind w:left="4100" w:right="1540" w:hanging="4092"/>
        <w:spacing w:after="0" w:line="500" w:lineRule="auto"/>
        <w:tabs>
          <w:tab w:leader="none" w:pos="49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 (d) OF THE SECURITIES EXCHANGE ACT OF 1934 </w:t>
      </w:r>
      <w:r>
        <w:rPr>
          <w:rFonts w:ascii="Times New Roman" w:cs="Times New Roman" w:eastAsia="Times New Roman" w:hAnsi="Times New Roman"/>
          <w:sz w:val="18"/>
          <w:szCs w:val="18"/>
          <w:b w:val="1"/>
          <w:bCs w:val="1"/>
          <w:i w:val="1"/>
          <w:iCs w:val="1"/>
          <w:color w:val="auto"/>
        </w:rPr>
        <w:t>For the transition period from ___ to 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1840" w:type="dxa"/>
            <w:vAlign w:val="bottom"/>
          </w:tcPr>
          <w:p>
            <w:pPr>
              <w:spacing w:after="0"/>
              <w:rPr>
                <w:sz w:val="18"/>
                <w:szCs w:val="18"/>
                <w:color w:val="auto"/>
              </w:rPr>
            </w:pPr>
          </w:p>
        </w:tc>
        <w:tc>
          <w:tcPr>
            <w:tcW w:w="44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6"/>
        </w:trPr>
        <w:tc>
          <w:tcPr>
            <w:tcW w:w="49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840" w:type="dxa"/>
            <w:vAlign w:val="bottom"/>
          </w:tcPr>
          <w:p>
            <w:pPr>
              <w:spacing w:after="0"/>
              <w:rPr>
                <w:sz w:val="20"/>
                <w:szCs w:val="20"/>
                <w:color w:val="auto"/>
              </w:rPr>
            </w:pPr>
          </w:p>
        </w:tc>
        <w:tc>
          <w:tcPr>
            <w:tcW w:w="444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12"/>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1840" w:type="dxa"/>
            <w:vAlign w:val="bottom"/>
          </w:tcPr>
          <w:p>
            <w:pPr>
              <w:spacing w:after="0"/>
              <w:rPr>
                <w:sz w:val="24"/>
                <w:szCs w:val="24"/>
                <w:color w:val="auto"/>
              </w:rPr>
            </w:pPr>
          </w:p>
        </w:tc>
        <w:tc>
          <w:tcPr>
            <w:tcW w:w="44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6"/>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2"/>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4"/>
                <w:szCs w:val="24"/>
                <w:color w:val="auto"/>
              </w:rPr>
            </w:pPr>
          </w:p>
        </w:tc>
        <w:tc>
          <w:tcPr>
            <w:tcW w:w="444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231F20"/>
                <w:w w:val="99"/>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231F20"/>
                <w:w w:val="98"/>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0" w:right="339" w:bottom="1440" w:gutter="0" w:footer="0" w:header="0"/>
        </w:sectPr>
      </w:pPr>
    </w:p>
    <w:p>
      <w:pPr>
        <w:spacing w:after="0" w:line="17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ind w:firstLine="45"/>
        <w:spacing w:after="0" w:line="312" w:lineRule="auto"/>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420"/>
        <w:spacing w:after="0" w:line="161" w:lineRule="exact"/>
        <w:rPr>
          <w:sz w:val="20"/>
          <w:szCs w:val="20"/>
          <w:color w:val="auto"/>
        </w:rPr>
      </w:pPr>
      <w:r>
        <w:rPr>
          <w:rFonts w:ascii="MS PGothic" w:cs="MS PGothic" w:eastAsia="MS PGothic" w:hAnsi="MS PGothic"/>
          <w:sz w:val="16"/>
          <w:szCs w:val="16"/>
          <w:color w:val="auto"/>
        </w:rPr>
        <w:t>☐</w:t>
      </w:r>
    </w:p>
    <w:p>
      <w:pPr>
        <w:spacing w:after="0" w:line="516" w:lineRule="exact"/>
        <w:rPr>
          <w:sz w:val="24"/>
          <w:szCs w:val="24"/>
          <w:color w:val="auto"/>
        </w:rPr>
      </w:pPr>
    </w:p>
    <w:p>
      <w:pPr>
        <w:sectPr>
          <w:pgSz w:w="11900" w:h="16838" w:orient="portrait"/>
          <w:cols w:equalWidth="0" w:num="10">
            <w:col w:w="1320" w:space="380"/>
            <w:col w:w="180" w:space="360"/>
            <w:col w:w="1240" w:space="460"/>
            <w:col w:w="160" w:space="360"/>
            <w:col w:w="1620" w:space="80"/>
            <w:col w:w="160" w:space="380"/>
            <w:col w:w="1360" w:space="340"/>
            <w:col w:w="160" w:space="380"/>
            <w:col w:w="1300" w:space="420"/>
            <w:col w:w="580"/>
          </w:cols>
          <w:pgMar w:left="320" w:top="570" w:right="339" w:bottom="1440" w:gutter="0" w:footer="0" w:header="0"/>
          <w:type w:val="continuous"/>
        </w:sect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62,474,604 shares of common stock outstanding as of March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29,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11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6"/>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90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160" w:type="dxa"/>
            <w:vAlign w:val="bottom"/>
          </w:tcPr>
          <w:p>
            <w:pPr>
              <w:spacing w:after="0"/>
              <w:rPr>
                <w:sz w:val="18"/>
                <w:szCs w:val="18"/>
                <w:color w:val="auto"/>
              </w:rPr>
            </w:pPr>
          </w:p>
        </w:tc>
        <w:tc>
          <w:tcPr>
            <w:tcW w:w="908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AMOLED</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Application-specific IC</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integrated circuit customized for a particular use, rather than intended for general-purpose use</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ASC</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ASP</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ASU</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Chip stacking</w:t>
            </w:r>
          </w:p>
        </w:tc>
        <w:tc>
          <w:tcPr>
            <w:tcW w:w="90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Placement of an integrated circuit on top of another integrated circuit, resulting in the reduction of the distance between the</w:t>
            </w:r>
          </w:p>
        </w:tc>
      </w:tr>
      <w:tr>
        <w:trPr>
          <w:trHeight w:val="234"/>
        </w:trPr>
        <w:tc>
          <w:tcPr>
            <w:tcW w:w="2160" w:type="dxa"/>
            <w:vAlign w:val="bottom"/>
          </w:tcPr>
          <w:p>
            <w:pPr>
              <w:spacing w:after="0"/>
              <w:rPr>
                <w:sz w:val="20"/>
                <w:szCs w:val="20"/>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chips in a circuit board</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Covid virus 2019, an infectious disease that was declared a pandemic by the World Health Organization in March 2020</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DNP</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EUV</w:t>
            </w:r>
          </w:p>
        </w:tc>
        <w:tc>
          <w:tcPr>
            <w:tcW w:w="90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 photomasks</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function by selectively reflecting or blocking light, in contrast to conventional photomasks which function by selectively</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transmitting or blocking light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FASB</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10-Q</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FPDs</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Generation</w:t>
            </w:r>
          </w:p>
        </w:tc>
        <w:tc>
          <w:tcPr>
            <w:tcW w:w="90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 reference to flat-panel displays, refers to the size range of the underlying substrate to which a photomask is applied.</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Higher generation (or “G”) numbers represent larger substrates</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High-end (photomasks)</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ICs</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LTPS</w:t>
            </w:r>
          </w:p>
        </w:tc>
        <w:tc>
          <w:tcPr>
            <w:tcW w:w="90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 silicon</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 thin-film transistors (TFTs) are used in liquid-crystal display (LCD) flat panels and to drive organic light-emitting diode</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(OLED) displays</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MLA</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Master Lease Agreement</w:t>
            </w: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Optical proximity correction</w:t>
            </w:r>
          </w:p>
        </w:tc>
        <w:tc>
          <w:tcPr>
            <w:tcW w:w="90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 photolithography enhancement technique applied to compensate for the limitations of light to maintain the edge</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placement integrity of an original design, imaged onto a silicon wafer, for further processing to an etched pattern.</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PDMCX</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Phase-shift photomasks</w:t>
            </w:r>
          </w:p>
        </w:tc>
        <w:tc>
          <w:tcPr>
            <w:tcW w:w="90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Photomasks that take advantage of the interference generated by phase differences to improve image resolution in</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photolithography</w:t>
            </w: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Pure-play foundry</w:t>
            </w:r>
          </w:p>
        </w:tc>
        <w:tc>
          <w:tcPr>
            <w:tcW w:w="90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 company that does not produce a significant volume of IC products of its own design, but rather operates IC fabrication</w:t>
            </w:r>
          </w:p>
        </w:tc>
      </w:tr>
      <w:tr>
        <w:trPr>
          <w:trHeight w:val="234"/>
        </w:trPr>
        <w:tc>
          <w:tcPr>
            <w:tcW w:w="2160" w:type="dxa"/>
            <w:vAlign w:val="bottom"/>
          </w:tcPr>
          <w:p>
            <w:pPr>
              <w:spacing w:after="0"/>
              <w:rPr>
                <w:sz w:val="20"/>
                <w:szCs w:val="20"/>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plants dedicated to producing ICs for other companies</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Chinese renminbi</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Sputtering</w:t>
            </w:r>
          </w:p>
        </w:tc>
        <w:tc>
          <w:tcPr>
            <w:tcW w:w="90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 bombardment of a material with energetic particles to cause microscopic particles of the material to eject from its</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surface.</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U.S. GAAP</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Wafer</w:t>
            </w:r>
          </w:p>
        </w:tc>
        <w:tc>
          <w:tcPr>
            <w:tcW w:w="90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 as the</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substrate for microelectronic devices built in and upon the wafer</w:t>
            </w:r>
          </w:p>
        </w:tc>
      </w:tr>
      <w:tr>
        <w:trPr>
          <w:trHeight w:val="570"/>
        </w:trPr>
        <w:tc>
          <w:tcPr>
            <w:tcW w:w="2160" w:type="dxa"/>
            <w:vAlign w:val="bottom"/>
          </w:tcPr>
          <w:p>
            <w:pPr>
              <w:spacing w:after="0"/>
              <w:rPr>
                <w:sz w:val="24"/>
                <w:szCs w:val="24"/>
                <w:color w:val="auto"/>
              </w:rPr>
            </w:pPr>
          </w:p>
        </w:tc>
        <w:tc>
          <w:tcPr>
            <w:tcW w:w="908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160" w:type="dxa"/>
            <w:vAlign w:val="bottom"/>
            <w:tcBorders>
              <w:bottom w:val="single" w:sz="8" w:color="auto"/>
            </w:tcBorders>
          </w:tcPr>
          <w:p>
            <w:pPr>
              <w:spacing w:after="0"/>
              <w:rPr>
                <w:sz w:val="3"/>
                <w:szCs w:val="3"/>
                <w:color w:val="auto"/>
              </w:rPr>
            </w:pPr>
          </w:p>
        </w:tc>
        <w:tc>
          <w:tcPr>
            <w:tcW w:w="9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firstLine="162"/>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right="240" w:firstLine="342"/>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firstLine="342"/>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of our Form 10-K, as well as any additional risk factors we may provide in Part II, Item 1A of our Quarterly Reports on Form 10-Q.</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319,680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39,199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38,820</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$1,116 in 2023 and $1,002 in 2022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198,147</w:t>
            </w:r>
          </w:p>
        </w:tc>
      </w:tr>
      <w:tr>
        <w:trPr>
          <w:trHeight w:val="216"/>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52,796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50,753</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53,337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37,252</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700,816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644,652</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643,873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19,816</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7,489</w:t>
            </w:r>
          </w:p>
        </w:tc>
      </w:tr>
      <w:tr>
        <w:trPr>
          <w:trHeight w:val="256"/>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1,441,680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10,024</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84,818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79,566</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193,797</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27,323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32,310</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32,306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27,634</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258,960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253,741</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61,102 shares issued and outstanding at January 29,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2023, and 60,791 shares issued and outstanding at October 31, 2022</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493,741</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435,634</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(24,420)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(98,456)</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920,765</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831,527</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1,062,089</w:t>
            </w:r>
          </w:p>
        </w:tc>
      </w:tr>
      <w:tr>
        <w:trPr>
          <w:trHeight w:val="256"/>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1,441,680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189,827</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129,964</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59,863</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15,727</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21,666</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5,268</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42,904</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31,726</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23,064</w:t>
            </w:r>
          </w:p>
        </w:tc>
      </w:tr>
      <w:tr>
        <w:trPr>
          <w:trHeight w:val="209"/>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r>
      <w:tr>
        <w:trPr>
          <w:trHeight w:val="257"/>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r>
      <w:tr>
        <w:trPr>
          <w:trHeight w:val="209"/>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60,158</w:t>
            </w:r>
          </w:p>
        </w:tc>
      </w:tr>
      <w:tr>
        <w:trPr>
          <w:trHeight w:val="257"/>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31,726</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 of $0: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(9,831)</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(9,794)</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21,932</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13,058</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9"/>
        </w:trPr>
        <w:tc>
          <w:tcPr>
            <w:tcW w:w="10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1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1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January 29, 2023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00" w:type="dxa"/>
            <w:vAlign w:val="bottom"/>
            <w:gridSpan w:val="8"/>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0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45"/>
        </w:trPr>
        <w:tc>
          <w:tcPr>
            <w:tcW w:w="10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4"/>
              </w:rPr>
              <w:t>Capital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31, 2022</w:t>
            </w: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60,791</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493,741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435,634</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(98,456)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230,562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$ 1,062,089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16,429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90,465</w:t>
            </w:r>
          </w:p>
        </w:tc>
        <w:tc>
          <w:tcPr>
            <w:tcW w:w="0" w:type="dxa"/>
            <w:vAlign w:val="bottom"/>
          </w:tcPr>
          <w:p>
            <w:pPr>
              <w:spacing w:after="0"/>
              <w:rPr>
                <w:sz w:val="1"/>
                <w:szCs w:val="1"/>
                <w:color w:val="auto"/>
              </w:rPr>
            </w:pPr>
          </w:p>
        </w:tc>
      </w:tr>
      <w:tr>
        <w:trPr>
          <w:trHeight w:val="198"/>
        </w:trPr>
        <w:tc>
          <w:tcPr>
            <w:tcW w:w="230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0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right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494,954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449,620</w:t>
            </w:r>
          </w:p>
        </w:tc>
        <w:tc>
          <w:tcPr>
            <w:tcW w:w="100" w:type="dxa"/>
            <w:vAlign w:val="bottom"/>
          </w:tcPr>
          <w:p>
            <w:pPr>
              <w:spacing w:after="0"/>
              <w:rPr>
                <w:sz w:val="18"/>
                <w:szCs w:val="18"/>
                <w:color w:val="auto"/>
              </w:rPr>
            </w:pP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261,955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$ 1,182,720</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1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 January 30, 2022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00" w:type="dxa"/>
            <w:vAlign w:val="bottom"/>
            <w:gridSpan w:val="8"/>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0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3"/>
                <w:szCs w:val="13"/>
                <w:color w:val="auto"/>
              </w:rPr>
            </w:pPr>
          </w:p>
        </w:tc>
        <w:tc>
          <w:tcPr>
            <w:tcW w:w="8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13"/>
                <w:szCs w:val="13"/>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45"/>
        </w:trPr>
        <w:tc>
          <w:tcPr>
            <w:tcW w:w="10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gridSpan w:val="2"/>
          </w:tcPr>
          <w:p>
            <w:pPr>
              <w:spacing w:after="0"/>
              <w:rPr>
                <w:sz w:val="21"/>
                <w:szCs w:val="21"/>
                <w:color w:val="auto"/>
              </w:rPr>
            </w:pPr>
          </w:p>
        </w:tc>
        <w:tc>
          <w:tcPr>
            <w:tcW w:w="8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8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60,024</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484,672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317,849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176,870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$ 1,000,562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31,726</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198"/>
        </w:trPr>
        <w:tc>
          <w:tcPr>
            <w:tcW w:w="230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198"/>
        </w:trPr>
        <w:tc>
          <w:tcPr>
            <w:tcW w:w="230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14,997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30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30,</w:t>
            </w: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tcBorders>
              <w:right w:val="single" w:sz="8" w:color="CCEEFF"/>
            </w:tcBorders>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60,564</w:t>
            </w:r>
          </w:p>
        </w:tc>
        <w:tc>
          <w:tcPr>
            <w:tcW w:w="1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487,342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339,912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200,741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$ 1,039,166</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79"/>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31,726</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3,269</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(7,020)</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(6,730)</w:t>
            </w:r>
          </w:p>
        </w:tc>
      </w:tr>
      <w:tr>
        <w:trPr>
          <w:trHeight w:val="223"/>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15,618</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27,680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59,130</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(31,097)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(19,175)</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(30,170)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(19,218)</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(15,192)</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from noncontrolling interest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14,997</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3,840</w:t>
            </w:r>
          </w:p>
        </w:tc>
      </w:tr>
      <w:tr>
        <w:trPr>
          <w:trHeight w:val="223"/>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(1,458)</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27,499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(2,057)</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37,520</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322,409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279,680</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317,200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314,195</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34"/>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Accruals for property, plant and equipment purchased during the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7,092</w:t>
            </w: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1"/>
        </w:trPr>
        <w:tc>
          <w:tcPr>
            <w:tcW w:w="8680" w:type="dxa"/>
            <w:vAlign w:val="bottom"/>
            <w:gridSpan w:val="2"/>
          </w:tcPr>
          <w:p>
            <w:pPr>
              <w:jc w:val="center"/>
              <w:ind w:left="2471"/>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operate eleven manufacturing facilities, which are located in Taiwan (3), Korea, China (2), the United States (3), and Europe (2).</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our Form 10-K for the fiscal year ended October 31, 2022, where we discuss and provide additional information about our accounting policies and the methods and assumptions used in our estimates.</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amounts reported in them. Our estimates, including those on the impact of COVID-19, are based on historical experience and on various assumptions that we believe to be reasonable under the facts and circumstances at the time they are made. Subsequent actual results may differ from such estimates. We review these estimates periodically and reflect any effects of revisions in the period in which they are determined.</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SHORT-TERM INVESTMENTS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consist of U.S. government securities and are classified as available-for-sale. We classify available-for-sale securities on our consolidated balance sheet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Maturing within three months or less from the date of purchase</w:t>
            </w:r>
          </w:p>
        </w:tc>
        <w:tc>
          <w:tcPr>
            <w:tcW w:w="3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Cash and cash equivalents</w:t>
            </w:r>
          </w:p>
        </w:tc>
      </w:tr>
      <w:tr>
        <w:trPr>
          <w:trHeight w:val="198"/>
        </w:trPr>
        <w:tc>
          <w:tcPr>
            <w:tcW w:w="4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Maturing, as of the date of purchase, more than three months, but</w:t>
            </w:r>
          </w:p>
        </w:tc>
        <w:tc>
          <w:tcPr>
            <w:tcW w:w="3900" w:type="dxa"/>
            <w:vAlign w:val="bottom"/>
          </w:tcPr>
          <w:p>
            <w:pPr>
              <w:spacing w:after="0"/>
              <w:rPr>
                <w:sz w:val="17"/>
                <w:szCs w:val="17"/>
                <w:color w:val="auto"/>
              </w:rPr>
            </w:pPr>
          </w:p>
        </w:tc>
      </w:tr>
      <w:tr>
        <w:trPr>
          <w:trHeight w:val="234"/>
        </w:trPr>
        <w:tc>
          <w:tcPr>
            <w:tcW w:w="40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remaining maturities of less than one year, from the balance sheet date</w:t>
            </w:r>
          </w:p>
        </w:tc>
        <w:tc>
          <w:tcPr>
            <w:tcW w:w="3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Short-term investments</w:t>
            </w:r>
          </w:p>
        </w:tc>
      </w:tr>
      <w:tr>
        <w:trPr>
          <w:trHeight w:val="216"/>
        </w:trPr>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Maturing one year or more from the balance sheet date</w:t>
            </w:r>
          </w:p>
        </w:tc>
        <w:tc>
          <w:tcPr>
            <w:tcW w:w="3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9"/>
              </w:rPr>
              <w:t>Long-term marketable investments</w:t>
            </w:r>
          </w:p>
        </w:tc>
      </w:tr>
    </w:tbl>
    <w:p>
      <w:pPr>
        <w:spacing w:after="0" w:line="198" w:lineRule="exact"/>
        <w:rPr>
          <w:sz w:val="20"/>
          <w:szCs w:val="20"/>
          <w:color w:val="auto"/>
        </w:rPr>
      </w:pPr>
    </w:p>
    <w:p>
      <w:pPr>
        <w:ind w:right="120" w:firstLine="305"/>
        <w:spacing w:after="0" w:line="282" w:lineRule="auto"/>
        <w:rPr>
          <w:sz w:val="20"/>
          <w:szCs w:val="20"/>
          <w:color w:val="auto"/>
        </w:rPr>
      </w:pPr>
      <w:r>
        <w:rPr>
          <w:rFonts w:ascii="Times New Roman" w:cs="Times New Roman" w:eastAsia="Times New Roman" w:hAnsi="Times New Roman"/>
          <w:sz w:val="18"/>
          <w:szCs w:val="18"/>
          <w:color w:val="auto"/>
        </w:rPr>
        <w:t>As of January 29, 2023, all of our available-for-sale securities had, at their dates of purchase, remaining maturities of more than three months, but less than one year, and have been classified as Short-term investments.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Available-for-sale debt investments are reported at fair value, with unrealized gains or losses (net of tax) reported in Accumulated other comprehensive income. The fair values of our available-for-sale securities are Level 1 measurements, based on quoted prices from active markets for identical assets. In the event of a sale of an available-for-sale debt investment, we would determine the cost of the investment sold at the specific individual security level, and would include any gain or loss in Interest income and other income, net, where we also report periodic interest earned and the amortization (accretion) of discounts (premiums) related to these investments. The table below provides information on our available-for-sale debt securities.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380" w:type="dxa"/>
            <w:vAlign w:val="bottom"/>
          </w:tcPr>
          <w:p>
            <w:pPr>
              <w:spacing w:after="0"/>
              <w:rPr>
                <w:sz w:val="16"/>
                <w:szCs w:val="16"/>
                <w:color w:val="auto"/>
              </w:rPr>
            </w:pPr>
          </w:p>
        </w:tc>
        <w:tc>
          <w:tcPr>
            <w:tcW w:w="11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1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110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2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1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r>
      <w:tr>
        <w:trPr>
          <w:trHeight w:val="245"/>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1"/>
                <w:szCs w:val="21"/>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38,911</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229" w:lineRule="exact"/>
        <w:rPr>
          <w:sz w:val="20"/>
          <w:szCs w:val="20"/>
          <w:color w:val="auto"/>
        </w:rPr>
      </w:pPr>
    </w:p>
    <w:p>
      <w:pPr>
        <w:jc w:val="both"/>
        <w:ind w:right="3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determined under the first-in, first-out (“FIFO”) method, or net realizable value. Presented below are 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1,769,478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2,250,126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(1,539,199)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(1,428,766)</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710,927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35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60" w:type="dxa"/>
            <w:vAlign w:val="bottom"/>
          </w:tcPr>
          <w:p>
            <w:pPr>
              <w:spacing w:after="0"/>
              <w:rPr>
                <w:sz w:val="16"/>
                <w:szCs w:val="16"/>
                <w:color w:val="auto"/>
              </w:rPr>
            </w:pPr>
          </w:p>
        </w:tc>
      </w:tr>
      <w:tr>
        <w:trPr>
          <w:trHeight w:val="245"/>
        </w:trPr>
        <w:tc>
          <w:tcPr>
            <w:tcW w:w="3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160" w:type="dxa"/>
            <w:vAlign w:val="bottom"/>
            <w:shd w:val="clear" w:color="auto" w:fill="CCEEFF"/>
          </w:tcPr>
          <w:p>
            <w:pPr>
              <w:spacing w:after="0"/>
              <w:rPr>
                <w:sz w:val="18"/>
                <w:szCs w:val="18"/>
                <w:color w:val="auto"/>
              </w:rPr>
            </w:pPr>
          </w:p>
        </w:tc>
      </w:tr>
      <w:tr>
        <w:trPr>
          <w:trHeight w:val="570"/>
        </w:trPr>
        <w:tc>
          <w:tcPr>
            <w:tcW w:w="3580" w:type="dxa"/>
            <w:vAlign w:val="bottom"/>
          </w:tcPr>
          <w:p>
            <w:pPr>
              <w:spacing w:after="0"/>
              <w:rPr>
                <w:sz w:val="24"/>
                <w:szCs w:val="24"/>
                <w:color w:val="auto"/>
              </w:rPr>
            </w:pPr>
          </w:p>
        </w:tc>
        <w:tc>
          <w:tcPr>
            <w:tcW w:w="4260" w:type="dxa"/>
            <w:vAlign w:val="bottom"/>
          </w:tcPr>
          <w:p>
            <w:pPr>
              <w:jc w:val="right"/>
              <w:ind w:right="2068"/>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358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PDMCX JOINT VENTURE</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w:t>
      </w:r>
    </w:p>
    <w:p>
      <w:pPr>
        <w:spacing w:after="0" w:line="18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2020, in combination with local financing obtained by PDMCX, Photronics and DNP fulfilled their investment obligations under the PDMCX operating agreement (“the Agreement”). As discussed in Note 6, liens were granted to the local financing entity on property, plant, and equipment with a January 29, 2023, and October 31, 2022, total carrying value of $74.0 million and $70.7 million, respectively, as collateral for the loans.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we recorded from the operations of PDMCX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7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60" w:type="dxa"/>
            <w:vAlign w:val="bottom"/>
          </w:tcPr>
          <w:p>
            <w:pPr>
              <w:spacing w:after="0"/>
              <w:rPr>
                <w:sz w:val="16"/>
                <w:szCs w:val="16"/>
                <w:color w:val="auto"/>
              </w:rPr>
            </w:pPr>
          </w:p>
        </w:tc>
      </w:tr>
      <w:tr>
        <w:trPr>
          <w:trHeight w:val="245"/>
        </w:trPr>
        <w:tc>
          <w:tcPr>
            <w:tcW w:w="78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our condensed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January 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119,928</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59,976</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75,198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119,392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59,708</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270,293</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135,174</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25,643</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9,161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4,581</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57,716</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212,577</w:t>
            </w:r>
          </w:p>
        </w:tc>
        <w:tc>
          <w:tcPr>
            <w:tcW w:w="100" w:type="dxa"/>
            <w:vAlign w:val="bottom"/>
            <w:tcBorders>
              <w:right w:val="single" w:sz="8" w:color="CCEEFF"/>
            </w:tcBorders>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186,499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93,268</w:t>
            </w:r>
          </w:p>
        </w:tc>
      </w:tr>
      <w:tr>
        <w:trPr>
          <w:trHeight w:val="42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DEBT</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tables below provide information on our long-term debt.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Xiamen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980" w:type="dxa"/>
            <w:vAlign w:val="bottom"/>
            <w:gridSpan w:val="2"/>
          </w:tcPr>
          <w:p>
            <w:pPr>
              <w:ind w:left="2680"/>
              <w:spacing w:after="0"/>
              <w:rPr>
                <w:sz w:val="20"/>
                <w:szCs w:val="20"/>
                <w:color w:val="auto"/>
              </w:rPr>
            </w:pPr>
            <w:r>
              <w:rPr>
                <w:rFonts w:ascii="Times New Roman" w:cs="Times New Roman" w:eastAsia="Times New Roman" w:hAnsi="Times New Roman"/>
                <w:sz w:val="18"/>
                <w:szCs w:val="18"/>
                <w:b w:val="1"/>
                <w:bCs w:val="1"/>
                <w:color w:val="auto"/>
              </w:rPr>
              <w:t>As of January 29, 2023</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Project Loans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5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6,541</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20,772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20,772</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27,323</w:t>
            </w:r>
          </w:p>
        </w:tc>
      </w:tr>
      <w:tr>
        <w:trPr>
          <w:trHeight w:val="27"/>
        </w:trPr>
        <w:tc>
          <w:tcPr>
            <w:tcW w:w="5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29,971</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33,864</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Interest rate at balance sheet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spread on interest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reset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amount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Quarterly</w:t>
            </w:r>
          </w:p>
        </w:tc>
        <w:tc>
          <w:tcPr>
            <w:tcW w:w="220" w:type="dxa"/>
            <w:vAlign w:val="bottom"/>
          </w:tcPr>
          <w:p>
            <w:pPr>
              <w:spacing w:after="0"/>
              <w:rPr>
                <w:sz w:val="18"/>
                <w:szCs w:val="18"/>
                <w:color w:val="auto"/>
              </w:rPr>
            </w:pP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December</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18"/>
                <w:szCs w:val="18"/>
                <w:color w:val="auto"/>
              </w:rPr>
            </w:pP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1"/>
        </w:trPr>
        <w:tc>
          <w:tcPr>
            <w:tcW w:w="13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Varies as loans</w:t>
            </w:r>
          </w:p>
        </w:tc>
        <w:tc>
          <w:tcPr>
            <w:tcW w:w="220" w:type="dxa"/>
            <w:vAlign w:val="bottom"/>
          </w:tcPr>
          <w:p>
            <w:pPr>
              <w:spacing w:after="0"/>
              <w:rPr>
                <w:sz w:val="19"/>
                <w:szCs w:val="19"/>
                <w:color w:val="auto"/>
              </w:rPr>
            </w:pPr>
          </w:p>
        </w:tc>
        <w:tc>
          <w:tcPr>
            <w:tcW w:w="11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Varies as</w:t>
            </w:r>
          </w:p>
        </w:tc>
      </w:tr>
      <w:tr>
        <w:trPr>
          <w:trHeight w:val="252"/>
        </w:trPr>
        <w:tc>
          <w:tcPr>
            <w:tcW w:w="100" w:type="dxa"/>
            <w:vAlign w:val="bottom"/>
          </w:tcPr>
          <w:p>
            <w:pPr>
              <w:spacing w:after="0"/>
              <w:rPr>
                <w:sz w:val="21"/>
                <w:szCs w:val="21"/>
                <w:color w:val="auto"/>
              </w:rPr>
            </w:pPr>
          </w:p>
        </w:tc>
        <w:tc>
          <w:tcPr>
            <w:tcW w:w="1220" w:type="dxa"/>
            <w:vAlign w:val="bottom"/>
          </w:tcPr>
          <w:p>
            <w:pPr>
              <w:jc w:val="center"/>
              <w:ind w:right="210"/>
              <w:spacing w:after="0" w:line="252" w:lineRule="exact"/>
              <w:rPr>
                <w:sz w:val="20"/>
                <w:szCs w:val="20"/>
                <w:color w:val="auto"/>
              </w:rPr>
            </w:pPr>
            <w:r>
              <w:rPr>
                <w:rFonts w:ascii="Times New Roman" w:cs="Times New Roman" w:eastAsia="Times New Roman" w:hAnsi="Times New Roman"/>
                <w:sz w:val="18"/>
                <w:szCs w:val="18"/>
                <w:color w:val="auto"/>
                <w:w w:val="88"/>
              </w:rPr>
              <w:t>mature</w:t>
            </w:r>
            <w:r>
              <w:rPr>
                <w:rFonts w:ascii="Times New Roman" w:cs="Times New Roman" w:eastAsia="Times New Roman" w:hAnsi="Times New Roman"/>
                <w:sz w:val="29"/>
                <w:szCs w:val="29"/>
                <w:color w:val="auto"/>
                <w:w w:val="88"/>
                <w:vertAlign w:val="superscript"/>
              </w:rPr>
              <w:t>(1)(3)</w:t>
            </w:r>
          </w:p>
        </w:tc>
        <w:tc>
          <w:tcPr>
            <w:tcW w:w="13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leases mature</w:t>
            </w: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Semiannual,</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on individual</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100" w:type="dxa"/>
            <w:vAlign w:val="bottom"/>
          </w:tcPr>
          <w:p>
            <w:pPr>
              <w:spacing w:after="0"/>
              <w:rPr>
                <w:sz w:val="19"/>
                <w:szCs w:val="19"/>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loans</w:t>
            </w:r>
          </w:p>
        </w:tc>
        <w:tc>
          <w:tcPr>
            <w:tcW w:w="220" w:type="dxa"/>
            <w:vAlign w:val="bottom"/>
          </w:tcPr>
          <w:p>
            <w:pPr>
              <w:spacing w:after="0"/>
              <w:rPr>
                <w:sz w:val="19"/>
                <w:szCs w:val="19"/>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39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73,973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1"/>
              </w:rPr>
              <w:t>37,331</w:t>
            </w:r>
            <w:r>
              <w:rPr>
                <w:rFonts w:ascii="Times New Roman" w:cs="Times New Roman" w:eastAsia="Times New Roman" w:hAnsi="Times New Roman"/>
                <w:sz w:val="29"/>
                <w:szCs w:val="29"/>
                <w:color w:val="auto"/>
                <w:w w:val="9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-1637665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-1363345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-951865</wp:posOffset>
            </wp:positionV>
            <wp:extent cx="71323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-240030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6480" w:space="720"/>
            <w:col w:w="4040"/>
          </w:cols>
          <w:pgMar w:left="320" w:top="116" w:right="339" w:bottom="1440" w:gutter="0" w:footer="0" w:header="0"/>
          <w:type w:val="continuous"/>
        </w:sectPr>
      </w:pPr>
    </w:p>
    <w:p>
      <w:pPr>
        <w:ind w:left="660" w:right="280" w:hanging="328"/>
        <w:spacing w:after="0" w:line="195" w:lineRule="auto"/>
        <w:tabs>
          <w:tab w:leader="none" w:pos="66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three-month period ended January 29, 2023, we repaid 30.0 million RMB (approximately $4.4 million), of which, 6.0 million RMB was due to be paid in June 2025, and 24.0 million RMB was due to be paid in December 2025.</w:t>
      </w:r>
    </w:p>
    <w:p>
      <w:pPr>
        <w:spacing w:after="0" w:line="1" w:lineRule="exact"/>
        <w:rPr>
          <w:rFonts w:ascii="Times New Roman" w:cs="Times New Roman" w:eastAsia="Times New Roman" w:hAnsi="Times New Roman"/>
          <w:sz w:val="30"/>
          <w:szCs w:val="30"/>
          <w:color w:val="auto"/>
          <w:vertAlign w:val="superscript"/>
        </w:rPr>
      </w:pPr>
    </w:p>
    <w:p>
      <w:pPr>
        <w:ind w:left="660" w:hanging="328"/>
        <w:spacing w:after="0" w:line="180" w:lineRule="auto"/>
        <w:tabs>
          <w:tab w:leader="none" w:pos="66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the carrying amount at the balance sheet date of the related ROU assets, in which the lessors have secured interests.</w:t>
      </w:r>
    </w:p>
    <w:p>
      <w:pPr>
        <w:spacing w:after="0" w:line="2" w:lineRule="exact"/>
        <w:rPr>
          <w:rFonts w:ascii="Times New Roman" w:cs="Times New Roman" w:eastAsia="Times New Roman" w:hAnsi="Times New Roman"/>
          <w:sz w:val="25"/>
          <w:szCs w:val="25"/>
          <w:color w:val="auto"/>
          <w:vertAlign w:val="superscript"/>
        </w:rPr>
      </w:pPr>
    </w:p>
    <w:p>
      <w:pPr>
        <w:ind w:left="660" w:hanging="328"/>
        <w:spacing w:after="0" w:line="194" w:lineRule="auto"/>
        <w:tabs>
          <w:tab w:leader="none" w:pos="66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 February 2023, we repaid the entire outstanding balance of 26.4 million RMB (approximately $3.9 million) shown in the table above.</w:t>
      </w:r>
    </w:p>
    <w:p>
      <w:pPr>
        <w:spacing w:after="0" w:line="2"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We are in compliance with all of our debt covenants as of January 29, 2023.</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Xiamen</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Xiamen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Working</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39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As of October 31, 2022</w:t>
            </w: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Project Loans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 Loans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3,512</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6,512</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10,024</w:t>
            </w:r>
          </w:p>
        </w:tc>
      </w:tr>
      <w:tr>
        <w:trPr>
          <w:trHeight w:val="27"/>
        </w:trPr>
        <w:tc>
          <w:tcPr>
            <w:tcW w:w="10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6,610</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6,610</w:t>
            </w: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19,059</w:t>
            </w:r>
          </w:p>
        </w:tc>
      </w:t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6,641</w:t>
            </w:r>
          </w:p>
        </w:tc>
      </w:tr>
      <w:tr>
        <w:trPr>
          <w:trHeight w:val="257"/>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Interest rate at balance sheet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spread on interest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reset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amount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- 4.45%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6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0" w:type="dxa"/>
            <w:vAlign w:val="bottom"/>
          </w:tcPr>
          <w:p>
            <w:pPr>
              <w:spacing w:after="0"/>
              <w:rPr>
                <w:sz w:val="18"/>
                <w:szCs w:val="18"/>
                <w:color w:val="auto"/>
              </w:rPr>
            </w:pPr>
          </w:p>
        </w:tc>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Quarterly</w:t>
            </w: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Monthly/Annually</w:t>
            </w:r>
          </w:p>
        </w:tc>
        <w:tc>
          <w:tcPr>
            <w:tcW w:w="36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December</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2025</w:t>
            </w: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July 2023</w:t>
            </w:r>
          </w:p>
        </w:tc>
        <w:tc>
          <w:tcPr>
            <w:tcW w:w="36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21"/>
        </w:trPr>
        <w:tc>
          <w:tcPr>
            <w:tcW w:w="13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Varies as loans</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Increases as loans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2"/>
        </w:trPr>
        <w:tc>
          <w:tcPr>
            <w:tcW w:w="80" w:type="dxa"/>
            <w:vAlign w:val="bottom"/>
          </w:tcPr>
          <w:p>
            <w:pPr>
              <w:spacing w:after="0"/>
              <w:rPr>
                <w:sz w:val="21"/>
                <w:szCs w:val="21"/>
                <w:color w:val="auto"/>
              </w:rPr>
            </w:pPr>
          </w:p>
        </w:tc>
        <w:tc>
          <w:tcPr>
            <w:tcW w:w="1240" w:type="dxa"/>
            <w:vAlign w:val="bottom"/>
          </w:tcPr>
          <w:p>
            <w:pPr>
              <w:jc w:val="center"/>
              <w:ind w:right="230"/>
              <w:spacing w:after="0" w:line="252" w:lineRule="exact"/>
              <w:rPr>
                <w:sz w:val="20"/>
                <w:szCs w:val="20"/>
                <w:color w:val="auto"/>
              </w:rPr>
            </w:pPr>
            <w:r>
              <w:rPr>
                <w:rFonts w:ascii="Times New Roman" w:cs="Times New Roman" w:eastAsia="Times New Roman" w:hAnsi="Times New Roman"/>
                <w:sz w:val="18"/>
                <w:szCs w:val="18"/>
                <w:color w:val="auto"/>
                <w:w w:val="93"/>
              </w:rPr>
              <w:t xml:space="preserve">mature </w:t>
            </w:r>
            <w:r>
              <w:rPr>
                <w:rFonts w:ascii="Times New Roman" w:cs="Times New Roman" w:eastAsia="Times New Roman" w:hAnsi="Times New Roman"/>
                <w:sz w:val="29"/>
                <w:szCs w:val="29"/>
                <w:color w:val="auto"/>
                <w:w w:val="93"/>
                <w:vertAlign w:val="superscript"/>
              </w:rPr>
              <w:t>(1)</w:t>
            </w: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mature</w:t>
            </w:r>
          </w:p>
        </w:tc>
        <w:tc>
          <w:tcPr>
            <w:tcW w:w="1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Varies as leases mature</w:t>
            </w:r>
          </w:p>
        </w:tc>
      </w:tr>
      <w:tr>
        <w:trPr>
          <w:trHeight w:val="216"/>
        </w:trPr>
        <w:tc>
          <w:tcPr>
            <w:tcW w:w="8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Semiannual,</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3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on individual</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Semiannual, on</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0"/>
        </w:trPr>
        <w:tc>
          <w:tcPr>
            <w:tcW w:w="80" w:type="dxa"/>
            <w:vAlign w:val="bottom"/>
          </w:tcPr>
          <w:p>
            <w:pPr>
              <w:spacing w:after="0"/>
              <w:rPr>
                <w:sz w:val="19"/>
                <w:szCs w:val="19"/>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loans</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individual loans</w:t>
            </w:r>
          </w:p>
        </w:tc>
        <w:tc>
          <w:tcPr>
            <w:tcW w:w="360" w:type="dxa"/>
            <w:vAlign w:val="bottom"/>
          </w:tcPr>
          <w:p>
            <w:pPr>
              <w:spacing w:after="0"/>
              <w:rPr>
                <w:sz w:val="19"/>
                <w:szCs w:val="19"/>
                <w:color w:val="auto"/>
              </w:rPr>
            </w:pPr>
          </w:p>
        </w:tc>
        <w:tc>
          <w:tcPr>
            <w:tcW w:w="15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Monthly</w:t>
            </w:r>
          </w:p>
        </w:tc>
      </w:tr>
      <w:tr>
        <w:trPr>
          <w:trHeight w:val="394"/>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70,705</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r>
              <w:rPr>
                <w:rFonts w:ascii="Times New Roman" w:cs="Times New Roman" w:eastAsia="Times New Roman" w:hAnsi="Times New Roman"/>
                <w:sz w:val="29"/>
                <w:szCs w:val="29"/>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-1637665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-1363345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-951865</wp:posOffset>
            </wp:positionV>
            <wp:extent cx="713232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-240030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4360" w:space="720"/>
            <w:col w:w="6160"/>
          </w:cols>
          <w:pgMar w:left="320" w:top="114" w:right="339" w:bottom="1440" w:gutter="0" w:footer="0" w:header="0"/>
          <w:type w:val="continuous"/>
        </w:sectPr>
      </w:pPr>
    </w:p>
    <w:p>
      <w:pPr>
        <w:ind w:left="660" w:right="120" w:hanging="328"/>
        <w:spacing w:after="0" w:line="195" w:lineRule="auto"/>
        <w:tabs>
          <w:tab w:leader="none" w:pos="66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three-month period ended October 31, 2022, we repaid 81.0 million RMB (approximately $11.5 million) that had contractual maturity dates ranging from December 2023 through June 2025.</w:t>
      </w:r>
    </w:p>
    <w:p>
      <w:pPr>
        <w:spacing w:after="0" w:line="1" w:lineRule="exact"/>
        <w:rPr>
          <w:rFonts w:ascii="Times New Roman" w:cs="Times New Roman" w:eastAsia="Times New Roman" w:hAnsi="Times New Roman"/>
          <w:sz w:val="30"/>
          <w:szCs w:val="30"/>
          <w:color w:val="auto"/>
          <w:vertAlign w:val="superscript"/>
        </w:rPr>
      </w:pPr>
    </w:p>
    <w:p>
      <w:pPr>
        <w:ind w:left="660" w:hanging="328"/>
        <w:spacing w:after="0" w:line="180"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the carrying amount at the balance sheet date of the related ROU assets, in which the lessors have secured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Project Loans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November 2018, PDMCX obtained approval to borrow 345.0 million RMB from the Industrial and Commercial Bank of China. From November 2018 through July 2020, PDMCX entered into separate loan agreements (the “Project Loans”) for the entire approved amount and, as of January 29, 2023, 26.4 million RMB ($3.9 million) remained outstanding. The Project Loans were used to finance certain capital expenditures at the PDMCX facility and are collateralized by liens granted on the land use right, building, and certain equipment located at the facility. The interest rates on the Project Loans are variable (based on the RMB Loan Prime Rate of the National Interbank Funding Center), and interest incurred on the loans was eligible for reimbursement through incentives provided by the Xiamen Torch Hi-Tech Industrial Development Zone, which provide for such reimbursements up to a prescribed limit and duration. The Project Loans are subject to covenants and provisions, certain of which relate to the assets pledged as security for the loans, all of which we were in compliance with as of January 29, 2023. In February 2023, PDMCX repaid the entire outstanding balance of 26.4 million RMB ($3.9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extensions, with the most recent extension set to expire in November 2023. In December 2022, we repaid our entire outstanding balance of 25.6 million RMB ($3.6 million). As of January 29, 2023, PDMCX had no amount outstanding against the approval. The interest rates are variable, based on the RMB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firstLine="504"/>
        <w:spacing w:after="0" w:line="255"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below, and includes a cross-default provision for any agreement or instrument with an outstanding, committed balance greater than $5.0 million in which we are the indebted party.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Credit Agreement</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subsidiaries. The Credit Agreement includes covenants around minimum interest coverage ratio, total leverage ratio, and minimum unrestricted cash balance (all of which we were in compliance with at January 29, 2023), and limits the amount of cash dividends, distributions, and redemptions we can pay on our common stock to an aggregate annual amount of $50 million. We had no outstanding borrowings against the Credit Agreement at January 29, 2023. The interest rate on the Credit Agreement (5.52% at January 29, 2023) is based on our total leverage ratio at one-month LIBOR plus a spread, as defined in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Hefei Equipment Loan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October 2020, our Hefei, China, facility was approved to borrow 200 million RMB from the China Construction Bank Corporation. In July 2022, we repaid our entire outstanding balance of 120.7 million RMB ($18.0 million). This credit facility was subject to annual reviews and extension; the most recent extension expired in August 2022 and we did not apply for an extension. The loan proceeds were used to fund purchases of two lithography tools at the Hefei facility. The interest rate on the loan was variable and based on the RMB Loan Prime Rate of the National Interbank Funding Center. The borrowings were secured by the Hefei facility, its related land use right, and certain manufacturing equipment. The Hefei Equipment Loan was subject to covenants and provisions, certain of which relate to the assets pledged as security for the loan, including covenants for the ratio of total liabilities to total assets and the ratio of current assets to current liabilities, all of which we were in compliance with at the time of repayment.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identify impairment indicators for any outstanding contract assets during the three-month periods ended January 29, 2023, or January 30,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contract balances at the balance sheet dates.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176"/>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15,752</w:t>
            </w: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18,805</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18,872</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23,861</w:t>
            </w:r>
          </w:p>
        </w:tc>
        <w:tc>
          <w:tcPr>
            <w:tcW w:w="10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 recognized from contract liabilities that existed at the beginning of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generally record our accounts receivable at their billed amounts. All outstanding past due customer invoices are reviewed for collectability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did not incur any credit losses on our accounts receivable during the three-month periods ended January 29, 2023, or January 30, 2022.</w:t>
      </w:r>
    </w:p>
    <w:p>
      <w:pPr>
        <w:spacing w:after="0" w:line="18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Our invoice terms generally range from net-thirty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 for the three-month periods ended January 29, 2023, and January 30, 2022,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175"/>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98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IC</w:t>
            </w: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46,534</w:t>
            </w:r>
          </w:p>
        </w:tc>
      </w:tr>
      <w:tr>
        <w:trPr>
          <w:trHeight w:val="223"/>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83,227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FPD</w:t>
            </w:r>
          </w:p>
        </w:tc>
        <w:tc>
          <w:tcPr>
            <w:tcW w:w="8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46,276</w:t>
            </w: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8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60,066</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120" w:type="dxa"/>
            <w:vAlign w:val="bottom"/>
            <w:tcBorders>
              <w:top w:val="single" w:sz="8" w:color="auto"/>
            </w:tcBorders>
            <w:gridSpan w:val="2"/>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6"/>
                <w:szCs w:val="16"/>
                <w:color w:val="auto"/>
              </w:rPr>
            </w:pPr>
          </w:p>
        </w:tc>
      </w:t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176"/>
        </w:trPr>
        <w:tc>
          <w:tcPr>
            <w:tcW w:w="5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67,841</w:t>
            </w: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45,953</w:t>
            </w: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39,515</w:t>
            </w: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27,176</w:t>
            </w: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8,914</w:t>
            </w: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120" w:type="dxa"/>
            <w:vAlign w:val="bottom"/>
            <w:tcBorders>
              <w:top w:val="single" w:sz="8" w:color="auto"/>
            </w:tcBorders>
            <w:gridSpan w:val="2"/>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6"/>
                <w:szCs w:val="16"/>
                <w:color w:val="auto"/>
              </w:rPr>
            </w:pPr>
          </w:p>
        </w:tc>
      </w:tr>
      <w:tr>
        <w:trPr>
          <w:trHeight w:val="198"/>
        </w:trPr>
        <w:tc>
          <w:tcPr>
            <w:tcW w:w="54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2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7"/>
                <w:szCs w:val="17"/>
                <w:color w:val="auto"/>
              </w:rPr>
            </w:pPr>
          </w:p>
        </w:tc>
      </w:tr>
      <w:tr>
        <w:trPr>
          <w:trHeight w:val="28"/>
        </w:trPr>
        <w:tc>
          <w:tcPr>
            <w:tcW w:w="25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170,264</w:t>
            </w:r>
          </w:p>
        </w:tc>
        <w:tc>
          <w:tcPr>
            <w:tcW w:w="100" w:type="dxa"/>
            <w:vAlign w:val="bottom"/>
            <w:shd w:val="clear" w:color="auto" w:fill="CCEEFF"/>
          </w:tcPr>
          <w:p>
            <w:pPr>
              <w:spacing w:after="0"/>
              <w:rPr>
                <w:sz w:val="18"/>
                <w:szCs w:val="18"/>
                <w:color w:val="auto"/>
              </w:rPr>
            </w:pP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19,563</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40" w:type="dxa"/>
            <w:vAlign w:val="bottom"/>
          </w:tcPr>
          <w:p>
            <w:pPr>
              <w:jc w:val="right"/>
              <w:ind w:right="289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we are typically required to fulfill customer orders within a short period of time, our backlog of orders has historically been two to three weeks for FPD photomasks and one to two weeks for IC photomasks. However, the demand for some IC photomasks has expanded beyond the industry’s capacity to supply them within the traditional time period; thus the backlog, in some cases, can expand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photomasks are sold under warranties that generally range from one to twenty-four months. We warrant that our photomasks conform to customer specifications and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three-month periods ended January 29, 2023, and January 30,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45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r>
      <w:tr>
        <w:trPr>
          <w:trHeight w:val="245"/>
        </w:trPr>
        <w:tc>
          <w:tcPr>
            <w:tcW w:w="456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4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45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4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r>
      <w:tr>
        <w:trPr>
          <w:trHeight w:val="20"/>
        </w:trPr>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4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4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r>
      <w:tr>
        <w:trPr>
          <w:trHeight w:val="20"/>
        </w:trPr>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4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 capitalized</w:t>
            </w:r>
          </w:p>
        </w:tc>
        <w:tc>
          <w:tcPr>
            <w:tcW w:w="4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70"/>
        </w:trPr>
        <w:tc>
          <w:tcPr>
            <w:tcW w:w="4560" w:type="dxa"/>
            <w:vAlign w:val="bottom"/>
          </w:tcPr>
          <w:p>
            <w:pPr>
              <w:spacing w:after="0"/>
              <w:rPr>
                <w:sz w:val="24"/>
                <w:szCs w:val="24"/>
                <w:color w:val="auto"/>
              </w:rPr>
            </w:pPr>
          </w:p>
        </w:tc>
        <w:tc>
          <w:tcPr>
            <w:tcW w:w="4120" w:type="dxa"/>
            <w:vAlign w:val="bottom"/>
          </w:tcPr>
          <w:p>
            <w:pPr>
              <w:jc w:val="right"/>
              <w:ind w:right="2893"/>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6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three-month periods ended January 29, 2023, and January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1,374,422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1,128,179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the three-month periods ended January 29, 2023, and January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55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r>
      <w:tr>
        <w:trPr>
          <w:trHeight w:val="245"/>
        </w:trPr>
        <w:tc>
          <w:tcPr>
            <w:tcW w:w="5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option exercised</w:t>
            </w:r>
          </w:p>
        </w:tc>
        <w:tc>
          <w:tcPr>
            <w:tcW w:w="3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3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552"/>
        </w:trPr>
        <w:tc>
          <w:tcPr>
            <w:tcW w:w="5500" w:type="dxa"/>
            <w:vAlign w:val="bottom"/>
          </w:tcPr>
          <w:p>
            <w:pPr>
              <w:spacing w:after="0"/>
              <w:rPr>
                <w:sz w:val="24"/>
                <w:szCs w:val="24"/>
                <w:color w:val="auto"/>
              </w:rPr>
            </w:pPr>
          </w:p>
        </w:tc>
        <w:tc>
          <w:tcPr>
            <w:tcW w:w="3180" w:type="dxa"/>
            <w:vAlign w:val="bottom"/>
          </w:tcPr>
          <w:p>
            <w:pPr>
              <w:jc w:val="right"/>
              <w:ind w:right="2896"/>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50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Information on outstanding and exercisable option awards as of January 29, 2023, is presented below.</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020" w:type="dxa"/>
            <w:vAlign w:val="bottom"/>
          </w:tcPr>
          <w:p>
            <w:pPr>
              <w:spacing w:after="0"/>
              <w:rPr>
                <w:sz w:val="21"/>
                <w:szCs w:val="21"/>
                <w:color w:val="auto"/>
              </w:rPr>
            </w:pPr>
          </w:p>
        </w:tc>
        <w:tc>
          <w:tcPr>
            <w:tcW w:w="484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January 29, 2023</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528,551</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calculate our provision for income taxes at the end of each interim reporting period on the basis of an estimated annual effective tax rate adjusted for tax items that are discrete to each period. The table below sets forth the primary reasons that our effective income tax rates differed from the U.S. statutory tax rates in effect during the three-month periods ended January 29, 2023, and January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Photronics</w:t>
            </w: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Effective Tax</w:t>
            </w: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45"/>
        </w:trPr>
        <w:tc>
          <w:tcPr>
            <w:tcW w:w="43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Tax Rates</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20" w:type="dxa"/>
            <w:vAlign w:val="bottom"/>
          </w:tcPr>
          <w:p>
            <w:pPr>
              <w:spacing w:after="0"/>
              <w:rPr>
                <w:sz w:val="21"/>
                <w:szCs w:val="21"/>
                <w:color w:val="auto"/>
              </w:rPr>
            </w:pPr>
          </w:p>
        </w:tc>
        <w:tc>
          <w:tcPr>
            <w:tcW w:w="43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216"/>
        </w:trPr>
        <w:tc>
          <w:tcPr>
            <w:tcW w:w="43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420" w:type="dxa"/>
            <w:vAlign w:val="bottom"/>
            <w:gridSpan w:val="2"/>
          </w:tcPr>
          <w:p>
            <w:pPr>
              <w:spacing w:after="0"/>
              <w:rPr>
                <w:sz w:val="18"/>
                <w:szCs w:val="18"/>
                <w:color w:val="auto"/>
              </w:rPr>
            </w:pPr>
          </w:p>
        </w:tc>
      </w:tr>
      <w:tr>
        <w:trPr>
          <w:trHeight w:val="198"/>
        </w:trPr>
        <w:tc>
          <w:tcPr>
            <w:tcW w:w="4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January 29, 2023</w:t>
            </w:r>
          </w:p>
        </w:tc>
        <w:tc>
          <w:tcPr>
            <w:tcW w:w="126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21.0%</w:t>
            </w:r>
          </w:p>
        </w:tc>
        <w:tc>
          <w:tcPr>
            <w:tcW w:w="1260" w:type="dxa"/>
            <w:vAlign w:val="bottom"/>
            <w:gridSpan w:val="2"/>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rPr>
              <w:t>30.3%</w:t>
            </w:r>
          </w:p>
        </w:tc>
        <w:tc>
          <w:tcPr>
            <w:tcW w:w="44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rates in non-U.S. jurisdictions; and the establishment of</w:t>
            </w:r>
          </w:p>
        </w:tc>
      </w:tr>
      <w:tr>
        <w:trPr>
          <w:trHeight w:val="234"/>
        </w:trPr>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216"/>
        </w:trPr>
        <w:tc>
          <w:tcPr>
            <w:tcW w:w="43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420" w:type="dxa"/>
            <w:vAlign w:val="bottom"/>
            <w:gridSpan w:val="2"/>
          </w:tcPr>
          <w:p>
            <w:pPr>
              <w:spacing w:after="0"/>
              <w:rPr>
                <w:sz w:val="18"/>
                <w:szCs w:val="18"/>
                <w:color w:val="auto"/>
              </w:rPr>
            </w:pPr>
          </w:p>
        </w:tc>
      </w:tr>
      <w:tr>
        <w:trPr>
          <w:trHeight w:val="198"/>
        </w:trPr>
        <w:tc>
          <w:tcPr>
            <w:tcW w:w="4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January 30, 2022</w:t>
            </w:r>
          </w:p>
        </w:tc>
        <w:tc>
          <w:tcPr>
            <w:tcW w:w="126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21.0%</w:t>
            </w:r>
          </w:p>
        </w:tc>
        <w:tc>
          <w:tcPr>
            <w:tcW w:w="1260" w:type="dxa"/>
            <w:vAlign w:val="bottom"/>
            <w:gridSpan w:val="2"/>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rPr>
              <w:t>26.1%</w:t>
            </w:r>
          </w:p>
        </w:tc>
        <w:tc>
          <w:tcPr>
            <w:tcW w:w="44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rates in non-U.S. jurisdictions; and the establishment of</w:t>
            </w:r>
          </w:p>
        </w:tc>
      </w:tr>
      <w:tr>
        <w:trPr>
          <w:trHeight w:val="234"/>
        </w:trPr>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uncertain, as they can be dependent upon the settlement of tax audits, we believe that the amount of uncertain tax positions (including interest and penalties, and net of tax benefits) that may be resolved over the next twelve months is $0.4 million. Resolution of these uncertain tax positions may result from either or both the lapses of statutes of limitations and tax settlements. We are no longer subject to tax authority examinations in the U.S., major foreign, or state tax jurisdictions for years prior to fiscal year 2017. The table below presents information on our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571"/>
        </w:trPr>
        <w:tc>
          <w:tcPr>
            <w:tcW w:w="8680" w:type="dxa"/>
            <w:vAlign w:val="bottom"/>
          </w:tcPr>
          <w:p>
            <w:pPr>
              <w:jc w:val="right"/>
              <w:ind w:right="2735"/>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8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r>
      <w:tr>
        <w:trPr>
          <w:trHeight w:val="245"/>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23,064</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60,158</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8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23"/>
        </w:trPr>
        <w:tc>
          <w:tcPr>
            <w:tcW w:w="86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1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January 29, 2023, we had commitments outstanding for capital expenditures of approximately $132.0 million, primarily for purchases of high-end equipment.</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May 2022, we were informed of a customs audit in one of our China operations. We estimated a contingency ranging from $2.2 million to $3.7 million, which include unpaid additional customs duties and related interest and penalties for the previous three years (the period under audit). In the three-month period ended May 1, 2022, we recorded a contingent loss of $2.2 million, as we believed this was the most likely outcome. The $2.2 million amount was recorded with a charge to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condensed consolidated statements of income and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in the condensed consolidated balance sheets. In November 2022, upon settlement of the audit, we reversed $1.0 million of the accrual.</w:t>
      </w:r>
    </w:p>
    <w:p>
      <w:pPr>
        <w:spacing w:after="0" w:line="183"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CHANGES IN ACCUMULATED OTHER COMPREHENSIVE (LOSS) INCOME BY COMPONENT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(loss) income by component (net of tax of $0) for the three-month periods ended January 29, 2023, and January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January 29, 2023</w:t>
            </w:r>
          </w:p>
        </w:tc>
      </w:tr>
      <w:tr>
        <w:trPr>
          <w:trHeight w:val="194"/>
        </w:trPr>
        <w:tc>
          <w:tcPr>
            <w:tcW w:w="7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(97,790)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(98,456)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90,519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90,465</w:t>
            </w: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(income) attributable to noncontrolling interests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16,429</w:t>
            </w:r>
          </w:p>
        </w:tc>
      </w:tr>
      <w:tr>
        <w:trPr>
          <w:trHeight w:val="216"/>
        </w:trPr>
        <w:tc>
          <w:tcPr>
            <w:tcW w:w="7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29,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(24,420)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January 30, 2022</w:t>
            </w:r>
          </w:p>
        </w:tc>
      </w:tr>
      <w:tr>
        <w:trPr>
          <w:trHeight w:val="194"/>
        </w:trPr>
        <w:tc>
          <w:tcPr>
            <w:tcW w:w="7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(9,831)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(9,794)</w:t>
            </w: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(income) attributable to noncontrolling interests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7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10,565</w:t>
            </w:r>
          </w:p>
        </w:tc>
      </w:tr>
      <w:tr>
        <w:trPr>
          <w:trHeight w:val="425"/>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fair values of our cash and certain cash equivalents (Level 1 measurements), accounts receivable, accounts payable, and certain other current assets and current liabilities (Level 2 measurements) approximate their carrying values due to their short-term maturities. The fair values of our Short-term investments are Level 1 measurements. (Please refer to “Investments” within Note 2 for additional fair value information on our Short-term investments.) The fair values of certain cash equivalents are Level 2 measurements that are provided by independent third-party pricing services or other independent entities, which may use matrix pricing, valuation models, or other methods which utilize observable market data. The fair values of our variable-rate debt instruments are Level 2 measurements and approximate their carrying values due to the variable nature of their underlying interest rates. Other than our Short-term investments, we did not have any assets or liabilities measured at fair value, on a recurring or a nonrecurring basis, at January 29, 2023, or October 31, 2022.</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We commenced repurchasing shares under this authorization on September 16, 2020. All of the shares repurchased under this authorization prior to January 30, 2022, have been retired prior to that date. As of January 29, 2023, $31.7 million was available under this authorization for the purchase of additional shares. The table below presents information on this repurchase program for the three-month periods ended January 29, 2023, and January 30,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36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50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40" w:type="dxa"/>
            <w:vAlign w:val="bottom"/>
          </w:tcPr>
          <w:p>
            <w:pPr>
              <w:spacing w:after="0"/>
              <w:rPr>
                <w:sz w:val="16"/>
                <w:szCs w:val="16"/>
                <w:color w:val="auto"/>
              </w:rPr>
            </w:pPr>
          </w:p>
        </w:tc>
      </w:tr>
      <w:tr>
        <w:trPr>
          <w:trHeight w:val="245"/>
        </w:trPr>
        <w:tc>
          <w:tcPr>
            <w:tcW w:w="50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r>
      <w:tr>
        <w:trPr>
          <w:trHeight w:val="216"/>
        </w:trPr>
        <w:tc>
          <w:tcPr>
            <w:tcW w:w="50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2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41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414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13.43</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RECENT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to be Adopted</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in this Update will be effective for Photronics in its fiscal year 2023 Form 10-K, with early application of the amendments allowed. The amendments are to be applied prospectively to all transactions within the scope of the amendments that are reflected in financial statements at the date of initial application and new transactions that are entered into after the date of initial application or, retrospectively to those transactions. We are currently evaluating the effect the adoption of this ASU may have on our disclosures.</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was to be applied prospectively from December 31, 2022. In December 2022, the FASB issued ASU 2022-06 “Deferral of the Sunset Date of Topic 848” which extended the time that the optional expedients and exceptions may be adopted to December 31, 2024. We do not expect the impact of this ASU to be material to our consolidated financial statements.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243"/>
        <w:spacing w:after="0" w:line="281" w:lineRule="auto"/>
        <w:rPr>
          <w:sz w:val="20"/>
          <w:szCs w:val="20"/>
          <w:color w:val="auto"/>
        </w:rPr>
      </w:pPr>
      <w:r>
        <w:rPr>
          <w:rFonts w:ascii="Times New Roman" w:cs="Times New Roman" w:eastAsia="Times New Roman" w:hAnsi="Times New Roman"/>
          <w:sz w:val="17"/>
          <w:szCs w:val="17"/>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2022), that may cause actual results to materially differ from these expectations. See “Forward-Looking Statements”.</w:t>
      </w:r>
    </w:p>
    <w:p>
      <w:pPr>
        <w:spacing w:after="0" w:line="164" w:lineRule="exact"/>
        <w:rPr>
          <w:sz w:val="20"/>
          <w:szCs w:val="20"/>
          <w:color w:val="auto"/>
        </w:rPr>
      </w:pPr>
    </w:p>
    <w:p>
      <w:pPr>
        <w:ind w:right="100" w:firstLine="243"/>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firstLine="243"/>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typically two to three weeks of backlog for FPD photomasks and one to two weeks for IC photomasks. However, the demand for some IC photomasks has expanded beyond the industry’s capacity to supply them within the traditional time period; thus, for some products, the backlog can expand to as long as two to three months.</w:t>
      </w:r>
    </w:p>
    <w:p>
      <w:pPr>
        <w:spacing w:after="0" w:line="180"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All of our facilities have continued to operate throughout the COVID-19 pandemic. However, since shortly after it was first identified near the end of calendar year 2019, the pandemic has had an impact on our business in a number of ways including customer shutdowns, which led to delays in new photomask design releases, and travel restrictions, which delayed tool installations and servicing. To date, we have not experienced significant raw material shortages; however, supply-chain disruptions could potentially delay or prevent us from fulfilling customer orders.</w:t>
      </w:r>
    </w:p>
    <w:p>
      <w:pPr>
        <w:spacing w:after="0" w:line="151" w:lineRule="exact"/>
        <w:rPr>
          <w:sz w:val="20"/>
          <w:szCs w:val="20"/>
          <w:color w:val="auto"/>
        </w:rPr>
      </w:pPr>
    </w:p>
    <w:p>
      <w:pPr>
        <w:ind w:right="280" w:firstLine="324"/>
        <w:spacing w:after="0" w:line="314" w:lineRule="auto"/>
        <w:rPr>
          <w:sz w:val="20"/>
          <w:szCs w:val="20"/>
          <w:color w:val="auto"/>
        </w:rPr>
      </w:pPr>
      <w:r>
        <w:rPr>
          <w:rFonts w:ascii="Times New Roman" w:cs="Times New Roman" w:eastAsia="Times New Roman" w:hAnsi="Times New Roman"/>
          <w:sz w:val="18"/>
          <w:szCs w:val="18"/>
          <w:color w:val="auto"/>
        </w:rPr>
        <w:t xml:space="preserve">At certain facilities, employees not required to be on-site to maintain production have worked remotely at various times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either at our discretion or due to government mandates. The implementation of these measures has not materially affected our operations.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January 29, 2023</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2840" w:type="dxa"/>
            <w:vAlign w:val="bottom"/>
            <w:tcBorders>
              <w:bottom w:val="single" w:sz="8" w:color="auto"/>
            </w:tcBorders>
            <w:gridSpan w:val="4"/>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194"/>
        </w:trPr>
        <w:tc>
          <w:tcPr>
            <w:tcW w:w="7100" w:type="dxa"/>
            <w:vAlign w:val="bottom"/>
          </w:tcPr>
          <w:p>
            <w:pPr>
              <w:spacing w:after="0"/>
              <w:rPr>
                <w:sz w:val="16"/>
                <w:szCs w:val="16"/>
                <w:color w:val="auto"/>
              </w:rPr>
            </w:pPr>
          </w:p>
        </w:tc>
        <w:tc>
          <w:tcPr>
            <w:tcW w:w="142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42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200" w:type="dxa"/>
            <w:vAlign w:val="bottom"/>
          </w:tcPr>
          <w:p>
            <w:pPr>
              <w:spacing w:after="0"/>
              <w:rPr>
                <w:sz w:val="16"/>
                <w:szCs w:val="16"/>
                <w:color w:val="auto"/>
              </w:rPr>
            </w:pPr>
          </w:p>
        </w:tc>
      </w:tr>
      <w:tr>
        <w:trPr>
          <w:trHeight w:val="245"/>
        </w:trPr>
        <w:tc>
          <w:tcPr>
            <w:tcW w:w="7100" w:type="dxa"/>
            <w:vAlign w:val="bottom"/>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7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7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7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7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r>
      <w:tr>
        <w:trPr>
          <w:trHeight w:val="216"/>
        </w:trPr>
        <w:tc>
          <w:tcPr>
            <w:tcW w:w="7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7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Note: All tabular comparisons included in the following discussion, unless otherwise indicated, are for the three-month periods ended January 29, 2023</w:t>
      </w:r>
    </w:p>
    <w:p>
      <w:pPr>
        <w:spacing w:after="0" w:line="3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(Q1 FY23), October 31, 2022 (Q4 FY22), and January 30, 2022 (Q1 FY22), in millions of dollars, except number of shares (in thousands) and per share amount. The columns may not foot due to rounding.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60" w:firstLine="288"/>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tables present changes in disaggregated revenue in Q1 FY23 from revenue in prior reporting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Product Type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Q1 FY23 compared with Q4 FY22</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Q1 FY23 compared with Q1 FY22</w:t>
            </w:r>
          </w:p>
        </w:tc>
      </w:tr>
      <w:tr>
        <w:trPr>
          <w:trHeight w:val="194"/>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80" w:type="dxa"/>
            <w:vAlign w:val="bottom"/>
            <w:tcBorders>
              <w:top w:val="single" w:sz="8" w:color="auto"/>
            </w:tcBorders>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IC</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4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4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FPD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4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FPD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4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average selling prices (ASPs) than mainstream products.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Geographic Origin**</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Q1 FY23 compared with Q4 FY22</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Q1 FY23 compared with Q1 FY22</w:t>
            </w:r>
          </w:p>
        </w:tc>
      </w:tr>
      <w:tr>
        <w:trPr>
          <w:trHeight w:val="194"/>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80" w:type="dxa"/>
            <w:vAlign w:val="bottom"/>
            <w:tcBorders>
              <w:top w:val="single" w:sz="8" w:color="auto"/>
            </w:tcBorders>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4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1"/>
                <w:szCs w:val="21"/>
                <w:color w:val="auto"/>
              </w:rPr>
            </w:pP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 in Q1 FY23 was $211.1 million, representing an increase of 0.4% compared with Q4 FY22 and 11.2% from Q1 FY22.</w:t>
      </w:r>
    </w:p>
    <w:p>
      <w:pPr>
        <w:spacing w:after="0" w:line="225" w:lineRule="exact"/>
        <w:rPr>
          <w:sz w:val="20"/>
          <w:szCs w:val="20"/>
          <w:color w:val="auto"/>
        </w:rPr>
      </w:pPr>
    </w:p>
    <w:p>
      <w:pPr>
        <w:ind w:right="160" w:firstLine="369"/>
        <w:spacing w:after="0" w:line="261" w:lineRule="auto"/>
        <w:rPr>
          <w:sz w:val="20"/>
          <w:szCs w:val="20"/>
          <w:color w:val="auto"/>
        </w:rPr>
      </w:pPr>
      <w:r>
        <w:rPr>
          <w:rFonts w:ascii="Times New Roman" w:cs="Times New Roman" w:eastAsia="Times New Roman" w:hAnsi="Times New Roman"/>
          <w:sz w:val="18"/>
          <w:szCs w:val="18"/>
          <w:color w:val="auto"/>
        </w:rPr>
        <w:t>IC photomask revenue increased 0.2% and 20.7% in Q1 FY23, compared with Q4 FY22 and Q1 FY22, respectively. These increases were driven by continued strong demand in Asia, resulting from robust design activity for high-end products, and increased pricing and continued strong demand for mainstream products used for computer chips used in the production of consumer goods, products considered part of the “internet-of-things”, 5G wireless technology applications, and cryptocurrency mining.</w:t>
      </w:r>
    </w:p>
    <w:p>
      <w:pPr>
        <w:spacing w:after="0" w:line="180" w:lineRule="exact"/>
        <w:rPr>
          <w:sz w:val="20"/>
          <w:szCs w:val="20"/>
          <w:color w:val="auto"/>
        </w:rPr>
      </w:pPr>
    </w:p>
    <w:p>
      <w:pPr>
        <w:ind w:right="100" w:firstLine="366"/>
        <w:spacing w:after="0" w:line="258" w:lineRule="auto"/>
        <w:rPr>
          <w:sz w:val="20"/>
          <w:szCs w:val="20"/>
          <w:color w:val="auto"/>
        </w:rPr>
      </w:pPr>
      <w:r>
        <w:rPr>
          <w:rFonts w:ascii="Times New Roman" w:cs="Times New Roman" w:eastAsia="Times New Roman" w:hAnsi="Times New Roman"/>
          <w:sz w:val="18"/>
          <w:szCs w:val="18"/>
          <w:color w:val="auto"/>
        </w:rPr>
        <w:t>The increase from Q4 FY22 is due to increased high-end demand, particularly in Asia, more than offsetting limited softness in mainstream. Although somewhat softer, mainstream demand remains strong, due to the proliferation of IC’s. This strong demand continues to strain the photomask industry’s mainstream tool capacity, thereby providing the conditions that support a favorable pricing environment. This has enabled us to maintain increased selling prices, though expediting premiums that customers pay to accelerate deliveries have decreased. The increase from Q1 FY22, is driven by continued strong growth in Asia and the U.S. for high-end products, increased pricing and continued growth for mainstream products.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firstLine="369"/>
        <w:spacing w:after="0" w:line="258" w:lineRule="auto"/>
        <w:rPr>
          <w:sz w:val="20"/>
          <w:szCs w:val="20"/>
          <w:color w:val="auto"/>
        </w:rPr>
      </w:pPr>
      <w:r>
        <w:rPr>
          <w:rFonts w:ascii="Times New Roman" w:cs="Times New Roman" w:eastAsia="Times New Roman" w:hAnsi="Times New Roman"/>
          <w:sz w:val="18"/>
          <w:szCs w:val="18"/>
          <w:color w:val="auto"/>
        </w:rPr>
        <w:t>FPD revenue increased 0.8% and decreased 9.3% in Q1 FY23, compared with Q4 FY22 and Q1 FY22, respectively. The increase from Q4 FY22 is driven by increased high-end demand more than offsetting lower mainstream demand. High-end growth came from improved G10.5+ demand and continued strength in mobile displays. The decrease from Q1FY22 is primarily due to softer mainstream demand, and lower G10.5+ demand that offset an increase in AMOLED. We believe that strong demand for AMOLED photomasks used in mobile devices will continue, as expected technology advances drives increasing overall demand for higher-value masks.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4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260" w:type="dxa"/>
            <w:vAlign w:val="bottom"/>
          </w:tcPr>
          <w:p>
            <w:pPr>
              <w:spacing w:after="0"/>
              <w:rPr>
                <w:sz w:val="21"/>
                <w:szCs w:val="21"/>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Q1 FY22</w:t>
            </w:r>
          </w:p>
        </w:tc>
        <w:tc>
          <w:tcPr>
            <w:tcW w:w="280" w:type="dxa"/>
            <w:vAlign w:val="bottom"/>
          </w:tcPr>
          <w:p>
            <w:pPr>
              <w:spacing w:after="0"/>
              <w:rPr>
                <w:sz w:val="21"/>
                <w:szCs w:val="21"/>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76.1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80.3</w:t>
            </w:r>
          </w:p>
        </w:tc>
        <w:tc>
          <w:tcPr>
            <w:tcW w:w="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 $</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59.9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20"/>
                <w:szCs w:val="20"/>
                <w:color w:val="auto"/>
              </w:rPr>
            </w:pP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38.2%</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31.5%</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right="80" w:firstLine="333"/>
        <w:spacing w:after="0" w:line="261" w:lineRule="auto"/>
        <w:rPr>
          <w:sz w:val="20"/>
          <w:szCs w:val="20"/>
          <w:color w:val="auto"/>
        </w:rPr>
      </w:pPr>
      <w:r>
        <w:rPr>
          <w:rFonts w:ascii="Times New Roman" w:cs="Times New Roman" w:eastAsia="Times New Roman" w:hAnsi="Times New Roman"/>
          <w:sz w:val="18"/>
          <w:szCs w:val="18"/>
          <w:color w:val="auto"/>
        </w:rPr>
        <w:t>Gross margin decreased by 2.2 percentage points in Q1 FY23, from Q4 FY22, despite a slight increase in revenue, primarily as a result of unfavorable product mix and lower expediting premiums that customers pay to accelerate deliveries. Material costs increased 2.9% from the prior quarter, and increased, as a percentage of revenue, by 60 basis points. Labor costs remained flat, and as a percentage of revenue. Equipment and other overhead costs increased 6.3% and increased 160 basis points as a percentage of revenue.</w:t>
      </w:r>
    </w:p>
    <w:p>
      <w:pPr>
        <w:spacing w:after="0" w:line="180" w:lineRule="exact"/>
        <w:rPr>
          <w:sz w:val="20"/>
          <w:szCs w:val="20"/>
          <w:color w:val="auto"/>
        </w:rPr>
      </w:pPr>
    </w:p>
    <w:p>
      <w:pPr>
        <w:ind w:right="160" w:firstLine="333"/>
        <w:spacing w:after="0" w:line="256" w:lineRule="auto"/>
        <w:rPr>
          <w:sz w:val="20"/>
          <w:szCs w:val="20"/>
          <w:color w:val="auto"/>
        </w:rPr>
      </w:pPr>
      <w:r>
        <w:rPr>
          <w:rFonts w:ascii="Times New Roman" w:cs="Times New Roman" w:eastAsia="Times New Roman" w:hAnsi="Times New Roman"/>
          <w:sz w:val="18"/>
          <w:szCs w:val="18"/>
          <w:color w:val="auto"/>
        </w:rPr>
        <w:t>Gross margin increased by 4.5 percentage points in Q1 FY23, from Q1 FY22, primarily as a result of the increase in revenue from the prior year quarter. Material costs decreased 1.0% from the prior year quarter, and decreased 301 basis points, as a percentage of revenue. Labor and benefits costs increased 14.2% from the prior year quarter and increased 30 basis points as a percent of revenue, as labor increased in both the U.S. and at several Asia-based facilities, reflecting labor market conditions. Equipment and other overhead costs increased 4.5% but decreased 180 basis points, as a percentage of revenue. Increased outsourced manufacturing costs, partially offset by decreased depreciation and equipment maintenance expenses, were the most significant contributors to the net increase in equipment and other overhead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40" w:firstLine="33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$16.8 million in Q1 FY23, compared with $15.7 million in Q4 FY22. The increase of $1.1 million was primarily the result of increased compensation and related benefits and payroll tax expenses in the U.S. of $1.1 million. Selling, general, and administrative expenses increased $1.1 million in Q1 FY23, from $15.7 million in Q1 FY22, primarily as a result of increased compensation and related expenses of $0.9 million and increased professional fees of $0.2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20" w:firstLine="333"/>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were $3.3 million in Q1 FY23, $4.0 million in Q4 FY22, and $5.9 million in Q1 FY22. Research and development expenses decreased from all prior periods as a result of decreased development activities in the U.S.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FY22</w:t>
            </w: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20" w:firstLine="333"/>
        <w:spacing w:after="0" w:line="261" w:lineRule="auto"/>
        <w:rPr>
          <w:sz w:val="20"/>
          <w:szCs w:val="20"/>
          <w:color w:val="auto"/>
        </w:rPr>
      </w:pPr>
      <w:r>
        <w:rPr>
          <w:rFonts w:ascii="Times New Roman" w:cs="Times New Roman" w:eastAsia="Times New Roman" w:hAnsi="Times New Roman"/>
          <w:sz w:val="18"/>
          <w:szCs w:val="18"/>
          <w:color w:val="auto"/>
        </w:rPr>
        <w:t>Non-operating income (expense) decreased $25.2 million to $(14.4) million in Q1 FY23, compared with $10.8 million in Q4 FY22, primarily due to unfavorable movements of the South Korean won and the New Taiwan dollar against the U.S. dollar exceeding a favorable movement of the RMB against the U.S. dollar. Interest income and other income (expense) increased to $2.3 million in Q1 FY23, compared with $0.8 million in Q4 FY22, and $0.3 million in Q1 FY22 as a result of Treasury Securities purchased in Q4 FY22.</w:t>
      </w:r>
    </w:p>
    <w:p>
      <w:pPr>
        <w:spacing w:after="0" w:line="180" w:lineRule="exact"/>
        <w:rPr>
          <w:sz w:val="20"/>
          <w:szCs w:val="20"/>
          <w:color w:val="auto"/>
        </w:rPr>
      </w:pPr>
    </w:p>
    <w:p>
      <w:pPr>
        <w:ind w:right="100" w:firstLine="333"/>
        <w:spacing w:after="0" w:line="261" w:lineRule="auto"/>
        <w:rPr>
          <w:sz w:val="20"/>
          <w:szCs w:val="20"/>
          <w:color w:val="auto"/>
        </w:rPr>
      </w:pPr>
      <w:r>
        <w:rPr>
          <w:rFonts w:ascii="Times New Roman" w:cs="Times New Roman" w:eastAsia="Times New Roman" w:hAnsi="Times New Roman"/>
          <w:sz w:val="18"/>
          <w:szCs w:val="18"/>
          <w:color w:val="auto"/>
        </w:rPr>
        <w:t>Non-operating income (expense) decreased $19.1 million to $(14.4) million in Q1 FY23, compared with $4.7 million in Q1 FY22. Unfavorable movement of the New Taiwan dollar and less favorable movement of the South Korean won against the U.S. dollar exceeding favorable movements of the RMB were the primary drivers of the negative impact of foreign currency transactions. Interest expense decreased as a result of our lower average debt balance, which decreased significantly as a result of early repayments made in FY22.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7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FY22</w:t>
            </w:r>
          </w:p>
        </w:tc>
        <w:tc>
          <w:tcPr>
            <w:tcW w:w="160" w:type="dxa"/>
            <w:vAlign w:val="bottom"/>
          </w:tcPr>
          <w:p>
            <w:pPr>
              <w:spacing w:after="0"/>
              <w:rPr>
                <w:sz w:val="24"/>
                <w:szCs w:val="24"/>
                <w:color w:val="auto"/>
              </w:rPr>
            </w:pPr>
          </w:p>
        </w:tc>
      </w:tr>
      <w:tr>
        <w:trPr>
          <w:trHeight w:val="216"/>
        </w:trPr>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8"/>
              </w:rPr>
              <w:t>26.1%</w:t>
            </w:r>
          </w:p>
        </w:tc>
      </w:tr>
    </w:tbl>
    <w:p>
      <w:pPr>
        <w:spacing w:after="0" w:line="17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62" w:lineRule="exact"/>
        <w:rPr>
          <w:sz w:val="20"/>
          <w:szCs w:val="20"/>
          <w:color w:val="auto"/>
        </w:rPr>
      </w:pPr>
    </w:p>
    <w:p>
      <w:pPr>
        <w:ind w:right="280" w:firstLine="243"/>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 in Q1 FY23, compared with Q4 FY22, is primarily due to changes in the jurisdictional mix of earnings and an increase in foreign taxes in Q1 FY23.</w:t>
      </w:r>
    </w:p>
    <w:p>
      <w:pPr>
        <w:spacing w:after="0" w:line="162" w:lineRule="exact"/>
        <w:rPr>
          <w:sz w:val="20"/>
          <w:szCs w:val="20"/>
          <w:color w:val="auto"/>
        </w:rPr>
      </w:pPr>
    </w:p>
    <w:p>
      <w:pPr>
        <w:ind w:right="280" w:firstLine="243"/>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 in Q1 FY23, compared with Q1 FY22, is primarily due to changes in the jurisdictional mix of earnings and an increase in foreign taxes in Q1 FY23.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300" w:firstLine="243"/>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$15.0 million in Q1 FY23, compared with $18.2 million in Q4 FY22, and $8.7 million in Q1 FY22. The increases from Q1 FY22 to Q1 FY23 resulted from increased net income at our Taiwan-based and China-based IC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were $334.8 million and $319.7 million as of January 29, 2023, and October 31, 2022, respectively. As of the most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balance sheet date, total cash and cash equivalents included $315.7 million held by foreign subsidiaries. Net Cash, a non-GAAP financial measure as defined and discussed in the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section below, was $340.2 million and $316.2 million as of January 29, 2023, and October 31, 2022, respectively. Our primary sources of liquidity are our cash on hand, cash we generate from operations, and borrowing capacity we have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currently have approximately $25.0 million of borrowing capacity to support local operations. See Note 6 to the condensed consolidated financial statements for additional information on our currently available financing.</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short-term investments, and (potentially) our borrowing capacity under our financing arrangements, we plan to continue to invest in our business, with our investments targeted to align with our customers’ technology road maps. We may also elect to use our cash to reduce our debt through early repayments. In addition, we stand ready to invest in mergers, acquisitions, or strategic partnerships, should a suitable opportunity arise.</w:t>
      </w:r>
    </w:p>
    <w:p>
      <w:pPr>
        <w:spacing w:after="0" w:line="192" w:lineRule="exact"/>
        <w:rPr>
          <w:sz w:val="20"/>
          <w:szCs w:val="20"/>
          <w:color w:val="auto"/>
        </w:rPr>
      </w:pPr>
    </w:p>
    <w:p>
      <w:pPr>
        <w:ind w:right="40" w:firstLine="162"/>
        <w:spacing w:after="0" w:line="256" w:lineRule="auto"/>
        <w:rPr>
          <w:sz w:val="20"/>
          <w:szCs w:val="20"/>
          <w:color w:val="auto"/>
        </w:rPr>
      </w:pPr>
      <w:r>
        <w:rPr>
          <w:rFonts w:ascii="Times New Roman" w:cs="Times New Roman" w:eastAsia="Times New Roman" w:hAnsi="Times New Roman"/>
          <w:sz w:val="18"/>
          <w:szCs w:val="18"/>
          <w:color w:val="auto"/>
        </w:rPr>
        <w:t>We estimate capital expenditures for full year FY23 will be approximately $130 million; these investments will be targeted towards high-end and mainstream IC capacity and efficiency, and enable us to support our customers’ near-term demands. As of January 29, 2023, we had outstanding capital commitments of approximately $132.0 million and recognized liabilities related to capital equipment purchases of approximately $14.9 million. Although payment timing could vary, primarily as a result of the timing of tool delivery, installation, and testing, we currently estimate that we will fund $61.0 million of our total $147.0 million committed and recognized obligations for capital expenditures over the next twelve months. Please refer to Note 6 to the condensed consolidated financial statements for information on our outstanding debt.</w:t>
      </w:r>
    </w:p>
    <w:p>
      <w:pPr>
        <w:spacing w:after="0" w:line="187"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January 29, 2023, our current share repurchase program had approximately $31.7 million remaining under its authorization. Depending on market conditions, we may utilize some or the entire remaining approved amount to reacquire additional shares. On August 16, 2022, the Inflation Reduction Act (“IRA”) was enacted in the U.S. Among other provisions, the IRA included a one percent excise tax on corporate share repurchases. The one percent excise tax on share repurchases applies to shares repurchased after December 31, 2022, and excludes repurchases under $1 million. We do not anticipate that the IRA will have a material effect on our liquidity.</w:t>
      </w:r>
    </w:p>
    <w:p>
      <w:pPr>
        <w:spacing w:after="0" w:line="189" w:lineRule="exact"/>
        <w:rPr>
          <w:sz w:val="20"/>
          <w:szCs w:val="20"/>
          <w:color w:val="auto"/>
        </w:rPr>
      </w:pPr>
    </w:p>
    <w:p>
      <w:pPr>
        <w:ind w:right="80" w:firstLine="162"/>
        <w:spacing w:after="0" w:line="258" w:lineRule="auto"/>
        <w:rPr>
          <w:sz w:val="20"/>
          <w:szCs w:val="20"/>
          <w:color w:val="auto"/>
        </w:rPr>
      </w:pPr>
      <w:r>
        <w:rPr>
          <w:rFonts w:ascii="Times New Roman" w:cs="Times New Roman" w:eastAsia="Times New Roman" w:hAnsi="Times New Roman"/>
          <w:sz w:val="18"/>
          <w:szCs w:val="18"/>
          <w:color w:val="auto"/>
        </w:rPr>
        <w:t>As discussed in Note 5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January 29, 2023, Photronics and DNP each had net investments in this joint venture of approximately $106.3 million.</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Q1 FY22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100" w:firstLine="162"/>
        <w:spacing w:after="0" w:line="267"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reflects net income adjusted for certain non-cash items, including depreciation and amortization, share-based compensation, and the impacts of cash from changes in operating assets and liabilities. Net cash provided by operating activities decreased by $31.4 million in Q1 FY23, compared with Q1 FY22, due to decreased net income and cash generated from changes in working capital.</w:t>
      </w:r>
    </w:p>
    <w:p>
      <w:pPr>
        <w:spacing w:after="0" w:line="175" w:lineRule="exact"/>
        <w:rPr>
          <w:sz w:val="20"/>
          <w:szCs w:val="20"/>
          <w:color w:val="auto"/>
        </w:rPr>
      </w:pPr>
    </w:p>
    <w:p>
      <w:pPr>
        <w:jc w:val="both"/>
        <w:ind w:right="120" w:firstLine="162"/>
        <w:spacing w:after="0" w:line="266" w:lineRule="auto"/>
        <w:rPr>
          <w:sz w:val="20"/>
          <w:szCs w:val="20"/>
          <w:color w:val="auto"/>
        </w:rPr>
      </w:pPr>
      <w:r>
        <w:rPr>
          <w:rFonts w:ascii="Times New Roman" w:cs="Times New Roman" w:eastAsia="Times New Roman" w:hAnsi="Times New Roman"/>
          <w:sz w:val="18"/>
          <w:szCs w:val="18"/>
          <w:color w:val="auto"/>
        </w:rPr>
        <w:t xml:space="preserve">Free Cash Flow and LTM (“Last Twelve Months”) Free Cash Flow, which are non-GAAP financial measures as discussed in the “Non-GAAP Financial Measures” section below, decreased by $42.3 million and increased by $45.9 million, respectively, compared with Q1 FY23, primarily due to the decrease in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discussed above and a reduction in spending on property, plant, and equipment.</w:t>
      </w:r>
    </w:p>
    <w:p>
      <w:pPr>
        <w:spacing w:after="0" w:line="174" w:lineRule="exact"/>
        <w:rPr>
          <w:sz w:val="20"/>
          <w:szCs w:val="20"/>
          <w:color w:val="auto"/>
        </w:rPr>
      </w:pPr>
    </w:p>
    <w:p>
      <w:pPr>
        <w:ind w:firstLine="162"/>
        <w:spacing w:after="0" w:line="267"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investing activities</w:t>
      </w:r>
      <w:r>
        <w:rPr>
          <w:rFonts w:ascii="Times New Roman" w:cs="Times New Roman" w:eastAsia="Times New Roman" w:hAnsi="Times New Roman"/>
          <w:sz w:val="18"/>
          <w:szCs w:val="18"/>
          <w:color w:val="auto"/>
        </w:rPr>
        <w:t xml:space="preserve"> primarily consisted of purchases of property, plant, and equipment of $31.1 million, which increased $11.9 million in Q1 FY23, compared with Q1 FY22. The increased spending on property, plant, and equipment was partially offset by a $1.0 million increase in investment related government incentives received in China.</w:t>
      </w:r>
    </w:p>
    <w:p>
      <w:pPr>
        <w:spacing w:after="0" w:line="173"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financing activities</w:t>
      </w:r>
      <w:r>
        <w:rPr>
          <w:rFonts w:ascii="Times New Roman" w:cs="Times New Roman" w:eastAsia="Times New Roman" w:hAnsi="Times New Roman"/>
          <w:sz w:val="18"/>
          <w:szCs w:val="18"/>
          <w:color w:val="auto"/>
        </w:rPr>
        <w:t xml:space="preserve"> primarily consist of share repurchases, proceeds from and repayments of debt, and contributions from noncontrolling interests. Net cash used in financing activities increased by $9.4 million in Q1 FY23, compared with Q1 FY22, primarily due to contributions from noncontrolling interests in our majority owned subsidiaries in Taiwan and China of $15.0 million in Q1 FY22 and decreased debt repayments of $6.0 million.</w:t>
      </w:r>
    </w:p>
    <w:p>
      <w:pPr>
        <w:spacing w:after="0" w:line="182" w:lineRule="exact"/>
        <w:rPr>
          <w:sz w:val="20"/>
          <w:szCs w:val="20"/>
          <w:color w:val="auto"/>
        </w:rPr>
      </w:pPr>
    </w:p>
    <w:p>
      <w:pPr>
        <w:ind w:right="280" w:firstLine="162"/>
        <w:spacing w:after="0" w:line="282" w:lineRule="auto"/>
        <w:rPr>
          <w:sz w:val="20"/>
          <w:szCs w:val="20"/>
          <w:color w:val="auto"/>
        </w:rPr>
      </w:pPr>
      <w:r>
        <w:rPr>
          <w:rFonts w:ascii="Times New Roman" w:cs="Times New Roman" w:eastAsia="Times New Roman" w:hAnsi="Times New Roman"/>
          <w:sz w:val="18"/>
          <w:szCs w:val="18"/>
          <w:color w:val="auto"/>
        </w:rPr>
        <w:t>The increase in our cash balance from Q1 FY22 was favorably impacted by the effects of exchange rate changes in the amount of $27.5 million in Q1 FY23, which was in contrast to the $2.0 million unfavorable impact the effects of exchange rate changes had on our cash balance in Q1 FY22.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40" w:firstLine="162"/>
        <w:spacing w:after="0" w:line="253"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earnings per share, Free Cash Flow, LTM Free Cash Flow, and Net Cash are "non-GAAP financial measures" as such term is defined by the Securities and Exchange Commission and may differ from similarly named non-GAAP financial measures used by other companies. The financial tables below reconcile Photronics, Inc. financial results under GAAP to non-GAAP financial information. We believe these non-GAAP financial measures that exclude certain items are useful for analysts and investors to evaluate our future on-going performance because they enable a more meaningful comparison of our projected performance with our historical results. These non-GAAP metrics are not intended to represent funds available for our discretionary use and are not intended to represent, or be used as a substitute for, net income attributable to Photronics, Inc. shareholders, diluted earnings per share, cash and cash equivalents, or cash flows from operations, as measured under GAAP. The items excluded from these non-GAAP metrics but included in the calculation of their closest GAAP equivalent, are significant components of the condensed consolidated statements of income, condensed consolidated balance sheets and statement of cash flows and must be considered in performing a comprehensive assessment of overall financial performance.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GAAP to Non-GAAP Income</w:t>
      </w:r>
      <w:r>
        <w:rPr>
          <w:rFonts w:ascii="Times New Roman" w:cs="Times New Roman" w:eastAsia="Times New Roman" w:hAnsi="Times New Roman"/>
          <w:sz w:val="18"/>
          <w:szCs w:val="18"/>
          <w:color w:val="auto"/>
        </w:rPr>
        <w:t xml:space="preserve"> at the balance sheet dates. The columns may not foot due to rounding.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16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Q4 FY22</w:t>
            </w: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Q1 FY22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Net Income: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attributable to Photronics, Inc. shareholders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(gain) loss</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above</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1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Photronics, Inc.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60,936</w:t>
            </w:r>
          </w:p>
        </w:tc>
      </w:tr>
      <w:tr>
        <w:trPr>
          <w:trHeight w:val="21"/>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EPS: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r>
      <w:tr>
        <w:trPr>
          <w:trHeight w:val="22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Effects of the above adjustments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tables reconcile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to Free Cash Flow for Q1 FY23 and Q1 FY22 and present the calculations of LTM Free Cash Flow for Q1 FY23 and Q1 FY22. The columns may not foot due to rounding.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8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Q1 FY22</w:t>
            </w:r>
          </w:p>
        </w:tc>
      </w:tr>
      <w:tr>
        <w:trPr>
          <w:trHeight w:val="176"/>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Free Cash Flow</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incentives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80" w:type="dxa"/>
            <w:vAlign w:val="bottom"/>
            <w:shd w:val="clear" w:color="auto" w:fill="CCEEFF"/>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27"/>
        </w:trPr>
        <w:tc>
          <w:tcPr>
            <w:tcW w:w="11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Q1 FY22</w:t>
            </w:r>
          </w:p>
        </w:tc>
      </w:tr>
      <w:tr>
        <w:trPr>
          <w:trHeight w:val="175"/>
        </w:trPr>
        <w:tc>
          <w:tcPr>
            <w:tcW w:w="4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LTM Free Cash Flow</w:t>
            </w:r>
          </w:p>
        </w:tc>
        <w:tc>
          <w:tcPr>
            <w:tcW w:w="4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56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three months of the respective fiscal year</w:t>
            </w:r>
          </w:p>
        </w:tc>
        <w:tc>
          <w:tcPr>
            <w:tcW w:w="4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fiscal year</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three months of the prior year</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156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LTM free cash flow</w:t>
            </w:r>
          </w:p>
        </w:tc>
        <w:tc>
          <w:tcPr>
            <w:tcW w:w="4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r>
      <w:tr>
        <w:trPr>
          <w:trHeight w:val="570"/>
        </w:trPr>
        <w:tc>
          <w:tcPr>
            <w:tcW w:w="1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40" w:type="dxa"/>
            <w:vAlign w:val="bottom"/>
          </w:tcPr>
          <w:p>
            <w:pPr>
              <w:jc w:val="right"/>
              <w:ind w:right="2896"/>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5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to Net Cash at the balance sheet dates. The increase in Net Cash was primarily driven by an increase in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and decreased spending on property, plant, and equipment, as discussed above. The columns may not foot due to rounding.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6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Net Cash</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640" w:firstLine="162"/>
        <w:spacing w:after="0" w:line="282" w:lineRule="auto"/>
        <w:rPr>
          <w:sz w:val="20"/>
          <w:szCs w:val="20"/>
          <w:color w:val="auto"/>
        </w:rPr>
      </w:pPr>
      <w:r>
        <w:rPr>
          <w:rFonts w:ascii="Times New Roman" w:cs="Times New Roman" w:eastAsia="Times New Roman" w:hAnsi="Times New Roman"/>
          <w:sz w:val="18"/>
          <w:szCs w:val="18"/>
          <w:color w:val="auto"/>
        </w:rPr>
        <w:t>Our current business outlook and guidance was provided in the Photronics Q1 FY23 earnings release, earnings presentation, and financial results conference call, but is not incorporated herein. These can be accessed in the investor section of our website - www.photronics.com.</w:t>
      </w:r>
    </w:p>
    <w:p>
      <w:pPr>
        <w:spacing w:after="0" w:line="162" w:lineRule="exact"/>
        <w:rPr>
          <w:sz w:val="20"/>
          <w:szCs w:val="20"/>
          <w:color w:val="auto"/>
        </w:rPr>
      </w:pPr>
    </w:p>
    <w:p>
      <w:pPr>
        <w:ind w:right="160" w:firstLine="162"/>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Q1 FY23 earnings presentation and the related financial results conference call and slide deck involve a number of risks and uncertainties, some of which are discussed in Part I, Item 1A of our 2022 Form 10-K. A number of other unforeseeable factors could cause actual results to differ materially from our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0" w:firstLine="243"/>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2022 Form 10-K for discussion of our critical accounting estimates. There have been no changes to our critical accounting estimates since the filing of our Form 10-K for the year ended October 31, 2022.</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183" w:lineRule="exact"/>
        <w:rPr>
          <w:sz w:val="20"/>
          <w:szCs w:val="20"/>
          <w:color w:val="auto"/>
        </w:rPr>
      </w:pPr>
    </w:p>
    <w:p>
      <w:pPr>
        <w:ind w:right="20" w:firstLine="162"/>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January 29, 2023,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$42.1 million, which represents an increase of $7.4 million from our exposure at October 31, 2022. Our most significant exposures at January 29, 2023, were exposures of the South Korean won, the RMB, and the New Taiwan Dollar to the U.S. dollar, which were, respectively, $11.8 million, $10.7 million, and $16.6 million at that date. We do not believe that a 10% change in the exchange rates of non-US dollar currencies, other than the aforementioned currencies and the Japanese yen, would have had a material effect on our January 29, 2023,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00" w:firstLine="162"/>
        <w:spacing w:after="0" w:line="282" w:lineRule="auto"/>
        <w:rPr>
          <w:sz w:val="20"/>
          <w:szCs w:val="20"/>
          <w:color w:val="auto"/>
        </w:rPr>
      </w:pPr>
      <w:r>
        <w:rPr>
          <w:rFonts w:ascii="Times New Roman" w:cs="Times New Roman" w:eastAsia="Times New Roman" w:hAnsi="Times New Roman"/>
          <w:sz w:val="18"/>
          <w:szCs w:val="18"/>
          <w:color w:val="auto"/>
        </w:rPr>
        <w:t>A 10% adverse movement in the interest rates on our variable rate borrowings would not have had a material effect on our January 29, 2023, condensed consolidated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0" w:firstLine="162"/>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9"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firstLine="162"/>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first fiscal quarter that has materially affected, or is reasonably likely to materially affect, our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11 within Item 1 of this report for information on legal proceedings involving the Company.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as set forth in “Item 1A. Risk Factors” in our 2022 Form 10-K.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14, 2020, and all shares repurchased under this program were retired. The table below presents share repurchase activity during the first quarter of 2023 in connection with the payment of withholding taxes related to the vesting of restricted stock awards.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48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45"/>
        </w:trPr>
        <w:tc>
          <w:tcPr>
            <w:tcW w:w="484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10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648"/>
        </w:trPr>
        <w:tc>
          <w:tcPr>
            <w:tcW w:w="48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2022 – November 27,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November 28, 2022 – December 25,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26, 2022 – January 29,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484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8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Certain of our debt agreements and lease arrangements include limitations on the amounts of dividends we may pay. Please refer to Note 6 of the condensed consolidated financial statements for information on these limitations.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592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1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File</w:t>
            </w: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320" w:type="dxa"/>
            <w:vAlign w:val="bottom"/>
          </w:tcPr>
          <w:p>
            <w:pPr>
              <w:spacing w:after="0"/>
              <w:rPr>
                <w:sz w:val="14"/>
                <w:szCs w:val="14"/>
                <w:color w:val="auto"/>
              </w:rPr>
            </w:pPr>
          </w:p>
        </w:tc>
        <w:tc>
          <w:tcPr>
            <w:tcW w:w="920" w:type="dxa"/>
            <w:vAlign w:val="bottom"/>
            <w:gridSpan w:val="3"/>
          </w:tcPr>
          <w:p>
            <w:pPr>
              <w:jc w:val="center"/>
              <w:ind w:right="320"/>
              <w:spacing w:after="0" w:line="162" w:lineRule="exact"/>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6"/>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6"/>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3"/>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88"/>
              </w:rPr>
              <w:t>Furnished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5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80" w:type="dxa"/>
            <w:vAlign w:val="bottom"/>
            <w:gridSpan w:val="6"/>
          </w:tcPr>
          <w:p>
            <w:pPr>
              <w:jc w:val="center"/>
              <w:ind w:right="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5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Form   Number  Exhibit</w:t>
            </w:r>
          </w:p>
        </w:tc>
        <w:tc>
          <w:tcPr>
            <w:tcW w:w="160" w:type="dxa"/>
            <w:vAlign w:val="bottom"/>
          </w:tcPr>
          <w:p>
            <w:pPr>
              <w:spacing w:after="0"/>
              <w:rPr>
                <w:sz w:val="17"/>
                <w:szCs w:val="17"/>
                <w:color w:val="auto"/>
              </w:rPr>
            </w:pPr>
          </w:p>
        </w:tc>
        <w:tc>
          <w:tcPr>
            <w:tcW w:w="52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320" w:type="dxa"/>
            <w:vAlign w:val="bottom"/>
          </w:tcPr>
          <w:p>
            <w:pPr>
              <w:spacing w:after="0"/>
              <w:rPr>
                <w:sz w:val="17"/>
                <w:szCs w:val="17"/>
                <w:color w:val="auto"/>
              </w:rPr>
            </w:pPr>
          </w:p>
        </w:tc>
        <w:tc>
          <w:tcPr>
            <w:tcW w:w="920" w:type="dxa"/>
            <w:vAlign w:val="bottom"/>
            <w:gridSpan w:val="3"/>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1"/>
              </w:rPr>
              <w:t>Herewith</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16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Form Restricted Stock Award Agreement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16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Form Incentive Stock Option Award Agreement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16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Form Non-Qualified Stock Award Agreement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16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16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16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6"/>
        </w:trPr>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1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16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7"/>
        </w:trPr>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1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160" w:type="dxa"/>
            <w:vAlign w:val="bottom"/>
            <w:gridSpan w:val="4"/>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160" w:type="dxa"/>
            <w:vAlign w:val="bottom"/>
            <w:gridSpan w:val="4"/>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3"/>
            <w:shd w:val="clear" w:color="auto" w:fill="CCEEFF"/>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Exhibit 101)</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60" w:type="dxa"/>
            <w:vAlign w:val="bottom"/>
            <w:gridSpan w:val="4"/>
          </w:tcPr>
          <w:p>
            <w:pPr>
              <w:ind w:left="4780"/>
              <w:spacing w:after="0"/>
              <w:rPr>
                <w:sz w:val="20"/>
                <w:szCs w:val="20"/>
                <w:color w:val="auto"/>
              </w:rPr>
            </w:pPr>
            <w:r>
              <w:rPr>
                <w:rFonts w:ascii="Times New Roman" w:cs="Times New Roman" w:eastAsia="Times New Roman" w:hAnsi="Times New Roman"/>
                <w:sz w:val="14"/>
                <w:szCs w:val="14"/>
                <w:color w:val="auto"/>
              </w:rPr>
              <w:t>35</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1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P. JORDAN</w:t>
            </w:r>
          </w:p>
        </w:tc>
        <w:tc>
          <w:tcPr>
            <w:tcW w:w="258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9"/>
              </w:rPr>
              <w:t>By:</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RIVERA</w:t>
            </w:r>
          </w:p>
        </w:tc>
        <w:tc>
          <w:tcPr>
            <w:tcW w:w="2680" w:type="dxa"/>
            <w:vAlign w:val="bottom"/>
          </w:tcPr>
          <w:p>
            <w:pPr>
              <w:spacing w:after="0"/>
              <w:rPr>
                <w:sz w:val="22"/>
                <w:szCs w:val="22"/>
                <w:color w:val="auto"/>
              </w:rPr>
            </w:pPr>
          </w:p>
        </w:tc>
      </w:tr>
      <w:tr>
        <w:trPr>
          <w:trHeight w:val="198"/>
        </w:trPr>
        <w:tc>
          <w:tcPr>
            <w:tcW w:w="340" w:type="dxa"/>
            <w:vAlign w:val="bottom"/>
          </w:tcPr>
          <w:p>
            <w:pPr>
              <w:spacing w:after="0"/>
              <w:rPr>
                <w:sz w:val="17"/>
                <w:szCs w:val="17"/>
                <w:color w:val="auto"/>
              </w:rPr>
            </w:pPr>
          </w:p>
        </w:tc>
        <w:tc>
          <w:tcPr>
            <w:tcW w:w="2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JOHN P. JORDAN</w:t>
            </w:r>
          </w:p>
        </w:tc>
        <w:tc>
          <w:tcPr>
            <w:tcW w:w="2580" w:type="dxa"/>
            <w:vAlign w:val="bottom"/>
          </w:tcPr>
          <w:p>
            <w:pPr>
              <w:spacing w:after="0"/>
              <w:rPr>
                <w:sz w:val="17"/>
                <w:szCs w:val="17"/>
                <w:color w:val="auto"/>
              </w:rPr>
            </w:pPr>
          </w:p>
        </w:tc>
        <w:tc>
          <w:tcPr>
            <w:tcW w:w="2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ERIC RIVERA</w:t>
            </w:r>
          </w:p>
        </w:tc>
        <w:tc>
          <w:tcPr>
            <w:tcW w:w="26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5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w:t>
            </w:r>
          </w:p>
        </w:tc>
        <w:tc>
          <w:tcPr>
            <w:tcW w:w="2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5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Controller</w:t>
            </w:r>
          </w:p>
        </w:tc>
        <w:tc>
          <w:tcPr>
            <w:tcW w:w="26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58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80" w:type="dxa"/>
            <w:vAlign w:val="bottom"/>
          </w:tcPr>
          <w:p>
            <w:pPr>
              <w:spacing w:after="0"/>
              <w:rPr>
                <w:sz w:val="20"/>
                <w:szCs w:val="20"/>
                <w:color w:val="auto"/>
              </w:rPr>
            </w:pPr>
          </w:p>
        </w:tc>
      </w:tr>
      <w:tr>
        <w:trPr>
          <w:trHeight w:val="432"/>
        </w:trPr>
        <w:tc>
          <w:tcPr>
            <w:tcW w:w="3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Date: March 9, 2023</w:t>
            </w:r>
          </w:p>
        </w:tc>
        <w:tc>
          <w:tcPr>
            <w:tcW w:w="54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Date: March 9, 2023</w:t>
            </w:r>
          </w:p>
        </w:tc>
        <w:tc>
          <w:tcPr>
            <w:tcW w:w="2680" w:type="dxa"/>
            <w:vAlign w:val="bottom"/>
          </w:tcPr>
          <w:p>
            <w:pPr>
              <w:spacing w:after="0"/>
              <w:rPr>
                <w:sz w:val="24"/>
                <w:szCs w:val="24"/>
                <w:color w:val="auto"/>
              </w:rPr>
            </w:pPr>
          </w:p>
        </w:tc>
      </w:tr>
      <w:tr>
        <w:trPr>
          <w:trHeight w:val="598"/>
        </w:trPr>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85"/>
        </w:trPr>
        <w:tc>
          <w:tcPr>
            <w:tcW w:w="34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968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22"/>
          <w:szCs w:val="22"/>
          <w:b w:val="1"/>
          <w:bCs w:val="1"/>
          <w:color w:val="auto"/>
        </w:rPr>
        <w:t>RESTRICTED STOCK AWARD</w:t>
      </w:r>
    </w:p>
    <w:p>
      <w:pPr>
        <w:spacing w:after="0" w:line="18"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THIS AWARD OF RESTRICTED STOCK </w:t>
      </w:r>
      <w:r>
        <w:rPr>
          <w:rFonts w:ascii="Times New Roman" w:cs="Times New Roman" w:eastAsia="Times New Roman" w:hAnsi="Times New Roman"/>
          <w:sz w:val="18"/>
          <w:szCs w:val="18"/>
          <w:color w:val="auto"/>
        </w:rPr>
        <w:t>(this "Award") made as of the ____ day of ________________ 20___ by Photronics, Inc.,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Connecticut corporation (the "Company"), to </w:t>
      </w:r>
      <w:r>
        <w:rPr>
          <w:rFonts w:ascii="Times New Roman" w:cs="Times New Roman" w:eastAsia="Times New Roman" w:hAnsi="Times New Roman"/>
          <w:sz w:val="18"/>
          <w:szCs w:val="18"/>
          <w:b w:val="1"/>
          <w:bCs w:val="1"/>
          <w:color w:val="auto"/>
        </w:rPr>
        <w:t>_______________________________</w:t>
      </w:r>
      <w:r>
        <w:rPr>
          <w:rFonts w:ascii="Times New Roman" w:cs="Times New Roman" w:eastAsia="Times New Roman" w:hAnsi="Times New Roman"/>
          <w:sz w:val="18"/>
          <w:szCs w:val="18"/>
          <w:color w:val="auto"/>
        </w:rPr>
        <w:t xml:space="preserve"> (the "Recipient").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WITNESSETH:</w:t>
      </w:r>
    </w:p>
    <w:p>
      <w:pPr>
        <w:spacing w:after="0" w:line="229" w:lineRule="exact"/>
        <w:rPr>
          <w:sz w:val="20"/>
          <w:szCs w:val="20"/>
          <w:color w:val="auto"/>
        </w:rPr>
      </w:pPr>
    </w:p>
    <w:p>
      <w:pPr>
        <w:jc w:val="both"/>
        <w:ind w:left="34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The Company, in accordance with the approval of the Compensation Committee of the Board of Directors (the "Committee"), and subject to the terms and conditions of the Company's 2016 Equity Incentive Compensation Plan (the "Plan") has granted on the date hereof to Recipient a restricted stock award (the "Award") of </w:t>
      </w:r>
      <w:r>
        <w:rPr>
          <w:rFonts w:ascii="Times New Roman" w:cs="Times New Roman" w:eastAsia="Times New Roman" w:hAnsi="Times New Roman"/>
          <w:sz w:val="18"/>
          <w:szCs w:val="18"/>
          <w:b w:val="1"/>
          <w:bCs w:val="1"/>
          <w:color w:val="auto"/>
        </w:rPr>
        <w:t>_______________________________ (___________)</w:t>
      </w:r>
      <w:r>
        <w:rPr>
          <w:rFonts w:ascii="Times New Roman" w:cs="Times New Roman" w:eastAsia="Times New Roman" w:hAnsi="Times New Roman"/>
          <w:sz w:val="18"/>
          <w:szCs w:val="18"/>
          <w:color w:val="auto"/>
        </w:rPr>
        <w:t xml:space="preserve"> shares of the Company's common stock, par value $0.01 per share ("Common Stock"), conditioned upon the achievement of all of the terms and conditions set forth on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 xml:space="preserve"> hereto and subject to all of the specific terms and conditions set forth in this Award. Recipient acknowledges receipt of a copy of the Plan, which is incorporated herein by reference.</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xml:space="preserve">. The shares subject to the Award shall be forfeited unless all of the terms and conditions set forth in this Award (including the terms and conditions set forth on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 xml:space="preserve"> hereto) have been satisfied and complied with, or, to the extent permitted by the Plan, have been waived by the Committee. Until all risk of forfeiture of the shares subject to the Award shall have lapsed, the certificates representing such shares shall be held by the Company.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and Other Rights of Stockholder</w:t>
      </w:r>
      <w:r>
        <w:rPr>
          <w:rFonts w:ascii="Times New Roman" w:cs="Times New Roman" w:eastAsia="Times New Roman" w:hAnsi="Times New Roman"/>
          <w:sz w:val="18"/>
          <w:szCs w:val="18"/>
          <w:color w:val="auto"/>
        </w:rPr>
        <w:t xml:space="preserve">. Upon issuance in accordance with the Plan of the shares subject to the Award, Recipient shall, subject to the provisions of this Award and the Plan, have the rights of a stockholder with respect to such shares, including the right to vote such shares, but all dividends and distributions paid or made with respect to such shares shall be held by the Company subject to the restrictions, terms and conditions of this Award (including the terms and conditions set forth on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 xml:space="preserve"> hereto) and the Plan.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The Company will hold the restricted stock subject to this stock award agreement until the stock is released upon achievement of and compliance with all of the terms of this Award (including the terms and conditions set forth on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 xml:space="preserve"> hereto) and the Plan. Upon satisfaction of the terms of this Award and proper vesting of the stock, the stock will be released to a broker account registered in the name of Recipient, and, if deemed necessary by counsel to the Company, legended to evidence any commitments given or restrictions imposed pursuant to this instrument or otherwise.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jc w:val="both"/>
        <w:ind w:left="332" w:hanging="332"/>
        <w:spacing w:after="0" w:line="266"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of Employment</w:t>
      </w:r>
      <w:r>
        <w:rPr>
          <w:rFonts w:ascii="Times New Roman" w:cs="Times New Roman" w:eastAsia="Times New Roman" w:hAnsi="Times New Roman"/>
          <w:sz w:val="18"/>
          <w:szCs w:val="18"/>
          <w:color w:val="auto"/>
        </w:rPr>
        <w:t>. Nothing in the Plan or this Award shall confer upon Recipient any right to continue in the employ of the Company or any of its present or future Subsidiaries (as "Subsidiary" is defined in the Plan) or interfere in any way with the right of the Company or the Subsidiaries to terminate such employment at any time without liability to the Company or the Subsidiaries.</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Recipient, in accepting the Award, represents and agrees that, in the event of receipt of any shares subject to the Award:</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acquired will be acquired for investment and not with a view to the sale or distribution thereof; provided, however, that such restrictions shall be deemed removed and inoperative upon the registration under the Securities Act of 1933, as amended, of the shares of Common Stock subject to the Award; and,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2016 Equity Incentive Compensation Plan allows satisfaction of withholding taxes by "net settling" an equivalent value of shares. The Company will net settle the shares awarded hereunder. Please note that you still may owe additional taxes to the Federal government or your local State government depending on your tax bracket; however, if you participate in net settlement you will not owe any additional taxes to the Company.</w:t>
      </w:r>
    </w:p>
    <w:p>
      <w:pPr>
        <w:spacing w:after="0" w:line="179" w:lineRule="exact"/>
        <w:rPr>
          <w:rFonts w:ascii="Times New Roman" w:cs="Times New Roman" w:eastAsia="Times New Roman" w:hAnsi="Times New Roman"/>
          <w:sz w:val="18"/>
          <w:szCs w:val="18"/>
          <w:color w:val="auto"/>
        </w:rPr>
      </w:pPr>
    </w:p>
    <w:p>
      <w:pPr>
        <w:jc w:val="both"/>
        <w:ind w:left="97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number of shares of Common Stock that vest, from this stock award grant, will be treated as compensation, reported by the Company on IRS Form W-2, and subject to withholding for applicable income and employment taxes. The Company will determine the amount of your withholding in accordance with the applicable IRS regulations and satisfy this obligation by “netting” from your award shares of Common Stock with a fair market value equal to your obligation. The Company calculates withholding at the supplemental wage rate or the maximum withholding rate, as applicable, imposed by law where required.</w:t>
      </w:r>
    </w:p>
    <w:p>
      <w:pPr>
        <w:spacing w:after="0" w:line="183" w:lineRule="exact"/>
        <w:rPr>
          <w:rFonts w:ascii="Times New Roman" w:cs="Times New Roman" w:eastAsia="Times New Roman" w:hAnsi="Times New Roman"/>
          <w:sz w:val="18"/>
          <w:szCs w:val="18"/>
          <w:color w:val="auto"/>
        </w:rPr>
      </w:pPr>
    </w:p>
    <w:p>
      <w:pPr>
        <w:ind w:left="9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settlement is not available for non-US tax payers.</w:t>
      </w:r>
    </w:p>
    <w:p>
      <w:pPr>
        <w:spacing w:after="0" w:line="225" w:lineRule="exact"/>
        <w:rPr>
          <w:rFonts w:ascii="Times New Roman" w:cs="Times New Roman" w:eastAsia="Times New Roman" w:hAnsi="Times New Roman"/>
          <w:sz w:val="18"/>
          <w:szCs w:val="18"/>
          <w:color w:val="auto"/>
        </w:rPr>
      </w:pPr>
    </w:p>
    <w:p>
      <w:pPr>
        <w:ind w:left="972" w:right="4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restricted stock vests the tax basis in the shares relating to the vesting will equal the total pre-tax income included in your W-2. An example of how net settlement works is set forth below:</w:t>
      </w:r>
    </w:p>
    <w:p>
      <w:pPr>
        <w:spacing w:after="0" w:line="1" w:lineRule="exact"/>
        <w:rPr>
          <w:rFonts w:ascii="Times New Roman" w:cs="Times New Roman" w:eastAsia="Times New Roman" w:hAnsi="Times New Roman"/>
          <w:sz w:val="18"/>
          <w:szCs w:val="18"/>
          <w:color w:val="auto"/>
        </w:rPr>
      </w:pPr>
    </w:p>
    <w:p>
      <w:pPr>
        <w:ind w:left="972"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employee has a restricted stock grant of 100 shares that vested, 27 will be withheld by the Company immediately to cover for taxes and the remaining 73 shares delivered to the employee brokerage account.</w:t>
      </w:r>
    </w:p>
    <w:p>
      <w:pPr>
        <w:spacing w:after="0" w:line="161" w:lineRule="exact"/>
        <w:rPr>
          <w:rFonts w:ascii="Times New Roman" w:cs="Times New Roman" w:eastAsia="Times New Roman" w:hAnsi="Times New Roman"/>
          <w:sz w:val="18"/>
          <w:szCs w:val="18"/>
          <w:color w:val="auto"/>
        </w:rPr>
      </w:pPr>
    </w:p>
    <w:p>
      <w:pPr>
        <w:ind w:left="1072" w:hanging="100"/>
        <w:spacing w:after="0"/>
        <w:tabs>
          <w:tab w:leader="none" w:pos="107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W-2 income reported will include the total value of 100 shares as income.</w:t>
      </w:r>
    </w:p>
    <w:p>
      <w:pPr>
        <w:spacing w:after="0" w:line="225" w:lineRule="exact"/>
        <w:rPr>
          <w:rFonts w:ascii="Times New Roman" w:cs="Times New Roman" w:eastAsia="Times New Roman" w:hAnsi="Times New Roman"/>
          <w:sz w:val="18"/>
          <w:szCs w:val="18"/>
          <w:color w:val="auto"/>
        </w:rPr>
      </w:pPr>
    </w:p>
    <w:p>
      <w:pPr>
        <w:ind w:left="1072" w:hanging="100"/>
        <w:spacing w:after="0"/>
        <w:tabs>
          <w:tab w:leader="none" w:pos="107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W-2 taxes withheld will include the value of 27 shares withheld to pay income taxes.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8" w:name="page39"/>
    <w:bookmarkEnd w:id="38"/>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Successors and Assigns</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Until the shares subject to the Award are no longer subject to forfeiture, such shares shall not be transferable (except as permitted under the Plan, including without limitation Section 13(a) thereof) and may not be pledged or otherwise hypothecated. Subject to Section 8 below, if at any time Recipient is no longer employed by the Company or a Subsidiary for any reason, all shares subject to the Award which then remain subject to forfeiture, and all dividends and distributions with respect to such shares, shall thereupon be forfeited and automatically transferred to and re-acquired by the Company at no cost to the Company. The Award shall not be affected by any change of employment so long as Recipient continues to be an employee of the Company or any Subsidiary thereof or of a corporation or its parent or subsidiary issuing or assuming stock options of the Company in a transaction to which Section 424(a) of the Internal Revenue Code of 1986, as amended, applies. If Recipient is employed by a Subsidiary which, for any reason, ceases to be a Subsidiary, Recipient's employment with such Subsidiary shall be deemed to be terminated on the date that such Subsidiary ceases to be a Subsidiary. This Award shall be binding upon and enure to the benefits of any successor or assignee of the Company.</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on Certain Terminations</w:t>
      </w:r>
      <w:r>
        <w:rPr>
          <w:rFonts w:ascii="Times New Roman" w:cs="Times New Roman" w:eastAsia="Times New Roman" w:hAnsi="Times New Roman"/>
          <w:sz w:val="18"/>
          <w:szCs w:val="18"/>
          <w:color w:val="auto"/>
        </w:rPr>
        <w:t>. Notwithstanding anything to the contrary contained herein, if Recipient's employment is terminated with the consent of the Company or by reason of death, disability, or normal retirement, the Committee may, in its sole discretion, deem that the restrictions, terms, and conditions of this Award have been met for all or part of the shares subject hereto, subject to further terms and conditions, if any, as the Committee may determine.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Competitive Activities</w:t>
      </w:r>
      <w:r>
        <w:rPr>
          <w:rFonts w:ascii="Times New Roman" w:cs="Times New Roman" w:eastAsia="Times New Roman" w:hAnsi="Times New Roman"/>
          <w:sz w:val="18"/>
          <w:szCs w:val="18"/>
          <w:color w:val="auto"/>
        </w:rPr>
        <w:t>. If, while an employee or director of the Company or a Subsidiary thereof or at any time within one (1) year after Recipient ceases to be an employee or non-employee director of the Company or a Subsidiary thereof, Recipient engages in any activity in competition with any activity of the Company or a Subsidiary thereof, including, but not limited to:</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related to the Recipient's employment for which either criminal or civil penalties against the Recipient may be sought;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Company policies, including, without limitation, the Company's insider trading policy;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employment with or serving as a consultant, advisor or in any other capacity to an employer that is in competition with or acting against the interests of the Company or a Subsidiary thereof, including employing or recruiting any present, former or future employee of the Company or a Subsidiary thereof;</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or misusing any confidential information or material concerning the Company;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hostile takeover attempt, then:</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and any stock options and other restricted stock awards from the Company (collectively "Grants") shall terminate effective the date on which Recipient enters into such activity, unless terminated sooner by operation of another term or condition of the Plan or the plan under which such Grants were granted;</w:t>
      </w:r>
    </w:p>
    <w:p>
      <w:pPr>
        <w:spacing w:after="0" w:line="176" w:lineRule="exact"/>
        <w:rPr>
          <w:sz w:val="20"/>
          <w:szCs w:val="20"/>
          <w:color w:val="auto"/>
        </w:rPr>
      </w:pPr>
    </w:p>
    <w:p>
      <w:pPr>
        <w:jc w:val="both"/>
        <w:ind w:left="1620" w:hanging="316"/>
        <w:spacing w:after="0" w:line="261"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closing market value on the date the forfeiture provision expired for all shares subject to the restricted stock awards included in the Grants as to which the forfeiture provision expired within one (1) year prior to the date (the "Termination Date") that Recipient ceased to be a director, employee, consultant, advisor, or independent contractor, or within one (1) year after the Termination Date, shall be paid by the Recipient to the Company.</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By accepting this Award, Recipient consents to a deduction from any amounts the Company owes the Recipient from time to time (including amounts owed as wages or other compensation, fringe benefits or vacation pay, as well as any other amounts owed by the Company), to the extent of the amounts the Recipient owes the Company under the foregoing provisions of this Section 9. Whether or not the Company elects to make any set-off in whole or in part, if the Company does not recover by means of set-off the full amount the Recipient owes it, calculated as set forth above, the Recipient agrees to pay immediately the unpaid balance to the Company. Recipient may be released from his/her obligations under this Section 9 only by the Board of Directors or the Compensation Committee of the Company.</w:t>
      </w:r>
    </w:p>
    <w:p>
      <w:pPr>
        <w:spacing w:after="0" w:line="18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The Award and Recipient shall be subject to and bound by the terms and conditions of the Plan, including relating to exercise thereof.</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(together with the Plan) constitutes the entire obligation of the Company as to the subject matter hereof, superseding any and all prior written and prior or contemporaneous oral agreements or understandings.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and interpretation of this agreement shall be governed by, and construed in accordance with, the laws of the State of Connecticut, without regard to the choice of law principles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LEFT BLANK]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 WITNESS WHEREOF</w:t>
      </w:r>
      <w:r>
        <w:rPr>
          <w:rFonts w:ascii="Times New Roman" w:cs="Times New Roman" w:eastAsia="Times New Roman" w:hAnsi="Times New Roman"/>
          <w:sz w:val="18"/>
          <w:szCs w:val="18"/>
          <w:color w:val="auto"/>
        </w:rPr>
        <w:t>, the undersigned have hereunto set their hands as of the day and year first above written.</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PHOTRONICS, INC.</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EVP, 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-120650</wp:posOffset>
            </wp:positionV>
            <wp:extent cx="21342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257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1342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vesting of the Shares shall be subject to the following conditions: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ONE-QUARTER</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the shares shall vest on the first anniversary after the date of this Award so long as Recipient is still an employee of</w:t>
            </w:r>
          </w:p>
        </w:tc>
      </w:tr>
      <w:tr>
        <w:trPr>
          <w:trHeight w:val="238"/>
        </w:trPr>
        <w:tc>
          <w:tcPr>
            <w:tcW w:w="22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 or a Subsidiary thereof</w:t>
            </w:r>
            <w:r>
              <w:rPr>
                <w:rFonts w:ascii="Times New Roman" w:cs="Times New Roman" w:eastAsia="Times New Roman" w:hAnsi="Times New Roman"/>
                <w:sz w:val="18"/>
                <w:szCs w:val="18"/>
                <w:b w:val="1"/>
                <w:bCs w:val="1"/>
                <w:color w:val="auto"/>
              </w:rPr>
              <w:t>.</w:t>
            </w:r>
          </w:p>
        </w:tc>
      </w:tr>
      <w:tr>
        <w:trPr>
          <w:trHeight w:val="630"/>
        </w:trPr>
        <w:tc>
          <w:tcPr>
            <w:tcW w:w="2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ONE-QUARTER</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the shares shall vest on the second anniversary after the date of this Award so long as Recipient is still an employee</w:t>
            </w:r>
          </w:p>
        </w:tc>
      </w:tr>
      <w:tr>
        <w:trPr>
          <w:trHeight w:val="234"/>
        </w:trPr>
        <w:tc>
          <w:tcPr>
            <w:tcW w:w="22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the Company or a Subsidiary thereof.</w:t>
            </w:r>
          </w:p>
        </w:tc>
      </w:tr>
      <w:tr>
        <w:trPr>
          <w:trHeight w:val="630"/>
        </w:trPr>
        <w:tc>
          <w:tcPr>
            <w:tcW w:w="2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ONE-QUARTER</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the shares shall vest on the third anniversary after the date of this Award so long as Recipient is still an employee of</w:t>
            </w:r>
          </w:p>
        </w:tc>
      </w:tr>
      <w:tr>
        <w:trPr>
          <w:trHeight w:val="234"/>
        </w:trPr>
        <w:tc>
          <w:tcPr>
            <w:tcW w:w="22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 or a Subsidiary thereof.</w:t>
            </w:r>
          </w:p>
        </w:tc>
      </w:tr>
      <w:tr>
        <w:trPr>
          <w:trHeight w:val="630"/>
        </w:trPr>
        <w:tc>
          <w:tcPr>
            <w:tcW w:w="2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ONE-QUARTER</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of the shares shall vest on the fourth anniversary after the date of this Award so long as Recipient is still an employee of</w:t>
            </w:r>
          </w:p>
        </w:tc>
      </w:tr>
      <w:tr>
        <w:trPr>
          <w:trHeight w:val="234"/>
        </w:trPr>
        <w:tc>
          <w:tcPr>
            <w:tcW w:w="22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 or a Subsidiary thereof.</w:t>
            </w:r>
          </w:p>
        </w:tc>
      </w:tr>
      <w:tr>
        <w:trPr>
          <w:trHeight w:val="598"/>
        </w:trPr>
        <w:tc>
          <w:tcPr>
            <w:tcW w:w="2280" w:type="dxa"/>
            <w:vAlign w:val="bottom"/>
          </w:tcPr>
          <w:p>
            <w:pPr>
              <w:spacing w:after="0"/>
              <w:rPr>
                <w:sz w:val="24"/>
                <w:szCs w:val="24"/>
                <w:color w:val="auto"/>
              </w:rPr>
            </w:pPr>
          </w:p>
        </w:tc>
        <w:tc>
          <w:tcPr>
            <w:tcW w:w="89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6</w:t>
            </w:r>
          </w:p>
        </w:tc>
      </w:tr>
      <w:tr>
        <w:trPr>
          <w:trHeight w:val="85"/>
        </w:trPr>
        <w:tc>
          <w:tcPr>
            <w:tcW w:w="2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969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 INCENTIVE STOCK OPTION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PHOTRONICS, INC</w:t>
      </w:r>
      <w:r>
        <w:rPr>
          <w:rFonts w:ascii="Times New Roman" w:cs="Times New Roman" w:eastAsia="Times New Roman" w:hAnsi="Times New Roman"/>
          <w:sz w:val="18"/>
          <w:szCs w:val="18"/>
          <w:color w:val="auto"/>
        </w:rPr>
        <w:t>., a Connecticut corporation (the "Company"), hereby grants _____________________ (the "Optionee"), an option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purchase a total of </w:t>
      </w:r>
      <w:r>
        <w:rPr>
          <w:rFonts w:ascii="Times New Roman" w:cs="Times New Roman" w:eastAsia="Times New Roman" w:hAnsi="Times New Roman"/>
          <w:sz w:val="18"/>
          <w:szCs w:val="18"/>
          <w:b w:val="1"/>
          <w:bCs w:val="1"/>
          <w:i w:val="1"/>
          <w:iCs w:val="1"/>
          <w:color w:val="auto"/>
        </w:rPr>
        <w:t>_______________ (___________)</w:t>
      </w:r>
      <w:r>
        <w:rPr>
          <w:rFonts w:ascii="Times New Roman" w:cs="Times New Roman" w:eastAsia="Times New Roman" w:hAnsi="Times New Roman"/>
          <w:sz w:val="18"/>
          <w:szCs w:val="18"/>
          <w:color w:val="auto"/>
        </w:rPr>
        <w:t xml:space="preserve"> shares of common stock, par value $.01 per share ("Common Stock") of the Company, at the price</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determined as provided herein, and in all respects subject to the terms, definitions and provisions of the Company's 2016 Equity Incentive Compensation Plan (the "Plan"), which is incorporated herein by reference.</w:t>
      </w:r>
    </w:p>
    <w:p>
      <w:pPr>
        <w:spacing w:after="0" w:line="20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Option</w:t>
      </w:r>
    </w:p>
    <w:p>
      <w:pPr>
        <w:spacing w:after="0" w:line="31"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hereunder are intended to be an "incentive stock option" under Section 422 of the Internal Revenue Code of 1986, as amended (the "Code"). The terms of any option granted hereunder shall comply in all respects with the provisions of Section 422 of the Code, or any successor provision thereto, as amended from time to time. The options granted hereunder are granted subject to the provisions of Section 8(e) of the Plan relating to Incentive Stock Options.</w:t>
      </w:r>
    </w:p>
    <w:p>
      <w:pPr>
        <w:spacing w:after="0" w:line="21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Price</w:t>
      </w:r>
    </w:p>
    <w:p>
      <w:pPr>
        <w:spacing w:after="0" w:line="3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price of the options granted hereunder is $__.__ for each share.</w:t>
      </w:r>
    </w:p>
    <w:p>
      <w:pPr>
        <w:spacing w:after="0" w:line="20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w:t>
      </w:r>
    </w:p>
    <w:p>
      <w:pPr>
        <w:spacing w:after="0" w:line="3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 shall be exercisable in accordance with the provisions of the Plan as follows:</w:t>
      </w:r>
    </w:p>
    <w:p>
      <w:pPr>
        <w:spacing w:after="0" w:line="20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Right to Exercise</w:t>
      </w:r>
    </w:p>
    <w:p>
      <w:pPr>
        <w:spacing w:after="0" w:line="31"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hereunder shall be exercisable (subject to the conditions as to employment and other matters contained herein or in the Plan) with respect to one-fourth (1/4) of the shares purchasable hereunder on and after the first anniversary date of grant and, on a cumulative basis, with respect to an additional one-fourth (1/4) of such shares on each anniversary of its grant, so that the options granted hereunder shall be exercisable, to the extent not previously exercised, with respect to all of the shares purchasable hereunder, on and after the fourth anniversary of the date of grant.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Method of Exercise</w:t>
      </w:r>
    </w:p>
    <w:p>
      <w:pPr>
        <w:spacing w:after="0" w:line="31" w:lineRule="exact"/>
        <w:rPr>
          <w:rFonts w:ascii="Times New Roman" w:cs="Times New Roman" w:eastAsia="Times New Roman" w:hAnsi="Times New Roman"/>
          <w:sz w:val="18"/>
          <w:szCs w:val="18"/>
          <w:color w:val="auto"/>
        </w:rPr>
      </w:pP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hereunder shall be exercisable by delivery of a notice of exercise in a form approved by the Company, which notice shall state the election to exercise the option, the number of shares in respect of which the option is being exercised, and such other representations and agreements as to the holder's investment intent with respect to such shares of Common Stock as may be required by the Company pursuant to the provisions of the Plan or this agreement. Such written notice shall be signed by the Optionee and shall be delivered in person or by certified mail to the Secretary of the Company. The written notice shall be accompanied by payment of the purchase price. Payment of the purchase price shall be in cash or cash equivalents (certified check, bank draft or money order), or by such other means as the Administrator may authorize, in each case pursuant to the provisions of the Plan. Unless the shares of Common Stock have been registered under the Securities Act of 1933, as amended, pursuant to a registration statement filed on Form S-8 or otherwise, the certificate or certificates for shares of Common Stock as to which the option shall be exercised shall be registered in the name of the Optionee and shall contain the following legend:</w:t>
      </w:r>
    </w:p>
    <w:p>
      <w:pPr>
        <w:spacing w:after="0" w:line="193"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AS AMENDED (THE "ACT"), AND HAVE BEEN ACQUIRED FOR INVESTMENT PURPOSES ONLY AND NOT WITH A VIEW TO THE DISTRIBUTION THEREOF, AND SUCH SECURITIES MAY NOT BE SOLD OR TRANSFERRED UNLESS SUCH SALE OR TRANSFER IS REGISTERED UNDER THE ACT OR THE COMPANY RECEIVES AN OPINION OF COUNSEL FOR THE HOLDER OF THESE SECURITIES SATISFACTORY TO THE COMPANY STATING THAT SUCH SALE OR TRANSFER IS EXEMPT FROM THE REGISTRATION REQUIREMENTS OF THE ACT, AND UNLESS SUCH SALE OR TRANSFER IS AUTHORIZED UNDER APPLICABLE STATE LAW."</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Restrictions on Exercise</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hereunder may not be exercised if the issuance of such shares upon such exercise would constitute a violation of any applicable federal or state securities laws or other law or regulation. As a condition to the exercise of the options granted hereunder, the Company may require the Optionee to make any representation and warranty to the Company as may be required by any applicable law or regulation.</w:t>
      </w:r>
    </w:p>
    <w:p>
      <w:pPr>
        <w:spacing w:after="0" w:line="20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of Options and Repayment of Market Value of Options</w:t>
      </w:r>
    </w:p>
    <w:p>
      <w:pPr>
        <w:spacing w:after="0" w:line="31" w:lineRule="exact"/>
        <w:rPr>
          <w:rFonts w:ascii="Times New Roman" w:cs="Times New Roman" w:eastAsia="Times New Roman" w:hAnsi="Times New Roman"/>
          <w:sz w:val="18"/>
          <w:szCs w:val="18"/>
          <w:b w:val="1"/>
          <w:bCs w:val="1"/>
          <w:color w:val="auto"/>
        </w:rPr>
      </w:pPr>
    </w:p>
    <w:p>
      <w:pPr>
        <w:jc w:val="both"/>
        <w:ind w:left="340" w:right="20"/>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If, while an employee of the Company or a Subsidiary or at any time within one (1) year after Optionee ceases to be an employee of the Company or the Subsidiary, Optionee engages in any activity in competition with any activity of the Company or a Subsidiary thereof, including, but not limited to:</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related to the Optionee's employment for which either criminal or civil penalties against the Optionee may be sought;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Company policies, including, without limitation, the Company's insider trading policy;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employment with or serving as a consultant, advisor or in any other capacity to an employer that is in competition with or acting against the interests of the Company or its Subsidiaries, including employing or recruiting any present, former or future employee of the Company or a Subsidiary thereof;</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or mis-using any confidential information or material concerning the Company or its Subsidiaries;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hostile takeover attempt, then:</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under this agreement and any other stock options and stock awards from the Company (collectively referred to as "Grants") shall terminate effective the date on which the Optionee enters into such activity, unless terminated sooner by operation of another term or condition of the Plan or the plan under which such Grants were granted;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difference between the exercise price of options included in the Grants which were exercised within one (1) year prior to the date (the "Termination Date") Optionee ceased to be an employee, consultant, advisor, or independent contractor of the Company or a Subsidiary thereof or within one (1) year after the Termination Date and the closing market value on the date of exercise of such shares covered by such options shall be paid by the Optionee to the Company; and</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closing market value on the date the forfeiture provision expired for all shares subject to restricted stock awards included in the Grants as to which the forfeiture provision expired within one (1) year prior to or after the Termination Date, shall be paid by the Optionee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-2147570</wp:posOffset>
            </wp:positionV>
            <wp:extent cx="25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-2164715</wp:posOffset>
            </wp:positionV>
            <wp:extent cx="28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By accepting the options subject to this agreement, the Optionee consents to a deduction from any amounts the Company owes the Optionee from time to time (including amounts owed as wages or other compensation, fringe benefits or vacation pay, as well as any other amounts owed by the Company), to the extent of the amounts the Optionee owes the Company under the foregoing provisions of this Section 4. Whether or not the Company elects to make any set-off in whole or in part, if the Company does not recover by means of set-off the full amount the Optionee owes it, calculated as set forth above, the Optionee agrees to pay immediately the unpaid balance to the Company. In addition, if Optionee fails to pay the Company the full amount due within 30 days of demand by the Company, Optionee agrees to pay the Company’s reasonable costs of collection (including attorney’s fees) as well as interest on the unpaid amount at the rate of 1% per month or if less, the maximum rate allowed by law, for each day that such amount remains unpaid. Optionee may be released from his/her obligations under this Section 4 only by the Board of Directors or the Compensation Committee of the Company.</w:t>
      </w:r>
    </w:p>
    <w:p>
      <w:pPr>
        <w:spacing w:after="0" w:line="21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 of Option, Successors and Assigns</w:t>
      </w:r>
    </w:p>
    <w:p>
      <w:pPr>
        <w:spacing w:after="0" w:line="31"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permitted under the Plan (including without limitation Section 13 thereof), the options granted hereunder may not be transferred in any manner and may be exercised during the lifetime of the Optionee only by the Optionee. The terms of this agreement shall be binding upon the executors, administrators, heirs, successors and assigns of the Optionee. This Award shall be binding upon and enure to the benefits of any successor or assignee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Option</w:t>
      </w:r>
    </w:p>
    <w:p>
      <w:pPr>
        <w:spacing w:after="0" w:line="31" w:lineRule="exact"/>
        <w:rPr>
          <w:rFonts w:ascii="Times New Roman" w:cs="Times New Roman" w:eastAsia="Times New Roman" w:hAnsi="Times New Roman"/>
          <w:sz w:val="18"/>
          <w:szCs w:val="18"/>
          <w:b w:val="1"/>
          <w:bCs w:val="1"/>
          <w:color w:val="auto"/>
        </w:rPr>
      </w:pPr>
    </w:p>
    <w:p>
      <w:pPr>
        <w:ind w:left="34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hereunder may not be exercised more than 10 years from the date of this agreement, and may be exercised during such term only in accordance with the Plan and the terms of this agreement.</w:t>
      </w:r>
    </w:p>
    <w:p>
      <w:pPr>
        <w:spacing w:after="0" w:line="20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31"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employment with the Company or a Subsidiary (as defined in the Plan) is terminated by you or the Company (except as provided in Section 4) for any reason other than disability or death, you may exercise the option, to the extent that you would otherwise be entitled to do so at the date of termination of employment, at any time within 30 days after the date of termination, but not after the expiration date of the option.</w:t>
      </w:r>
    </w:p>
    <w:p>
      <w:pPr>
        <w:spacing w:after="0" w:line="208"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31" w:lineRule="exact"/>
        <w:rPr>
          <w:rFonts w:ascii="Times New Roman" w:cs="Times New Roman" w:eastAsia="Times New Roman" w:hAnsi="Times New Roman"/>
          <w:sz w:val="18"/>
          <w:szCs w:val="18"/>
          <w:b w:val="1"/>
          <w:bCs w:val="1"/>
          <w:color w:val="auto"/>
        </w:rPr>
      </w:pPr>
    </w:p>
    <w:p>
      <w:pPr>
        <w:ind w:left="3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reserves the right to make whatever arrangements it deems appropriate for the withholding of any taxes in connection with any transaction contemplated by this agreement or the Plan, and the Optionee hereby consents to such arrangements.</w:t>
      </w:r>
    </w:p>
    <w:p>
      <w:pPr>
        <w:spacing w:after="0" w:line="20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3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(together with the Plan) supersedes any other agreement, written or oral, between the parties with respect to the subject matter hereof.</w:t>
      </w:r>
    </w:p>
    <w:p>
      <w:pPr>
        <w:spacing w:after="0" w:line="20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31" w:lineRule="exact"/>
        <w:rPr>
          <w:rFonts w:ascii="Times New Roman" w:cs="Times New Roman" w:eastAsia="Times New Roman" w:hAnsi="Times New Roman"/>
          <w:sz w:val="18"/>
          <w:szCs w:val="18"/>
          <w:b w:val="1"/>
          <w:bCs w:val="1"/>
          <w:color w:val="auto"/>
        </w:rPr>
      </w:pPr>
    </w:p>
    <w:p>
      <w:pPr>
        <w:ind w:left="34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questions concerning the construction, validity and interpretation of this agreement shall be governed by, and construed in accordance with, the laws of the State of Connecticut, without regard to the choice of law principles thereof.</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wp:posOffset>
            </wp:positionV>
            <wp:extent cx="13544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54455" cy="17145"/>
                    </a:xfrm>
                    <a:prstGeom prst="rect">
                      <a:avLst/>
                    </a:prstGeom>
                    <a:noFill/>
                  </pic:spPr>
                </pic:pic>
              </a:graphicData>
            </a:graphic>
          </wp:anchor>
        </w:drawing>
      </w:r>
    </w:p>
    <w:p>
      <w:pPr>
        <w:spacing w:after="0" w:line="22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Richelle E.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-127635</wp:posOffset>
            </wp:positionV>
            <wp:extent cx="21342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EVP, Chief Administrative Officer,</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this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 day of 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24257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9690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NON-QUALIFIED STOCK OPTION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PHOTRONICS, INC., a Connecticut corporation (the "Company"), hereby grants </w:t>
      </w:r>
      <w:r>
        <w:rPr>
          <w:rFonts w:ascii="Times New Roman" w:cs="Times New Roman" w:eastAsia="Times New Roman" w:hAnsi="Times New Roman"/>
          <w:sz w:val="18"/>
          <w:szCs w:val="18"/>
          <w:b w:val="1"/>
          <w:bCs w:val="1"/>
          <w:i w:val="1"/>
          <w:iCs w:val="1"/>
          <w:color w:val="auto"/>
        </w:rPr>
        <w:t>_______________________________</w:t>
      </w:r>
      <w:r>
        <w:rPr>
          <w:rFonts w:ascii="Times New Roman" w:cs="Times New Roman" w:eastAsia="Times New Roman" w:hAnsi="Times New Roman"/>
          <w:sz w:val="18"/>
          <w:szCs w:val="18"/>
          <w:color w:val="auto"/>
        </w:rPr>
        <w:t xml:space="preserve"> (the "Optionee") 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option to purchase a total of ________________ </w:t>
      </w:r>
      <w:r>
        <w:rPr>
          <w:rFonts w:ascii="Times New Roman" w:cs="Times New Roman" w:eastAsia="Times New Roman" w:hAnsi="Times New Roman"/>
          <w:sz w:val="18"/>
          <w:szCs w:val="18"/>
          <w:b w:val="1"/>
          <w:bCs w:val="1"/>
          <w:i w:val="1"/>
          <w:iCs w:val="1"/>
          <w:color w:val="auto"/>
        </w:rPr>
        <w:t>(_______)</w:t>
      </w:r>
      <w:r>
        <w:rPr>
          <w:rFonts w:ascii="Times New Roman" w:cs="Times New Roman" w:eastAsia="Times New Roman" w:hAnsi="Times New Roman"/>
          <w:sz w:val="18"/>
          <w:szCs w:val="18"/>
          <w:color w:val="auto"/>
        </w:rPr>
        <w:t xml:space="preserve"> shares of common stock, par value $.01 per share ("Common Stock"), of the Company, at the</w:t>
      </w:r>
    </w:p>
    <w:p>
      <w:pPr>
        <w:spacing w:after="0" w:line="9"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price determined as provided herein, and in all respects subject to the terms, definitions and provisions of the Company's 2016 Equity Incentive Compensation Plan (the "Plan"), which is incorporated herein by reference.</w:t>
      </w:r>
    </w:p>
    <w:p>
      <w:pPr>
        <w:spacing w:after="0" w:line="177"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Option</w:t>
      </w:r>
    </w:p>
    <w:p>
      <w:pPr>
        <w:spacing w:after="0" w:line="3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The options granted hereunder are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intended to be an "incentive stock option" under Section 422 of the Internal Revenue Code of 1986, as amended.</w:t>
      </w:r>
    </w:p>
    <w:p>
      <w:pPr>
        <w:spacing w:after="0" w:line="21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Price</w:t>
      </w:r>
    </w:p>
    <w:p>
      <w:pPr>
        <w:spacing w:after="0" w:line="3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price of the options granted hereunder is $__.__ for each share.</w:t>
      </w:r>
    </w:p>
    <w:p>
      <w:pPr>
        <w:spacing w:after="0" w:line="20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w:t>
      </w:r>
    </w:p>
    <w:p>
      <w:pPr>
        <w:spacing w:after="0" w:line="31" w:lineRule="exact"/>
        <w:rPr>
          <w:rFonts w:ascii="Times New Roman" w:cs="Times New Roman" w:eastAsia="Times New Roman" w:hAnsi="Times New Roman"/>
          <w:sz w:val="18"/>
          <w:szCs w:val="18"/>
          <w:b w:val="1"/>
          <w:bCs w:val="1"/>
          <w:color w:val="auto"/>
        </w:rPr>
      </w:pPr>
    </w:p>
    <w:p>
      <w:pPr>
        <w:ind w:left="340" w:right="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hereunder shall be exercisable by delivery of a notice of exercise in a form approved by the Company, which notice shall state the election to exercise the option, the number of shares in respect of which the option is being exercised, and such other representations and agreements as to the holder's investment intent with respect to such shares of Common Stock as may be required by the Company pursuant to the provisions of the Plan or this agreement. Such written notice shall be signed by the Optionee (or other person entitled to exercise the option pursuant to the provisions of this agreement or the Plan) and shall be delivered in person or by certified mail to the Secretary of the Company. The written notice shall be accompanied by payment of the purchase price. Payment of the purchase price shall be in cash or cash equivalents, shares of Common Stock or a combination thereof, by net share settlement or similar procedure, (by "cashless exercise") or by such other means as the Administrator may authorize, in each case pursuant to the provisions of the Plan. Unless the shares of Common Stock have been registered under the Securities Act of 1933, as amended, pursuant to a registration statement filed on Form S-8 or otherwise, the certificate or certificates for shares of Common Stock as to which the option shall be exercised shall be registered in the name of the Optionee and shall contain the following legend:</w:t>
      </w:r>
    </w:p>
    <w:p>
      <w:pPr>
        <w:spacing w:after="0" w:line="192" w:lineRule="exact"/>
        <w:rPr>
          <w:rFonts w:ascii="Times New Roman" w:cs="Times New Roman" w:eastAsia="Times New Roman" w:hAnsi="Times New Roman"/>
          <w:sz w:val="18"/>
          <w:szCs w:val="18"/>
          <w:b w:val="1"/>
          <w:bCs w:val="1"/>
          <w:color w:val="auto"/>
        </w:rPr>
      </w:pPr>
    </w:p>
    <w:p>
      <w:pPr>
        <w:ind w:left="340" w:right="8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SHARES REPRESENTED BY THIS CERTIFICATE HAVE NOT BEEN REGISTERED UNDER THE SECURITIES ACT OF 1933, AS AMENDED (THE "ACT"), AND HAVE BEEN ACQUIRED FOR INVESTMENT PURPOSES ONLY AND NOT WITH A VIEW TO THE DISTRIBUTION THEREOF, AND SUCH SECURITIES MAY NOT BE SOLD OR TRANSFERRED UNLESS SUCH SALE OR TRANSFER IS REGISTERED UNDER THE ACT OR THE COMPANY RECEIVES AN OPINION OF COUNSEL FOR THE HOLDER OF THESE SECURITIES SATISFACTORY TO THE COMPANY STATING THAT SUCH SALE OR TRANSFER IS EXEMPT FROM THE REGISTRATION REQUIREMENTS OF THE ACT, AND UNLESS SUCH SALE OR TRANSFER IS AUTHORIZED UNDER APPLICABLE STATE LAW."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ind w:left="332" w:hanging="332"/>
        <w:spacing w:after="0"/>
        <w:tabs>
          <w:tab w:leader="none" w:pos="33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of Options and Repayment of Market Value of Options</w:t>
      </w:r>
    </w:p>
    <w:p>
      <w:pPr>
        <w:spacing w:after="0" w:line="31" w:lineRule="exact"/>
        <w:rPr>
          <w:rFonts w:ascii="Times New Roman" w:cs="Times New Roman" w:eastAsia="Times New Roman" w:hAnsi="Times New Roman"/>
          <w:sz w:val="18"/>
          <w:szCs w:val="18"/>
          <w:b w:val="1"/>
          <w:bCs w:val="1"/>
          <w:color w:val="auto"/>
        </w:rPr>
      </w:pPr>
    </w:p>
    <w:p>
      <w:pPr>
        <w:ind w:left="332" w:right="2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while an employee of the Company or a Subsidiary thereof or at any time within one (1) year after Optionee ceases to be an employee or Non-Employee Director of the Company or a Subsidiary thereof, Optionee engages in any activity in competition with any activity of the Company or a Subsidiary thereof, including, but not limited to:</w:t>
      </w:r>
    </w:p>
    <w:p>
      <w:pPr>
        <w:spacing w:after="0" w:line="185"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related to the Optionee's employment for which either criminal or civil penalties against the Optionee may be sought;</w:t>
      </w:r>
    </w:p>
    <w:p>
      <w:pPr>
        <w:spacing w:after="0" w:line="22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Company policies, including, without limitation, the Company's insider trading policy;</w:t>
      </w:r>
    </w:p>
    <w:p>
      <w:pPr>
        <w:spacing w:after="0" w:line="225" w:lineRule="exact"/>
        <w:rPr>
          <w:rFonts w:ascii="Times New Roman" w:cs="Times New Roman" w:eastAsia="Times New Roman" w:hAnsi="Times New Roman"/>
          <w:sz w:val="18"/>
          <w:szCs w:val="18"/>
          <w:color w:val="auto"/>
        </w:rPr>
      </w:pPr>
    </w:p>
    <w:p>
      <w:pPr>
        <w:ind w:left="652" w:hanging="328"/>
        <w:spacing w:after="0" w:line="266" w:lineRule="auto"/>
        <w:tabs>
          <w:tab w:leader="none" w:pos="6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employment with or serving as a consultant, advisor or in any other capacity to an employer that is in competition with or acting against the interests of the Company or its Subsidiaries, including employing or recruiting any present, former or future employee of the Company or a Subsidiary thereof;</w:t>
      </w:r>
    </w:p>
    <w:p>
      <w:pPr>
        <w:spacing w:after="0" w:line="17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or mis-using any confidential information or material concerning the Company or its Subsidiaries; or</w:t>
      </w:r>
    </w:p>
    <w:p>
      <w:pPr>
        <w:spacing w:after="0" w:line="22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hostile takeover attempt, then:</w:t>
      </w:r>
    </w:p>
    <w:p>
      <w:pPr>
        <w:spacing w:after="0" w:line="252" w:lineRule="exact"/>
        <w:rPr>
          <w:rFonts w:ascii="Times New Roman" w:cs="Times New Roman" w:eastAsia="Times New Roman" w:hAnsi="Times New Roman"/>
          <w:sz w:val="18"/>
          <w:szCs w:val="18"/>
          <w:color w:val="auto"/>
        </w:rPr>
      </w:pPr>
    </w:p>
    <w:p>
      <w:pPr>
        <w:ind w:left="1052" w:right="260" w:hanging="323"/>
        <w:spacing w:after="0" w:line="266" w:lineRule="auto"/>
        <w:tabs>
          <w:tab w:leader="none" w:pos="105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under this agreement and any other stock options and stock awards from the Company (collectively referred to as "Grants") shall terminate effective the date on which the Optionee enters into such activity, unless terminated sooner by operation of another term or condition of the Plan or the plan under which such Grants were granted;</w:t>
      </w:r>
    </w:p>
    <w:p>
      <w:pPr>
        <w:spacing w:after="0" w:line="202" w:lineRule="exact"/>
        <w:rPr>
          <w:rFonts w:ascii="Times New Roman" w:cs="Times New Roman" w:eastAsia="Times New Roman" w:hAnsi="Times New Roman"/>
          <w:sz w:val="18"/>
          <w:szCs w:val="18"/>
          <w:color w:val="auto"/>
        </w:rPr>
      </w:pPr>
    </w:p>
    <w:p>
      <w:pPr>
        <w:ind w:left="1052" w:right="160" w:hanging="323"/>
        <w:spacing w:after="0" w:line="261" w:lineRule="auto"/>
        <w:tabs>
          <w:tab w:leader="none" w:pos="105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difference between the exercise price of options included in the Grants which were exercised within one (1) year prior to the date (the "Termination Date") Optionee ceased to be an employee, consultant, advisor, or independent contractor of the Company or a Subsidiary thereof or within one (1) year after the Termination Date and the closing market value on the date of exercise of such shares covered by such options shall be paid by the Optionee to the Company;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17" w:right="399" w:bottom="1440" w:gutter="0" w:footer="0" w:header="0"/>
        </w:sectPr>
      </w:pPr>
    </w:p>
    <w:bookmarkStart w:id="49" w:name="page50"/>
    <w:bookmarkEnd w:id="49"/>
    <w:p>
      <w:pPr>
        <w:ind w:left="1052" w:right="80" w:hanging="323"/>
        <w:spacing w:after="0" w:line="266"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closing market value on the date the forfeiture provision expired for all shares subject to restricted stock awards included in the Grants as to which the forfeiture provision expired within one (1) year prior to or after the Termination Date shall be paid by the Optionee to the Company.</w:t>
      </w:r>
    </w:p>
    <w:p>
      <w:pPr>
        <w:spacing w:after="0" w:line="176" w:lineRule="exact"/>
        <w:rPr>
          <w:sz w:val="20"/>
          <w:szCs w:val="20"/>
          <w:color w:val="auto"/>
        </w:rPr>
      </w:pPr>
    </w:p>
    <w:p>
      <w:pPr>
        <w:ind w:left="332" w:right="20"/>
        <w:spacing w:after="0" w:line="254" w:lineRule="auto"/>
        <w:rPr>
          <w:sz w:val="20"/>
          <w:szCs w:val="20"/>
          <w:color w:val="auto"/>
        </w:rPr>
      </w:pPr>
      <w:r>
        <w:rPr>
          <w:rFonts w:ascii="Times New Roman" w:cs="Times New Roman" w:eastAsia="Times New Roman" w:hAnsi="Times New Roman"/>
          <w:sz w:val="18"/>
          <w:szCs w:val="18"/>
          <w:color w:val="auto"/>
        </w:rPr>
        <w:t>By accepting the options subject to this agreement, the Optionee consents to a deduction from any amounts the Company owes the Optionee from time to time (including amounts owed as wages or other compensation, fringe benefits or vacation pay, as well as any other amounts owed by the Company), to the extent of the amounts the Optionee owes the Company under the foregoing provisions of this Section 4. Whether or not the Company elects to make any set-off in whole or in part, if the Company does not recover by means of set-off the full amount the Optionee owes it, calculated as set forth above, the Optionee agrees to pay immediately the unpaid balance to the Company. In addition, if Optionee fails to pay the Company the full amount due within 30 days of demand by the Company, Optionee agrees to pay the Company’s reasonable costs of collection (including attorney’s fees) as well as interest on the unpaid amount at the rate of 1% per month or if less, the maximum rate allowed by law, for each day that such amount remains unpaid. Optionee may be released from his/her obligations under this Section 4 only by the Board of Directors or the Compensation Committee of the Company.</w:t>
      </w:r>
    </w:p>
    <w:p>
      <w:pPr>
        <w:spacing w:after="0" w:line="184" w:lineRule="exact"/>
        <w:rPr>
          <w:sz w:val="20"/>
          <w:szCs w:val="20"/>
          <w:color w:val="auto"/>
        </w:rPr>
      </w:pPr>
    </w:p>
    <w:p>
      <w:pPr>
        <w:ind w:left="332" w:hanging="332"/>
        <w:spacing w:after="0"/>
        <w:tabs>
          <w:tab w:leader="none" w:pos="33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Exercise</w:t>
      </w:r>
    </w:p>
    <w:p>
      <w:pPr>
        <w:spacing w:after="0" w:line="31" w:lineRule="exact"/>
        <w:rPr>
          <w:rFonts w:ascii="Times New Roman" w:cs="Times New Roman" w:eastAsia="Times New Roman" w:hAnsi="Times New Roman"/>
          <w:sz w:val="18"/>
          <w:szCs w:val="18"/>
          <w:b w:val="1"/>
          <w:bCs w:val="1"/>
          <w:color w:val="auto"/>
        </w:rPr>
      </w:pPr>
    </w:p>
    <w:p>
      <w:pPr>
        <w:ind w:left="3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hereunder shall be exercisable (subject to the conditions as to employment and other matters contained herein or in the Plan, including without limitation Section 13(b) of the Plan) with respect to one-fourth (1/4) of the shares purchasable hereunder on and after the first anniversary date of grant and, on a cumulative basis, with respect to an additional one-fourth (1/4) of such shares on each anniversary of its grant, so that the option granted hereunder shall be exercisable, to the extent not previously exercised, with respect to all of the shares purchasable hereunder, on and after the fourth anniversary of the date of grant.</w:t>
      </w:r>
    </w:p>
    <w:p>
      <w:pPr>
        <w:spacing w:after="0" w:line="182"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Exercise</w:t>
      </w:r>
    </w:p>
    <w:p>
      <w:pPr>
        <w:spacing w:after="0" w:line="31" w:lineRule="exact"/>
        <w:rPr>
          <w:rFonts w:ascii="Times New Roman" w:cs="Times New Roman" w:eastAsia="Times New Roman" w:hAnsi="Times New Roman"/>
          <w:sz w:val="18"/>
          <w:szCs w:val="18"/>
          <w:b w:val="1"/>
          <w:bCs w:val="1"/>
          <w:color w:val="auto"/>
        </w:rPr>
      </w:pPr>
    </w:p>
    <w:p>
      <w:pPr>
        <w:jc w:val="both"/>
        <w:ind w:left="332" w:right="1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hereunder may not be exercised if the issuance of such shares upon such exercise would constitute a violation of any applicable Federal or state securities laws or other law or regulation. As a condition to the exercise of the options granted hereunder, the Company may require the Optionee to make any representation or warranty to the Company as may be required by any applicable law or regulation or as may otherwise be appropriate.</w:t>
      </w:r>
    </w:p>
    <w:p>
      <w:pPr>
        <w:spacing w:after="0" w:line="200" w:lineRule="exact"/>
        <w:rPr>
          <w:sz w:val="20"/>
          <w:szCs w:val="20"/>
          <w:color w:val="auto"/>
        </w:rPr>
      </w:pPr>
    </w:p>
    <w:p>
      <w:pPr>
        <w:spacing w:after="0" w:line="3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50" w:name="page51"/>
    <w:bookmarkEnd w:id="50"/>
    <w:p>
      <w:pPr>
        <w:ind w:left="332" w:hanging="332"/>
        <w:spacing w:after="0"/>
        <w:tabs>
          <w:tab w:leader="none" w:pos="3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 of Option, Successors, and Assigns</w:t>
      </w:r>
    </w:p>
    <w:p>
      <w:pPr>
        <w:spacing w:after="0" w:line="31" w:lineRule="exact"/>
        <w:rPr>
          <w:rFonts w:ascii="Times New Roman" w:cs="Times New Roman" w:eastAsia="Times New Roman" w:hAnsi="Times New Roman"/>
          <w:sz w:val="18"/>
          <w:szCs w:val="18"/>
          <w:b w:val="1"/>
          <w:bCs w:val="1"/>
          <w:color w:val="auto"/>
        </w:rPr>
      </w:pPr>
    </w:p>
    <w:p>
      <w:pPr>
        <w:ind w:left="332" w:right="2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hereunder may not be transferred in any manner otherwise than by will or by the laws of descent or distribution (or as otherwise permitted under the Plan, including without limitation Section 13 thereof) and may be exercised, during the lifetime of the Optionee, only by the Optionee. The terms of this agreement shall be binding upon the executors, administrators, heirs, successors and assigns of the Optionee. This agreement shall be binding upon and enure to the benefits of any successor or assignee of the Company.</w:t>
      </w:r>
    </w:p>
    <w:p>
      <w:pPr>
        <w:spacing w:after="0" w:line="184"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Option</w:t>
      </w:r>
    </w:p>
    <w:p>
      <w:pPr>
        <w:spacing w:after="0" w:line="31" w:lineRule="exact"/>
        <w:rPr>
          <w:rFonts w:ascii="Times New Roman" w:cs="Times New Roman" w:eastAsia="Times New Roman" w:hAnsi="Times New Roman"/>
          <w:sz w:val="18"/>
          <w:szCs w:val="18"/>
          <w:b w:val="1"/>
          <w:bCs w:val="1"/>
          <w:color w:val="auto"/>
        </w:rPr>
      </w:pPr>
    </w:p>
    <w:p>
      <w:pPr>
        <w:ind w:left="33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hereunder may not be exercised more than 10 years from the date of this agreement and may be exercised during such term only in accordance with the Plan, including the terms thereof prohibiting or restricting exercise after a termination of the Optionee's relationship with the Company.</w:t>
      </w:r>
    </w:p>
    <w:p>
      <w:pPr>
        <w:spacing w:after="0" w:line="18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31" w:lineRule="exact"/>
        <w:rPr>
          <w:rFonts w:ascii="Times New Roman" w:cs="Times New Roman" w:eastAsia="Times New Roman" w:hAnsi="Times New Roman"/>
          <w:sz w:val="18"/>
          <w:szCs w:val="18"/>
          <w:b w:val="1"/>
          <w:bCs w:val="1"/>
          <w:color w:val="auto"/>
        </w:rPr>
      </w:pPr>
    </w:p>
    <w:p>
      <w:pPr>
        <w:ind w:left="332"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employment with the Company or a Subsidiary (as defined in the Plan) is terminated by you or the Company (except as provided in Section 4 above) for any reason other than disability or death, you may exercise the option, to the extent that you would otherwise be entitled to do so at the date of termination of employment, at any time within 30 days after the date of termination, but not after the expiration date of the option.</w:t>
      </w:r>
    </w:p>
    <w:p>
      <w:pPr>
        <w:spacing w:after="0" w:line="18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31" w:lineRule="exact"/>
        <w:rPr>
          <w:rFonts w:ascii="Times New Roman" w:cs="Times New Roman" w:eastAsia="Times New Roman" w:hAnsi="Times New Roman"/>
          <w:sz w:val="18"/>
          <w:szCs w:val="18"/>
          <w:b w:val="1"/>
          <w:bCs w:val="1"/>
          <w:color w:val="auto"/>
        </w:rPr>
      </w:pPr>
    </w:p>
    <w:p>
      <w:pPr>
        <w:ind w:left="332" w:right="7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reserves the right to make whatever arrangements it deems appropriate for the withholding of any taxes in connection with any transaction contemplated by this agreement or the Plan, and the Optionee hereby consents to such arrangements.</w:t>
      </w:r>
    </w:p>
    <w:p>
      <w:pPr>
        <w:spacing w:after="0" w:line="177"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31"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(together with the Plan) supersedes any other agreement, written or oral, between the parties with respect to the subject matter hereof.</w:t>
      </w:r>
    </w:p>
    <w:p>
      <w:pPr>
        <w:spacing w:after="0" w:line="200" w:lineRule="exact"/>
        <w:rPr>
          <w:rFonts w:ascii="Times New Roman" w:cs="Times New Roman" w:eastAsia="Times New Roman" w:hAnsi="Times New Roman"/>
          <w:sz w:val="18"/>
          <w:szCs w:val="18"/>
          <w:b w:val="1"/>
          <w:bCs w:val="1"/>
          <w:color w:val="auto"/>
        </w:rPr>
      </w:pPr>
    </w:p>
    <w:p>
      <w:pPr>
        <w:spacing w:after="0" w:line="218"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31" w:lineRule="exact"/>
        <w:rPr>
          <w:rFonts w:ascii="Times New Roman" w:cs="Times New Roman" w:eastAsia="Times New Roman" w:hAnsi="Times New Roman"/>
          <w:sz w:val="18"/>
          <w:szCs w:val="18"/>
          <w:b w:val="1"/>
          <w:bCs w:val="1"/>
          <w:color w:val="auto"/>
        </w:rPr>
      </w:pPr>
    </w:p>
    <w:p>
      <w:pPr>
        <w:ind w:left="332" w:right="3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questions concerning the construction, validity and interpretation of this agreement shall be governed by, and construed in accordance with, the laws of the State of Connecticut, without regard to the choice of law principles thereof.</w:t>
      </w: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wp:posOffset>
            </wp:positionV>
            <wp:extent cx="13544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54455" cy="17145"/>
                    </a:xfrm>
                    <a:prstGeom prst="rect">
                      <a:avLst/>
                    </a:prstGeom>
                    <a:noFill/>
                  </pic:spPr>
                </pic:pic>
              </a:graphicData>
            </a:graphic>
          </wp:anchor>
        </w:drawing>
      </w:r>
    </w:p>
    <w:p>
      <w:pPr>
        <w:spacing w:after="0" w:line="22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Richelle E.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-127635</wp:posOffset>
            </wp:positionV>
            <wp:extent cx="21342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EVP, Chief Administrative Officer,</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this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 day of 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242570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Frank Lee, certify that:</w:t>
      </w:r>
    </w:p>
    <w:p>
      <w:pPr>
        <w:spacing w:after="0" w:line="242"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John P. Jordan, certify that:</w:t>
      </w:r>
    </w:p>
    <w:p>
      <w:pPr>
        <w:spacing w:after="0" w:line="242"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1350 Certification of the Chief Executive Officer</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Frank Lee, Chief Executive Officer of Photronics, Inc. (the “Company”), certify, to my knowledge, pursuant to Section 906 of the Sarbanes-Oxley Act of 2002, 18 U.S.C. Section 1350, that:</w:t>
      </w:r>
    </w:p>
    <w:p>
      <w:pPr>
        <w:spacing w:after="0" w:line="189" w:lineRule="exact"/>
        <w:rPr>
          <w:sz w:val="20"/>
          <w:szCs w:val="20"/>
          <w:color w:val="auto"/>
        </w:rPr>
      </w:pPr>
    </w:p>
    <w:p>
      <w:pPr>
        <w:ind w:left="500" w:right="1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January 29, 2023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1350 Certification of the Chief Financial Officer</w:t>
      </w:r>
    </w:p>
    <w:p>
      <w:pPr>
        <w:spacing w:after="0" w:line="24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John P. Jordan, Chief Financial Officer of Photronics, Inc. (the “Company”), certify, to my knowledge, pursuant to Section 906 of the Sarbanes-Oxley Act of 2002, 18 U.S.C. Section 1350, that:</w:t>
      </w:r>
    </w:p>
    <w:p>
      <w:pPr>
        <w:spacing w:after="0" w:line="189" w:lineRule="exact"/>
        <w:rPr>
          <w:sz w:val="20"/>
          <w:szCs w:val="20"/>
          <w:color w:val="auto"/>
        </w:rPr>
      </w:pPr>
    </w:p>
    <w:p>
      <w:pPr>
        <w:ind w:left="500" w:right="1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January 29, 2023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
    <w:nsid w:val="6B68079A"/>
    <w:multiLevelType w:val="hybridMultilevel"/>
    <w:lvl w:ilvl="0">
      <w:lvlJc w:val="left"/>
      <w:lvlText w:val="%1)"/>
      <w:numFmt w:val="decimal"/>
      <w:start w:val="7"/>
    </w:lvl>
    <w:lvl w:ilvl="1">
      <w:lvlJc w:val="left"/>
      <w:lvlText w:val="(%2)"/>
      <w:numFmt w:val="lowerLetter"/>
      <w:start w:val="1"/>
    </w:lvl>
  </w:abstractNum>
  <w:abstractNum w:abstractNumId="7">
    <w:nsid w:val="4E6AFB66"/>
    <w:multiLevelType w:val="hybridMultilevel"/>
    <w:lvl w:ilvl="0">
      <w:lvlJc w:val="left"/>
      <w:lvlText w:val="(%1)"/>
      <w:numFmt w:val="lowerLetter"/>
      <w:start w:val="5"/>
    </w:lvl>
    <w:lvl w:ilvl="1">
      <w:lvlJc w:val="left"/>
      <w:lvlText w:val="%2)"/>
      <w:numFmt w:val="lowerRoman"/>
      <w:start w:val="1"/>
    </w:lvl>
  </w:abstractNum>
  <w:abstractNum w:abstractNumId="8">
    <w:nsid w:val="25E45D32"/>
    <w:multiLevelType w:val="hybridMultilevel"/>
    <w:lvl w:ilvl="0">
      <w:lvlJc w:val="left"/>
      <w:lvlText w:val="%1)"/>
      <w:numFmt w:val="lowerRoman"/>
      <w:start w:val="3"/>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decimal"/>
      <w:start w:val="1"/>
    </w:lvl>
    <w:lvl w:ilvl="1">
      <w:lvlJc w:val="left"/>
      <w:lvlText w:val="(%2)"/>
      <w:numFmt w:val="lowerLetter"/>
      <w:start w:val="2"/>
    </w:lvl>
  </w:abstractNum>
  <w:abstractNum w:abstractNumId="12">
    <w:nsid w:val="7C83E458"/>
    <w:multiLevelType w:val="hybridMultilevel"/>
    <w:lvl w:ilvl="0">
      <w:lvlJc w:val="left"/>
      <w:lvlText w:val="%1)"/>
      <w:numFmt w:val="decimal"/>
      <w:start w:val="4"/>
    </w:lvl>
    <w:lvl w:ilvl="1">
      <w:lvlJc w:val="left"/>
      <w:lvlText w:val="(%2)"/>
      <w:numFmt w:val="lowerLetter"/>
      <w:start w:val="1"/>
    </w:lvl>
  </w:abstractNum>
  <w:abstractNum w:abstractNumId="13">
    <w:nsid w:val="257130A3"/>
    <w:multiLevelType w:val="hybridMultilevel"/>
    <w:lvl w:ilvl="0">
      <w:lvlJc w:val="left"/>
      <w:lvlText w:val="(%1)"/>
      <w:numFmt w:val="lowerLetter"/>
      <w:start w:val="3"/>
    </w:lvl>
    <w:lvl w:ilvl="1">
      <w:lvlJc w:val="left"/>
      <w:lvlText w:val="%2)"/>
      <w:numFmt w:val="lowerRoman"/>
      <w:start w:val="1"/>
    </w:lvl>
  </w:abstractNum>
  <w:abstractNum w:abstractNumId="14">
    <w:nsid w:val="62BBD95A"/>
    <w:multiLevelType w:val="hybridMultilevel"/>
    <w:lvl w:ilvl="0">
      <w:lvlJc w:val="left"/>
      <w:lvlText w:val="%1)"/>
      <w:numFmt w:val="decimal"/>
      <w:start w:val="5"/>
    </w:lvl>
  </w:abstractNum>
  <w:abstractNum w:abstractNumId="15">
    <w:nsid w:val="436C6125"/>
    <w:multiLevelType w:val="hybridMultilevel"/>
    <w:lvl w:ilvl="0">
      <w:lvlJc w:val="left"/>
      <w:lvlText w:val="%1)"/>
      <w:numFmt w:val="decimal"/>
      <w:start w:val="6"/>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
    <w:nsid w:val="721DA317"/>
    <w:multiLevelType w:val="hybridMultilevel"/>
    <w:lvl w:ilvl="0">
      <w:lvlJc w:val="left"/>
      <w:lvlText w:val="%1)"/>
      <w:numFmt w:val="lowerRoman"/>
      <w:start w:val="3"/>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7"/>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2023-03-09T17:55:44Z</dcterms:created>
  <dcterms:modified xsi:type="dcterms:W3CDTF">2023-03-09T17:55:44Z</dcterms:modified>
</cp:coreProperties>
</file>