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8" w:lineRule="exact"/>
        <w:rPr>
          <w:sz w:val="24"/>
          <w:szCs w:val="24"/>
          <w:color w:val="auto"/>
        </w:rPr>
      </w:pPr>
    </w:p>
    <w:p>
      <w:pPr>
        <w:ind w:left="3900" w:right="2020" w:hanging="3892"/>
        <w:spacing w:after="0" w:line="286" w:lineRule="auto"/>
        <w:tabs>
          <w:tab w:leader="none" w:pos="490" w:val="left"/>
        </w:tabs>
        <w:numPr>
          <w:ilvl w:val="0"/>
          <w:numId w:val="1"/>
        </w:numPr>
        <w:rPr>
          <w:rFonts w:ascii="MS PGothic" w:cs="MS PGothic" w:eastAsia="MS PGothic" w:hAnsi="MS PGothic"/>
          <w:sz w:val="18"/>
          <w:szCs w:val="18"/>
          <w:i w:val="1"/>
          <w:iCs w:val="1"/>
          <w:color w:val="auto"/>
          <w:highlight w:val="black"/>
        </w:rPr>
      </w:pPr>
      <w:r>
        <w:rPr>
          <w:rFonts w:ascii="Times New Roman" w:cs="Times New Roman" w:eastAsia="Times New Roman" w:hAnsi="Times New Roman"/>
          <w:sz w:val="18"/>
          <w:szCs w:val="18"/>
          <w:b w:val="1"/>
          <w:bCs w:val="1"/>
          <w:i w:val="1"/>
          <w:iCs w:val="1"/>
          <w:color w:val="auto"/>
        </w:rPr>
        <w:t>QUARTERLY REPORT PURSUANT TO SECTION 13 OR 15 (d) OF THE SECURITIES EXCHANGE ACT OF 1934 For the quarterly period ended January 27, 2019</w:t>
      </w:r>
    </w:p>
    <w:p>
      <w:pPr>
        <w:spacing w:after="0" w:line="155" w:lineRule="exact"/>
        <w:rPr>
          <w:sz w:val="24"/>
          <w:szCs w:val="24"/>
          <w:color w:val="auto"/>
        </w:rPr>
      </w:pPr>
    </w:p>
    <w:p>
      <w:pPr>
        <w:ind w:left="4180" w:right="2000" w:hanging="4172"/>
        <w:spacing w:after="0" w:line="501" w:lineRule="auto"/>
        <w:tabs>
          <w:tab w:leader="none" w:pos="488" w:val="left"/>
        </w:tabs>
        <w:numPr>
          <w:ilvl w:val="0"/>
          <w:numId w:val="2"/>
        </w:numPr>
        <w:rPr>
          <w:rFonts w:ascii="MS PGothic" w:cs="MS PGothic" w:eastAsia="MS PGothic" w:hAnsi="MS PGothic"/>
          <w:sz w:val="18"/>
          <w:szCs w:val="18"/>
          <w:i w:val="1"/>
          <w:iCs w:val="1"/>
          <w:color w:val="auto"/>
          <w:highlight w:val="black"/>
        </w:rPr>
      </w:pPr>
      <w:r>
        <w:rPr>
          <w:rFonts w:ascii="Times New Roman" w:cs="Times New Roman" w:eastAsia="Times New Roman" w:hAnsi="Times New Roman"/>
          <w:sz w:val="18"/>
          <w:szCs w:val="18"/>
          <w:b w:val="1"/>
          <w:bCs w:val="1"/>
          <w:i w:val="1"/>
          <w:iCs w:val="1"/>
          <w:color w:val="auto"/>
        </w:rPr>
        <w:t>TRANSITION REPORT PURSUANT TO SECTION 13 OR 15 (d) OF THE SECURITIES EXCHANGE ACT OF 1934 For the transition period from ___ to ___</w:t>
      </w:r>
    </w:p>
    <w:p>
      <w:pPr>
        <w:ind w:left="4480"/>
        <w:spacing w:after="0"/>
        <w:rPr>
          <w:rFonts w:ascii="MS PGothic" w:cs="MS PGothic" w:eastAsia="MS PGothic" w:hAnsi="MS PGothic"/>
          <w:sz w:val="18"/>
          <w:szCs w:val="18"/>
          <w:i w:val="1"/>
          <w:iCs w:val="1"/>
          <w:color w:val="auto"/>
          <w:highlight w:val="black"/>
        </w:rPr>
      </w:pPr>
      <w:r>
        <w:rPr>
          <w:rFonts w:ascii="Times New Roman" w:cs="Times New Roman" w:eastAsia="Times New Roman" w:hAnsi="Times New Roman"/>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3366770</wp:posOffset>
            </wp:positionH>
            <wp:positionV relativeFrom="paragraph">
              <wp:posOffset>157480</wp:posOffset>
            </wp:positionV>
            <wp:extent cx="531495" cy="574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620" w:type="dxa"/>
        <w:tblCellMar>
          <w:top w:w="0" w:type="dxa"/>
          <w:left w:w="0" w:type="dxa"/>
          <w:bottom w:w="0" w:type="dxa"/>
          <w:right w:w="0" w:type="dxa"/>
        </w:tblCellMar>
      </w:tblPr>
      <w:tr>
        <w:trPr>
          <w:trHeight w:val="218"/>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rPr>
              <w:t>Connecticut</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06-0854886</w:t>
            </w:r>
          </w:p>
        </w:tc>
      </w:tr>
      <w:tr>
        <w:trPr>
          <w:trHeight w:val="236"/>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412"/>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15 Secor Road, Brookfield, Connecticut</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7"/>
              </w:rPr>
              <w:t>06804</w:t>
            </w:r>
          </w:p>
        </w:tc>
      </w:tr>
      <w:tr>
        <w:trPr>
          <w:trHeight w:val="236"/>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640" w:type="dxa"/>
            <w:vAlign w:val="bottom"/>
          </w:tcPr>
          <w:p>
            <w:pPr>
              <w:jc w:val="center"/>
              <w:ind w:left="11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32"/>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(203) 775-9000</w:t>
            </w:r>
          </w:p>
        </w:tc>
      </w:tr>
    </w:tbl>
    <w:p>
      <w:pPr>
        <w:spacing w:after="0" w:line="198" w:lineRule="exact"/>
        <w:rPr>
          <w:sz w:val="24"/>
          <w:szCs w:val="24"/>
          <w:color w:val="auto"/>
        </w:rPr>
      </w:pPr>
    </w:p>
    <w:p>
      <w:pPr>
        <w:ind w:right="46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12" w:lineRule="exact"/>
        <w:rPr>
          <w:sz w:val="24"/>
          <w:szCs w:val="24"/>
          <w:color w:val="auto"/>
        </w:rPr>
      </w:pPr>
    </w:p>
    <w:p>
      <w:pPr>
        <w:ind w:right="2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179"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7" w:lineRule="exact"/>
        <w:rPr>
          <w:sz w:val="24"/>
          <w:szCs w:val="24"/>
          <w:color w:val="auto"/>
        </w:rPr>
      </w:pPr>
    </w:p>
    <w:p>
      <w:pPr>
        <w:spacing w:after="0" w:line="207" w:lineRule="exact"/>
        <w:tabs>
          <w:tab w:leader="none" w:pos="2860" w:val="left"/>
          <w:tab w:leader="none" w:pos="5700" w:val="left"/>
          <w:tab w:leader="none" w:pos="85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67,051,505 shares of common stock outstanding as of March 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29"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made by or on behalf of Photronics, Inc. (“Photronics”, the “Company”, “we”, “our”, or “us”). These statements are based on management’s beliefs, as well as assumptions made by, and information currently available to, management. Forward-looking statements may be identified by words like “expect,” “anticipate,” “believe,” “plan,” “project,” “could,” “estimate,” “intend,” “may,” “will”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joint ventures, business combinations, divestitures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the timing of orders received from customers; the gain or loss of significant customers; competition from other manufacturers; changes in accounting standards; federal, state and international tax requirements (including tax rate changes, new tax laws and revised tax law interpretations); changes in the jurisdictional mix of our earnings and changes in tax laws and rates; interest rate and other capital market conditions, including changes in the market price of the Company’s securities; foreign currency exchange rate fluctuations; changes in technology; technology or intellectual property infringement, including cybersecurity breaches, and other innovation risks; unsuccessful or unproductive research and development or capital expenditures; the timing, impact, and other uncertainties related to transactions and acquisitions, divestitures, business combinations, and joint ventures as well as decisions the Company may make in the future regarding the Company’s business, capital and organizational structures and other matters; the seasonal and cyclical nature of the semiconductor and flat panel display industries; management changes; changes in laws and government regulation impacting our operations or our products, including laws relating to export controls and import laws, rules and tariffs; the occurrence of regulatory proceedings, claims or litigation; damage or destruction to the Company’s facilities, or the facilities of its customers or suppliers, by natural disasters, labor strikes, political unrest, or terrorist activity; construction of new facilities and assembly of new equipment; dilutive issuances of the Company’s stock;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40" w:type="dxa"/>
            <w:vAlign w:val="bottom"/>
            <w:gridSpan w:val="10"/>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80" w:type="dxa"/>
            <w:vAlign w:val="bottom"/>
            <w:gridSpan w:val="9"/>
          </w:tcPr>
          <w:p>
            <w:pPr>
              <w:jc w:val="center"/>
              <w:ind w:right="44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Financial Statements</w:t>
              </w:r>
            </w:hyperlink>
          </w:p>
        </w:tc>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5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at January 27, 2019 and October 31, 2018</w:t>
              </w:r>
            </w:hyperlink>
          </w:p>
        </w:tc>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5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Income for the Three Months Ended January 27, 2019 and January 28, 2018</w:t>
              </w:r>
            </w:hyperlink>
          </w:p>
        </w:tc>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 xml:space="preserve">Condensed Consolidated Statements of Comprehensive Income for the Three Months Ended January 27, 2019 and January 28, 2018 </w:t>
              </w:r>
            </w:hyperlink>
            <w:r>
              <w:rPr>
                <w:rFonts w:ascii="Times New Roman" w:cs="Times New Roman" w:eastAsia="Times New Roman" w:hAnsi="Times New Roman"/>
                <w:sz w:val="18"/>
                <w:szCs w:val="18"/>
                <w:color w:val="000000"/>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5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Equity for the Three Months Ended January 27, 2019 and January 28, 2018</w:t>
              </w:r>
            </w:hyperlink>
          </w:p>
        </w:tc>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5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 for the Three Months Ended January 27, 2019 and January 28, 2018</w:t>
              </w:r>
            </w:hyperlink>
          </w:p>
        </w:tc>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5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Condensed Consolidated Financial Statements</w:t>
              </w:r>
            </w:hyperlink>
          </w:p>
        </w:tc>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Quantitative and Qualitative Disclosures about Market Risk</w:t>
              </w:r>
            </w:hyperlink>
          </w:p>
        </w:tc>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Controls and Procedures</w:t>
              </w:r>
            </w:hyperlink>
          </w:p>
        </w:tc>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Risk Factors</w:t>
              </w:r>
            </w:hyperlink>
          </w:p>
        </w:tc>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Unregistered Sales of Equity Securities and Use of Proceeds</w:t>
              </w:r>
            </w:hyperlink>
          </w:p>
        </w:tc>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6"/>
              </w:rPr>
            </w:pPr>
            <w:hyperlink w:anchor="page31">
              <w:r>
                <w:rPr>
                  <w:rFonts w:ascii="Times New Roman" w:cs="Times New Roman" w:eastAsia="Times New Roman" w:hAnsi="Times New Roman"/>
                  <w:sz w:val="18"/>
                  <w:szCs w:val="18"/>
                  <w:color w:val="0000EE"/>
                  <w:w w:val="96"/>
                </w:rPr>
                <w:t>Exhibits</w:t>
              </w:r>
            </w:hyperlink>
          </w:p>
        </w:tc>
        <w:tc>
          <w:tcPr>
            <w:tcW w:w="8980" w:type="dxa"/>
            <w:vAlign w:val="bottom"/>
            <w:tcBorders>
              <w:bottom w:val="single" w:sz="8" w:color="CCEEFF"/>
            </w:tcBorders>
            <w:gridSpan w:val="1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55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980" w:type="dxa"/>
            <w:vAlign w:val="bottom"/>
            <w:gridSpan w:val="8"/>
          </w:tcPr>
          <w:p>
            <w:pPr>
              <w:jc w:val="center"/>
              <w:ind w:left="3031"/>
              <w:spacing w:after="0"/>
              <w:rPr>
                <w:sz w:val="20"/>
                <w:szCs w:val="20"/>
                <w:color w:val="auto"/>
              </w:rPr>
            </w:pPr>
            <w:r>
              <w:rPr>
                <w:rFonts w:ascii="Times New Roman" w:cs="Times New Roman" w:eastAsia="Times New Roman" w:hAnsi="Times New Roman"/>
                <w:sz w:val="14"/>
                <w:szCs w:val="14"/>
                <w:color w:val="auto"/>
                <w:w w:val="85"/>
              </w:rPr>
              <w:t>3</w:t>
            </w:r>
          </w:p>
        </w:tc>
        <w:tc>
          <w:tcPr>
            <w:tcW w:w="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92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9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i w:val="1"/>
                <w:iCs w:val="1"/>
                <w:color w:val="auto"/>
                <w:w w:val="98"/>
              </w:rPr>
              <w:t>(unaudited)</w:t>
            </w:r>
          </w:p>
        </w:tc>
        <w:tc>
          <w:tcPr>
            <w:tcW w:w="100" w:type="dxa"/>
            <w:vAlign w:val="bottom"/>
          </w:tcPr>
          <w:p>
            <w:pPr>
              <w:spacing w:after="0"/>
              <w:rPr>
                <w:sz w:val="20"/>
                <w:szCs w:val="20"/>
                <w:color w:val="auto"/>
              </w:rPr>
            </w:pPr>
          </w:p>
        </w:tc>
        <w:tc>
          <w:tcPr>
            <w:tcW w:w="11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January 27,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232,448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receivable, net of allowance of $1,467 in 2019 and $1,526 in 2018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27,874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57,043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0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502,731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Other assets</w:t>
            </w:r>
          </w:p>
        </w:tc>
        <w:tc>
          <w:tcPr>
            <w:tcW w:w="7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9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1,145,894</w:t>
            </w:r>
          </w:p>
        </w:tc>
        <w:tc>
          <w:tcPr>
            <w:tcW w:w="14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Short-term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57,927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89,875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43,005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0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191,076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0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205,440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7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issued and outstanding</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 shares authorized, 69,917 shares issued and 66,222 outstanding at January</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27, 2019 and 69,700 shares issued and 67,142 outstanding at October 31, 2018</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Treasury stock, 3,695 shares at January 27, 2019 and 2,558 shares at October 31, 2018</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0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Photronics, Inc. shareholders’ equity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913,170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1,145,894</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16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840" w:type="dxa"/>
            <w:vAlign w:val="bottom"/>
          </w:tcPr>
          <w:p>
            <w:pPr>
              <w:jc w:val="center"/>
              <w:ind w:left="287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4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i w:val="1"/>
                <w:iCs w:val="1"/>
                <w:color w:val="auto"/>
                <w:w w:val="98"/>
              </w:rPr>
              <w:t>(unaudited)</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January 27,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January 28,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124,712</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123,446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98,610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26,102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4,263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18,055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5,267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66,583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67,047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January 27,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January 28,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 of $0:</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cash flow hedge</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3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3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Photronics, Inc. shareholders</w:t>
            </w:r>
          </w:p>
        </w:tc>
        <w:tc>
          <w:tcPr>
            <w:tcW w:w="3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10,576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340" w:type="dxa"/>
            <w:vAlign w:val="bottom"/>
          </w:tcPr>
          <w:p>
            <w:pPr>
              <w:jc w:val="right"/>
              <w:ind w:right="2996"/>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6" w:name="page7"/>
    <w:bookmarkEnd w:id="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gridSpan w:val="11"/>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 January 27, 2019</w:t>
            </w: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10"/>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21"/>
                <w:szCs w:val="21"/>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Non-</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000" w:type="dxa"/>
            <w:vAlign w:val="bottom"/>
            <w:gridSpan w:val="3"/>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000" w:type="dxa"/>
            <w:vAlign w:val="bottom"/>
            <w:gridSpan w:val="3"/>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Treasury</w:t>
            </w:r>
          </w:p>
        </w:tc>
        <w:tc>
          <w:tcPr>
            <w:tcW w:w="1400" w:type="dxa"/>
            <w:vAlign w:val="bottom"/>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9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controlling</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20" w:type="dxa"/>
            <w:vAlign w:val="bottom"/>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21"/>
                <w:szCs w:val="21"/>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 Income</w:t>
            </w:r>
          </w:p>
        </w:tc>
        <w:tc>
          <w:tcPr>
            <w:tcW w:w="200" w:type="dxa"/>
            <w:vAlign w:val="bottom"/>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06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600" w:type="dxa"/>
            <w:vAlign w:val="bottom"/>
            <w:gridSpan w:val="2"/>
          </w:tcPr>
          <w:p>
            <w:pPr>
              <w:spacing w:after="0"/>
              <w:rPr>
                <w:sz w:val="24"/>
                <w:szCs w:val="24"/>
                <w:color w:val="auto"/>
              </w:rPr>
            </w:pPr>
          </w:p>
        </w:tc>
        <w:tc>
          <w:tcPr>
            <w:tcW w:w="380" w:type="dxa"/>
            <w:vAlign w:val="bottom"/>
            <w:gridSpan w:val="2"/>
          </w:tcPr>
          <w:p>
            <w:pPr>
              <w:spacing w:after="0"/>
              <w:rPr>
                <w:sz w:val="24"/>
                <w:szCs w:val="24"/>
                <w:color w:val="auto"/>
              </w:rPr>
            </w:pPr>
          </w:p>
        </w:tc>
        <w:tc>
          <w:tcPr>
            <w:tcW w:w="220" w:type="dxa"/>
            <w:vAlign w:val="bottom"/>
            <w:gridSpan w:val="2"/>
          </w:tcPr>
          <w:p>
            <w:pPr>
              <w:spacing w:after="0"/>
              <w:rPr>
                <w:sz w:val="24"/>
                <w:szCs w:val="24"/>
                <w:color w:val="auto"/>
              </w:rPr>
            </w:pPr>
          </w:p>
        </w:tc>
        <w:tc>
          <w:tcPr>
            <w:tcW w:w="9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18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October 31, 2018</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69,700</w:t>
            </w:r>
          </w:p>
        </w:tc>
        <w:tc>
          <w:tcPr>
            <w:tcW w:w="60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697</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555,606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231,445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(23,111)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(4,966)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144,898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904,569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Adoption of ASU 2014-09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Adoption of ASU 2016-16</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(1,130)</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through employee</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 and purchase plans</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stock awards vesting and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Contribution from noncontrolling</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29,394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to noncontrolling interests</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Repurchase of common stock of</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subsidiary</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(10,696)</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(10,696)</w:t>
            </w:r>
          </w:p>
        </w:tc>
        <w:tc>
          <w:tcPr>
            <w:tcW w:w="0" w:type="dxa"/>
            <w:vAlign w:val="bottom"/>
          </w:tcPr>
          <w:p>
            <w:pPr>
              <w:spacing w:after="0"/>
              <w:rPr>
                <w:sz w:val="1"/>
                <w:szCs w:val="1"/>
                <w:color w:val="auto"/>
              </w:rPr>
            </w:pPr>
          </w:p>
        </w:tc>
      </w:tr>
      <w:tr>
        <w:trPr>
          <w:trHeight w:val="223"/>
        </w:trPr>
        <w:tc>
          <w:tcPr>
            <w:tcW w:w="308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600" w:type="dxa"/>
            <w:vAlign w:val="bottom"/>
            <w:gridSpan w:val="2"/>
          </w:tcPr>
          <w:p>
            <w:pPr>
              <w:spacing w:after="0"/>
              <w:rPr>
                <w:sz w:val="19"/>
                <w:szCs w:val="19"/>
                <w:color w:val="auto"/>
              </w:rPr>
            </w:pPr>
          </w:p>
        </w:tc>
        <w:tc>
          <w:tcPr>
            <w:tcW w:w="380" w:type="dxa"/>
            <w:vAlign w:val="bottom"/>
            <w:gridSpan w:val="2"/>
          </w:tcPr>
          <w:p>
            <w:pPr>
              <w:spacing w:after="0"/>
              <w:rPr>
                <w:sz w:val="19"/>
                <w:szCs w:val="19"/>
                <w:color w:val="auto"/>
              </w:rPr>
            </w:pPr>
          </w:p>
        </w:tc>
        <w:tc>
          <w:tcPr>
            <w:tcW w:w="220" w:type="dxa"/>
            <w:vAlign w:val="bottom"/>
            <w:gridSpan w:val="2"/>
          </w:tcPr>
          <w:p>
            <w:pPr>
              <w:spacing w:after="0"/>
              <w:rPr>
                <w:sz w:val="19"/>
                <w:szCs w:val="19"/>
                <w:color w:val="auto"/>
              </w:rPr>
            </w:pPr>
          </w:p>
        </w:tc>
        <w:tc>
          <w:tcPr>
            <w:tcW w:w="9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180" w:type="dxa"/>
            <w:vAlign w:val="bottom"/>
            <w:gridSpan w:val="2"/>
          </w:tcPr>
          <w:p>
            <w:pPr>
              <w:spacing w:after="0"/>
              <w:rPr>
                <w:sz w:val="19"/>
                <w:szCs w:val="19"/>
                <w:color w:val="auto"/>
              </w:rPr>
            </w:pPr>
          </w:p>
        </w:tc>
        <w:tc>
          <w:tcPr>
            <w:tcW w:w="7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27, 2019</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557,188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236,665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(33,807</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152,082</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913,170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January 28, 2018</w:t>
            </w: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9"/>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2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21"/>
                <w:szCs w:val="21"/>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Retained</w:t>
            </w:r>
          </w:p>
        </w:tc>
        <w:tc>
          <w:tcPr>
            <w:tcW w:w="1400" w:type="dxa"/>
            <w:vAlign w:val="bottom"/>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20" w:type="dxa"/>
            <w:vAlign w:val="bottom"/>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controlling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October 30, 2017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547,596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189,390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120,731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865,295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5,898</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25,237</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30,087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through employee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 and purchase plans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 vesting and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from noncontrolling interest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28, 2018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549,328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195,288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32,128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141,014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918,447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78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460" w:type="dxa"/>
            <w:vAlign w:val="bottom"/>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60" w:type="dxa"/>
            <w:vAlign w:val="bottom"/>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60" w:type="dxa"/>
            <w:vAlign w:val="bottom"/>
          </w:tcPr>
          <w:p>
            <w:pPr>
              <w:jc w:val="center"/>
              <w:ind w:left="22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6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i w:val="1"/>
                <w:iCs w:val="1"/>
                <w:color w:val="auto"/>
                <w:w w:val="98"/>
              </w:rPr>
              <w:t>(unaudited)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27,</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18,781</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(9,333)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(22,082)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(12,107)</w:t>
            </w: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(19,286)</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(106,925)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Government incentives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(101,877)</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Contribution from noncontrolling interest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debt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(26,102)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(10,696)</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share-based arrangements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(96,821)</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331,989*</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310,936*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235,168</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351,579*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disclosure information:</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Accrual for property, plant and equipment purchased during the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Accrual for property, plant and equipment purchased with funds receivable from government incentives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11,799</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Amount has been modified to reflect the adoption of ASU 2016-18 (see Note 14)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January 27, 2019 and January 28,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FINANCIAL STATEMENT PRESENTATION</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Photronics, Inc. ("Photronics", "the Company", "we", “our”, or "us") is one of the world's leading manufacturers of photomasks, which are high precision photographic quartz or glass plates containing microscopic images of electronic circuits. Photomasks are a key element in the manufacture of semiconductors and flat panel displays ("FPDs"), and are used as masters to transfer circuit patterns onto semiconductor wafers and flat panel display substrates during the fabrication of integrated circuits ("ICs" or “semiconductors”), a variety of FPDs and, to a lesser extent, other types of electrical and optical components. We currently operate principally from nine manufacturing facilities; two of which are located in Europe, three in Taiwan, one in Korea, and three in the United States; and we have completed construction of two manufacturing facilities in China.</w:t>
      </w:r>
    </w:p>
    <w:p>
      <w:pPr>
        <w:spacing w:after="0" w:line="18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adjustments, all of which are of a normal recurring nature, considered necessary for a fair presentation have been included. Our business is typically impacted during the first, and sometimes the second, quarter of our fiscal year by the North American, European, and Asian holiday periods, as some customers reduce their development and buying activities during those periods. Operating results for the interim period are not necessarily indicative of the results that may be expected for the fiscal year ending October 31, 2019. For further information, refer to the consolidated financial statements and notes thereto included in our Annual Report on Form 10-K for the year ended October 31, 2018.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INVENTORIES</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determined under the first-in, first-out (“FIFO”) method, or net realizable value. Presented below are the components of inventory at the balance sheet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January 27,</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3,402</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26,922</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25,110</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29,180</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53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3 - PROPERTY, PLANT AND EQUIPMENT, NET</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1,571,858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1,566,163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1,970,975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1,862,714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(1,314,102)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(1,290,933)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656,873</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property, plant and equipment was $17.6 million and $21.1 million for the three month periods ended January 27, 2019 and January 28, 2018, respectively.</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 January 2017, we entered into a noncash transaction with a customer which resulted in the acquisition of equipment with fair values of approximately $6.7 million during the three month period ended January 28,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PDMCX JOINT VENTURE</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January 2018, Photronics, through its wholly-owned Singapore subsidiary (hereinafter, within this Note “we”, or “Photronics”), and Dai Nippon Printing Co., Ltd., through its wholly-owned subsidiary “DNP Asia Pacific PTE, Ltd.” (hereinafter, within this Note, “DNP”) entered into a joint venture under which DNP obtained a 49.99% interest in our recently-established IC business in Xiamen, China, which includes a facility currently under construction. The joint venture, known as “Photronics DNP Mask Corporation Xiamen” (hereinafter, “PDMCX”), was established to develop and manufacture photomasks for leading edge and advanced generation semiconductors. We entered into this joint venture to enable us to compete more effectively for the merchant photomask business in China and to benefit from the additional resources and investment that DNP will provide to enable us to offer advanced-process technology to our customers. No gain or loss was recorded upon the formation of this joint venture.</w:t>
      </w:r>
    </w:p>
    <w:p>
      <w:pPr>
        <w:spacing w:after="0" w:line="18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of January 27, 2019, Photronics and DNP had each contributed cash of approximately $48 million to the joint venture. We estimate that, over the next several years, and per the PDMCX operating agreement (the Agreement), DNP and Photronics will each contribute an additional $32 million of cash, a portion of which will be financed through local borrowings.</w:t>
      </w:r>
    </w:p>
    <w:p>
      <w:pPr>
        <w:spacing w:after="0" w:line="17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Under the Agreement, DNP is afforded, under certain circumstances, the right to put its interest in PDMCX to Photronics. These circumstances include disputes regarding the strategic direction of PDMCX that may arise after the initial two-year term of the Agreement and cannot be resolved between the two parties. In addition, both Photronics and DNP have the option to purchase, or put, their interest from, or to, the other party, should their ownership interest fall below 20%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18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recorded net losses from the operations of PDMCX of approximately $1.3 million, and $0.5 million during the three month periods ended January 27, 2019 and January 28, 2018, respectively. General creditors of PDMCX do not have recourse to the assets of Photronics, Inc., and our maximum exposure to loss from PDMCX at January 27, 2019, was $44.9 million.</w:t>
      </w:r>
    </w:p>
    <w:p>
      <w:pPr>
        <w:spacing w:after="0" w:line="17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As required by the guidance in Topic 810 - “Consolidation” of the Accounting Standards Codification,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was a VIE. Having made this determination, we then assessed whether we were the primary beneficiary of the VIE, and concluded that we were the primary beneficiary during the current and prior year reporting periods; thus, as required, the PDMCX financial results have been consolidated with Photronics, Inc. Our conclusion was based on the facts that we held a controlling financial interest in PDMCX (which resulted from our having the power to direct the activities that most significantly impacted its economic performance), had the obligation to absorb losses, and the right to receive benefits that could potentially be significant to PDMCX. Our conclusions that we had the power to direct the activities that most significantly affected the economic performance of PDMCX during the current and prior year reporting periods was based on our right to appoint the majority of its board of directors, which has, among others, the powers to manage the business (through its rights to appoint and evaluate PDMCX management), incur indebtedness, enter into agreements and commitments, and acquire and dispose of PDMCX’s assets. In addition, as a result of the 50.01% variable interest we held during the current and prior year periods, we had the obligation to absorb losses and the right to receive benefits that could potentially be significant to PDMCX.</w:t>
      </w:r>
    </w:p>
    <w:p>
      <w:pPr>
        <w:sectPr>
          <w:pgSz w:w="11900" w:h="16838" w:orient="portrait"/>
          <w:cols w:equalWidth="0" w:num="1">
            <w:col w:w="11420"/>
          </w:cols>
          <w:pgMar w:left="240" w:top="114" w:right="239"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10" w:name="page11"/>
    <w:bookmarkEnd w:id="1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PDMCX assets and liabilities included in our condensed consolidated balance sheets are presented in the following table, together with our exposure to loss related to these assets and liabilities.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January 27, 2019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October 31, 2018</w:t>
            </w:r>
          </w:p>
        </w:tc>
        <w:tc>
          <w:tcPr>
            <w:tcW w:w="0" w:type="dxa"/>
            <w:vAlign w:val="bottom"/>
          </w:tcPr>
          <w:p>
            <w:pPr>
              <w:spacing w:after="0"/>
              <w:rPr>
                <w:sz w:val="1"/>
                <w:szCs w:val="1"/>
                <w:color w:val="auto"/>
              </w:rPr>
            </w:pPr>
          </w:p>
        </w:tc>
      </w:tr>
      <w:tr>
        <w:trPr>
          <w:trHeight w:val="194"/>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160" w:type="dxa"/>
            <w:vAlign w:val="bottom"/>
            <w:tcBorders>
              <w:top w:val="single" w:sz="8" w:color="auto"/>
            </w:tcBorders>
            <w:gridSpan w:val="3"/>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2"/>
                <w:szCs w:val="12"/>
                <w:color w:val="auto"/>
              </w:rPr>
            </w:pPr>
          </w:p>
        </w:tc>
        <w:tc>
          <w:tcPr>
            <w:tcW w:w="116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80" w:type="dxa"/>
            <w:vAlign w:val="bottom"/>
          </w:tcPr>
          <w:p>
            <w:pPr>
              <w:spacing w:after="0"/>
              <w:rPr>
                <w:sz w:val="12"/>
                <w:szCs w:val="12"/>
                <w:color w:val="auto"/>
              </w:rPr>
            </w:pPr>
          </w:p>
        </w:tc>
        <w:tc>
          <w:tcPr>
            <w:tcW w:w="10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56,957</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28,479</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91,963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45,982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43,415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148,920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74,461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53,040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12,251</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59,045</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29,523</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21,225</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44,938</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right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15,908</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DEBT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Debt consists of the following: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January 27,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October 28,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10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 convertible senior notes due in April 2019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57,482</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4"/>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57,453</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Project Loan due in December 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Loan due in January 2022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10,105</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Short term debt due in February 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3,720</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86,131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5"/>
              <w:spacing w:after="0"/>
              <w:rPr>
                <w:sz w:val="20"/>
                <w:szCs w:val="20"/>
                <w:color w:val="auto"/>
              </w:rPr>
            </w:pPr>
            <w:r>
              <w:rPr>
                <w:rFonts w:ascii="Times New Roman" w:cs="Times New Roman" w:eastAsia="Times New Roman" w:hAnsi="Times New Roman"/>
                <w:sz w:val="18"/>
                <w:szCs w:val="18"/>
                <w:color w:val="auto"/>
              </w:rPr>
              <w:t>57,453</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rPr>
              <w:t>(61,647)</w:t>
            </w:r>
          </w:p>
        </w:tc>
        <w:tc>
          <w:tcPr>
            <w:tcW w:w="10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(57,453)</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24,484</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January 2015, we privately exchanged $57.5 million in aggregate principal amount of our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we are not required to redeem the notes other than upon conversion prior to their maturity date. Interest on the notes accrues in arrears, and is paid semiannually through the notes’ maturity date.</w:t>
      </w:r>
    </w:p>
    <w:p>
      <w:pPr>
        <w:spacing w:after="0" w:line="21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2018, Xiamen American Japan Photronics Mask Co., Ltd. (“PDMCX”), an indirect majority owned joint venture subsidiary of Photronics, Inc., was approved for credit of $50 million, subject to certain limitations related to PDMCX registered capital at the time of the borrowing, pursuant to which PDMCX will enter into separate loan agreements (“the Project Loans”) for each borrowing. The Project Loans, which are denominated in renminbi, are being used to finance certain capital expenditures in China. PDMCX has agreed to grant a lien on the land, building and certain equipment owned by PDMCX as collateral for the Project Loans. As of January 27, 2019, PDMCX had borrowed $14.8 million against this approval. This borrowing will be repaid in semiannual installments, which will commence in June 2020 and end in December 2022. In February 2019, PDMCX borrowed an additional $11.4 million, which will be repaid semiannually; repayments will commence in June 2023 and end in December 2025. The interest rates on the Project Loans are based on the benchmark lending rate of the People’s Bank of China (4.9% at January 27, 2019). Interest incurred on these loans will be reimbursed through incentives provided by the Xiamen Torch Hi-Tech Industrial Development Zone, which provide for such reimbursements up to a prescribed limit.</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 w:name="page12"/>
    <w:bookmarkEnd w:id="1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November 2018, PDMCX was approved for credit of $25.0 million, subject to certain limitations related to PDMCX registered capital at the time of the borrowing, pursuant to which PDMCX may enter into separate loan agreements. No guarantees are required as part of this approval. As of January 27, 2019, PDMCX had borrowed $13.8 million against this approval of which $3.7 million were 90-day loans. The remaining $10.1 million borrowed (the “Working Capital Loans”) is to be repaid semiannually from the dates of the individual borrowings, with repayments commencing in May 2019 and ending in January 2022. The 90-day loans were repaid in our second quarter of 2019. These loans, which are denominated in renminbi and U.S. dollars are being used for general financing purposes, including payments of import and value added taxes. The interest rates on the 90-day loans were the market rate on the date of issuance (4.9%), and interest rates on the Working Capital Loans are approximately 5%, and are based on the RMB Loan Prime Rate of the National Interbank Funding Center, plus a spread of 67.75 basis points. Interest incurred on the loans will be reimbursed through incentives provided by the Xiamen Torch Hi-Tech Industrial Development Zone, which provide for such reimbursements up to a prescribed limit.</w:t>
      </w:r>
    </w:p>
    <w:p>
      <w:pPr>
        <w:spacing w:after="0" w:line="189" w:lineRule="exact"/>
        <w:rPr>
          <w:sz w:val="20"/>
          <w:szCs w:val="20"/>
          <w:color w:val="auto"/>
        </w:rPr>
      </w:pPr>
    </w:p>
    <w:p>
      <w:pPr>
        <w:ind w:right="320" w:firstLine="324"/>
        <w:spacing w:after="0" w:line="255" w:lineRule="auto"/>
        <w:rPr>
          <w:sz w:val="20"/>
          <w:szCs w:val="20"/>
          <w:color w:val="auto"/>
        </w:rPr>
      </w:pPr>
      <w:r>
        <w:rPr>
          <w:rFonts w:ascii="Times New Roman" w:cs="Times New Roman" w:eastAsia="Times New Roman" w:hAnsi="Times New Roman"/>
          <w:sz w:val="18"/>
          <w:szCs w:val="18"/>
          <w:color w:val="auto"/>
        </w:rPr>
        <w:t>In September 2018, we entered into an amended and restated credit agreement (“the new agreement”) that expires in September 2023. The new agreement, which replaced our prior credit facility, has a $50 million borrowing limit, with an expansion capacity to $100 million, and is secured by substantially all of our assets located in the United States and common stock we own in certain of our foreign subsidiaries. The new agreement limits the amount we can pay in cash dividends on Photronics, Inc. stock, and contains the following financial covenants: minimum interest coverage ratio, total leverage ratio and minimum unrestricted cash balance, all of which we were in compliance with at January 27, 2019. We had no outstanding borrowings against the new agreement at January 27, 2019, and $50 million was available for borrowing. The interest rate on the new agreement (2.5% at January 27, 2019) is based on our total leverage ratio at LIBOR plus a spread, as defined in the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REVENUE</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adopted Accounting Standards Update 2014-09 and all subsequent amendments which are collectively codified in Accounting Standards Codification Topic 606 – “Revenue from Contracts with Customers” (“Topic 606”) - on November 1, 2018, under the modified retrospective transition method, only to contracts that were not complete as of the date of adoption. This approach requires prospective application of the guidance with a cumulative effect adjustment to retained earnings to reflect the impact of the adoption on contracts that were not complete as of the date of the adoption. In accordance with the modified retrospective transition method, the results of the prior year period presented have not been adjusted for the effects of Topic 606.</w:t>
      </w:r>
    </w:p>
    <w:p>
      <w:pPr>
        <w:spacing w:after="0" w:line="18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Under Topic 606, we recognize revenue when, or as, control of a good or service transfers to a customer, in an amount that reflects the consideration to which we expect to be entitled in exchange for transferring those goods or services, whereas, prior to our adoption of Topic 606, we recognized revenue when we shipped to customers or, under some arrangements, when the customers received the goods. The following tables present the impacts of our adoption of Topic 606 on our January 27, 2019, condensed consolidated balance sheet and our condensed consolidated statements of income and cash flows for the three months ended January 27, 2019.</w:t>
      </w:r>
    </w:p>
    <w:p>
      <w:pPr>
        <w:spacing w:after="0" w:line="18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9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January 27, 2019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430"/>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Balance without</w:t>
            </w:r>
          </w:p>
        </w:tc>
        <w:tc>
          <w:tcPr>
            <w:tcW w:w="2280" w:type="dxa"/>
            <w:vAlign w:val="bottom"/>
          </w:tcPr>
          <w:p>
            <w:pPr>
              <w:spacing w:after="0"/>
              <w:rPr>
                <w:sz w:val="24"/>
                <w:szCs w:val="24"/>
                <w:color w:val="auto"/>
              </w:rPr>
            </w:pPr>
          </w:p>
        </w:tc>
      </w:tr>
      <w:tr>
        <w:trPr>
          <w:trHeight w:val="245"/>
        </w:trPr>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60" w:type="dxa"/>
            <w:vAlign w:val="bottom"/>
          </w:tcPr>
          <w:p>
            <w:pPr>
              <w:spacing w:after="0"/>
              <w:rPr>
                <w:sz w:val="21"/>
                <w:szCs w:val="21"/>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60" w:type="dxa"/>
            <w:vAlign w:val="bottom"/>
          </w:tcPr>
          <w:p>
            <w:pPr>
              <w:spacing w:after="0"/>
              <w:rPr>
                <w:sz w:val="21"/>
                <w:szCs w:val="21"/>
                <w:color w:val="auto"/>
              </w:rPr>
            </w:pPr>
          </w:p>
        </w:tc>
        <w:tc>
          <w:tcPr>
            <w:tcW w:w="1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Adoption of Topic 606</w:t>
            </w:r>
          </w:p>
        </w:tc>
        <w:tc>
          <w:tcPr>
            <w:tcW w:w="2280" w:type="dxa"/>
            <w:vAlign w:val="bottom"/>
          </w:tcPr>
          <w:p>
            <w:pPr>
              <w:spacing w:after="0"/>
              <w:rPr>
                <w:sz w:val="21"/>
                <w:szCs w:val="21"/>
                <w:color w:val="auto"/>
              </w:rPr>
            </w:pPr>
          </w:p>
        </w:tc>
      </w:tr>
      <w:tr>
        <w:trPr>
          <w:trHeight w:val="176"/>
        </w:trPr>
        <w:tc>
          <w:tcPr>
            <w:tcW w:w="29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6"/>
        </w:trPr>
        <w:tc>
          <w:tcPr>
            <w:tcW w:w="29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131,066</w:t>
            </w:r>
          </w:p>
        </w:tc>
        <w:tc>
          <w:tcPr>
            <w:tcW w:w="4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130,747</w:t>
            </w:r>
          </w:p>
        </w:tc>
        <w:tc>
          <w:tcPr>
            <w:tcW w:w="2280" w:type="dxa"/>
            <w:vAlign w:val="bottom"/>
          </w:tcPr>
          <w:p>
            <w:pPr>
              <w:spacing w:after="0"/>
              <w:rPr>
                <w:sz w:val="18"/>
                <w:szCs w:val="18"/>
                <w:color w:val="auto"/>
              </w:rPr>
            </w:pPr>
          </w:p>
        </w:tc>
      </w:tr>
      <w:tr>
        <w:trPr>
          <w:trHeight w:val="216"/>
        </w:trPr>
        <w:tc>
          <w:tcPr>
            <w:tcW w:w="29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27,874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4,678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32,552</w:t>
            </w:r>
          </w:p>
        </w:tc>
        <w:tc>
          <w:tcPr>
            <w:tcW w:w="2280" w:type="dxa"/>
            <w:vAlign w:val="bottom"/>
          </w:tcPr>
          <w:p>
            <w:pPr>
              <w:spacing w:after="0"/>
              <w:rPr>
                <w:sz w:val="18"/>
                <w:szCs w:val="18"/>
                <w:color w:val="auto"/>
              </w:rPr>
            </w:pPr>
          </w:p>
        </w:tc>
      </w:tr>
      <w:tr>
        <w:trPr>
          <w:trHeight w:val="216"/>
        </w:trPr>
        <w:tc>
          <w:tcPr>
            <w:tcW w:w="29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57,043</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(6,846)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50,197</w:t>
            </w:r>
          </w:p>
        </w:tc>
        <w:tc>
          <w:tcPr>
            <w:tcW w:w="2280" w:type="dxa"/>
            <w:vAlign w:val="bottom"/>
          </w:tcPr>
          <w:p>
            <w:pPr>
              <w:spacing w:after="0"/>
              <w:rPr>
                <w:sz w:val="18"/>
                <w:szCs w:val="18"/>
                <w:color w:val="auto"/>
              </w:rPr>
            </w:pPr>
          </w:p>
        </w:tc>
      </w:tr>
      <w:tr>
        <w:trPr>
          <w:trHeight w:val="216"/>
        </w:trPr>
        <w:tc>
          <w:tcPr>
            <w:tcW w:w="29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15,405</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15,331</w:t>
            </w:r>
          </w:p>
        </w:tc>
        <w:tc>
          <w:tcPr>
            <w:tcW w:w="2280" w:type="dxa"/>
            <w:vAlign w:val="bottom"/>
          </w:tcPr>
          <w:p>
            <w:pPr>
              <w:spacing w:after="0"/>
              <w:rPr>
                <w:sz w:val="18"/>
                <w:szCs w:val="18"/>
                <w:color w:val="auto"/>
              </w:rPr>
            </w:pPr>
          </w:p>
        </w:tc>
      </w:tr>
      <w:tr>
        <w:trPr>
          <w:trHeight w:val="196"/>
        </w:trPr>
        <w:tc>
          <w:tcPr>
            <w:tcW w:w="78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2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16"/>
        </w:trPr>
        <w:tc>
          <w:tcPr>
            <w:tcW w:w="29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43,005</w:t>
            </w:r>
          </w:p>
        </w:tc>
        <w:tc>
          <w:tcPr>
            <w:tcW w:w="4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43,251</w:t>
            </w:r>
          </w:p>
        </w:tc>
        <w:tc>
          <w:tcPr>
            <w:tcW w:w="2280" w:type="dxa"/>
            <w:vAlign w:val="bottom"/>
          </w:tcPr>
          <w:p>
            <w:pPr>
              <w:spacing w:after="0"/>
              <w:rPr>
                <w:sz w:val="18"/>
                <w:szCs w:val="18"/>
                <w:color w:val="auto"/>
              </w:rPr>
            </w:pPr>
          </w:p>
        </w:tc>
      </w:tr>
      <w:tr>
        <w:trPr>
          <w:trHeight w:val="216"/>
        </w:trPr>
        <w:tc>
          <w:tcPr>
            <w:tcW w:w="29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908</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c>
          <w:tcPr>
            <w:tcW w:w="2280" w:type="dxa"/>
            <w:vAlign w:val="bottom"/>
          </w:tcPr>
          <w:p>
            <w:pPr>
              <w:spacing w:after="0"/>
              <w:rPr>
                <w:sz w:val="18"/>
                <w:szCs w:val="18"/>
                <w:color w:val="auto"/>
              </w:rPr>
            </w:pPr>
          </w:p>
        </w:tc>
      </w:tr>
      <w:tr>
        <w:trPr>
          <w:trHeight w:val="176"/>
        </w:trPr>
        <w:tc>
          <w:tcPr>
            <w:tcW w:w="29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Equity</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6"/>
        </w:trPr>
        <w:tc>
          <w:tcPr>
            <w:tcW w:w="29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236,665</w:t>
            </w:r>
          </w:p>
        </w:tc>
        <w:tc>
          <w:tcPr>
            <w:tcW w:w="4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(1,788)</w:t>
            </w: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234,877</w:t>
            </w:r>
          </w:p>
        </w:tc>
        <w:tc>
          <w:tcPr>
            <w:tcW w:w="2280" w:type="dxa"/>
            <w:vAlign w:val="bottom"/>
          </w:tcPr>
          <w:p>
            <w:pPr>
              <w:spacing w:after="0"/>
              <w:rPr>
                <w:sz w:val="18"/>
                <w:szCs w:val="18"/>
                <w:color w:val="auto"/>
              </w:rPr>
            </w:pPr>
          </w:p>
        </w:tc>
      </w:tr>
      <w:tr>
        <w:trPr>
          <w:trHeight w:val="234"/>
        </w:trPr>
        <w:tc>
          <w:tcPr>
            <w:tcW w:w="29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152,082</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151,529</w:t>
            </w:r>
          </w:p>
        </w:tc>
        <w:tc>
          <w:tcPr>
            <w:tcW w:w="2280" w:type="dxa"/>
            <w:vAlign w:val="bottom"/>
          </w:tcPr>
          <w:p>
            <w:pPr>
              <w:spacing w:after="0"/>
              <w:rPr>
                <w:sz w:val="20"/>
                <w:szCs w:val="20"/>
                <w:color w:val="auto"/>
              </w:rPr>
            </w:pPr>
          </w:p>
        </w:tc>
      </w:tr>
      <w:tr>
        <w:trPr>
          <w:trHeight w:val="552"/>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4"/>
        </w:trPr>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12" w:name="page13"/>
    <w:bookmarkEnd w:id="1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Income</w:t>
      </w:r>
    </w:p>
    <w:p>
      <w:pPr>
        <w:spacing w:after="0" w:line="31"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January 27,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 without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80" w:type="dxa"/>
            <w:vAlign w:val="bottom"/>
            <w:gridSpan w:val="2"/>
          </w:tcPr>
          <w:p>
            <w:pPr>
              <w:spacing w:after="0"/>
              <w:rPr>
                <w:sz w:val="21"/>
                <w:szCs w:val="2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Adoption of Topic 606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7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124,712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(2,245)</w:t>
            </w:r>
          </w:p>
        </w:tc>
        <w:tc>
          <w:tcPr>
            <w:tcW w:w="2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122,467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98,610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taxes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attributable to Photronics, Inc. shareholders</w:t>
            </w:r>
          </w:p>
        </w:tc>
        <w:tc>
          <w:tcPr>
            <w:tcW w:w="280" w:type="dxa"/>
            <w:vAlign w:val="bottom"/>
            <w:gridSpan w:val="2"/>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6480" w:type="dxa"/>
            <w:vAlign w:val="bottom"/>
            <w:gridSpan w:val="9"/>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80" w:type="dxa"/>
            <w:vAlign w:val="bottom"/>
            <w:gridSpan w:val="9"/>
          </w:tcPr>
          <w:p>
            <w:pPr>
              <w:jc w:val="center"/>
              <w:ind w:left="2430"/>
              <w:spacing w:after="0" w:line="198" w:lineRule="exact"/>
              <w:rPr>
                <w:sz w:val="20"/>
                <w:szCs w:val="20"/>
                <w:color w:val="auto"/>
              </w:rPr>
            </w:pPr>
            <w:r>
              <w:rPr>
                <w:rFonts w:ascii="Times New Roman" w:cs="Times New Roman" w:eastAsia="Times New Roman" w:hAnsi="Times New Roman"/>
                <w:sz w:val="18"/>
                <w:szCs w:val="18"/>
                <w:b w:val="1"/>
                <w:bCs w:val="1"/>
                <w:color w:val="auto"/>
                <w:w w:val="99"/>
              </w:rPr>
              <w:t>Three Months Ended January 27, 2019</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 without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60" w:type="dxa"/>
            <w:vAlign w:val="bottom"/>
          </w:tcPr>
          <w:p>
            <w:pPr>
              <w:spacing w:after="0"/>
              <w:rPr>
                <w:sz w:val="21"/>
                <w:szCs w:val="21"/>
                <w:color w:val="auto"/>
              </w:rPr>
            </w:pPr>
          </w:p>
        </w:tc>
        <w:tc>
          <w:tcPr>
            <w:tcW w:w="19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Adoption of Topic 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(1,136)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accounts: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(19,859)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(12,107)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(11,974)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(referred to as “mask sets”),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will be a number of revenue contracts on which we have performed; for any such contracts that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w:t>
      </w:r>
    </w:p>
    <w:p>
      <w:pPr>
        <w:spacing w:after="0" w:line="19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As stated above, photomasks are manufactured in accordance with proprietary designs provided by our customers;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is resolved.</w:t>
      </w: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6" w:right="319" w:bottom="1440" w:gutter="0" w:footer="0" w:header="0"/>
        </w:sectPr>
      </w:pPr>
    </w:p>
    <w:bookmarkStart w:id="13" w:name="page14"/>
    <w:bookmarkEnd w:id="1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Contract Liabilities and Accounts Receivable</w:t>
      </w:r>
    </w:p>
    <w:p>
      <w:pPr>
        <w:spacing w:after="0" w:line="247" w:lineRule="exact"/>
        <w:rPr>
          <w:sz w:val="20"/>
          <w:szCs w:val="20"/>
          <w:color w:val="auto"/>
        </w:rPr>
      </w:pPr>
    </w:p>
    <w:p>
      <w:pPr>
        <w:ind w:firstLine="324"/>
        <w:spacing w:after="0" w:line="233" w:lineRule="auto"/>
        <w:rPr>
          <w:sz w:val="20"/>
          <w:szCs w:val="20"/>
          <w:color w:val="auto"/>
        </w:rPr>
      </w:pPr>
      <w:r>
        <w:rPr>
          <w:rFonts w:ascii="Times New Roman" w:cs="Times New Roman" w:eastAsia="Times New Roman" w:hAnsi="Times New Roman"/>
          <w:sz w:val="22"/>
          <w:szCs w:val="22"/>
          <w:color w:val="auto"/>
        </w:rPr>
        <w:t xml:space="preserve">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to customers of photomasks that are in-process or completed but not yet shipped. A receivable is recognized when we have an unconditional right to payment for our performance, which generally occurs when we ship the photomasks. Our contract assets </w:t>
      </w:r>
      <w:r>
        <w:rPr>
          <w:rFonts w:ascii="Times New Roman" w:cs="Times New Roman" w:eastAsia="Times New Roman" w:hAnsi="Times New Roman"/>
          <w:sz w:val="18"/>
          <w:szCs w:val="18"/>
          <w:color w:val="auto"/>
        </w:rPr>
        <w:t>account</w:t>
      </w:r>
      <w:r>
        <w:rPr>
          <w:rFonts w:ascii="Times New Roman" w:cs="Times New Roman" w:eastAsia="Times New Roman" w:hAnsi="Times New Roman"/>
          <w:sz w:val="22"/>
          <w:szCs w:val="22"/>
          <w:color w:val="auto"/>
        </w:rPr>
        <w:t xml:space="preserve"> primarily </w:t>
      </w:r>
      <w:r>
        <w:rPr>
          <w:rFonts w:ascii="Times New Roman" w:cs="Times New Roman" w:eastAsia="Times New Roman" w:hAnsi="Times New Roman"/>
          <w:sz w:val="18"/>
          <w:szCs w:val="18"/>
          <w:color w:val="auto"/>
        </w:rPr>
        <w:t>consist</w:t>
      </w:r>
      <w:r>
        <w:rPr>
          <w:rFonts w:ascii="Times New Roman" w:cs="Times New Roman" w:eastAsia="Times New Roman" w:hAnsi="Times New Roman"/>
          <w:sz w:val="22"/>
          <w:szCs w:val="22"/>
          <w:color w:val="auto"/>
        </w:rPr>
        <w:t xml:space="preserve"> of a significant amount of our work-in-process inventory and fully manufactured photomasks which have not yet shipped, if we have an enforceable right to collect consideration (including a reasonable profit), in the event the in-process orders are cancelled by customers. On </w:t>
      </w:r>
      <w:r>
        <w:rPr>
          <w:rFonts w:ascii="Times New Roman" w:cs="Times New Roman" w:eastAsia="Times New Roman" w:hAnsi="Times New Roman"/>
          <w:sz w:val="18"/>
          <w:szCs w:val="18"/>
          <w:color w:val="auto"/>
        </w:rPr>
        <w:t>an individual</w:t>
      </w:r>
      <w:r>
        <w:rPr>
          <w:rFonts w:ascii="Times New Roman" w:cs="Times New Roman" w:eastAsia="Times New Roman" w:hAnsi="Times New Roman"/>
          <w:sz w:val="22"/>
          <w:szCs w:val="22"/>
          <w:color w:val="auto"/>
        </w:rPr>
        <w:t xml:space="preserve"> contract basis, we net contract assets with contract liabilities (deferred revenue) for financial </w:t>
      </w:r>
      <w:r>
        <w:rPr>
          <w:rFonts w:ascii="Times New Roman" w:cs="Times New Roman" w:eastAsia="Times New Roman" w:hAnsi="Times New Roman"/>
          <w:sz w:val="18"/>
          <w:szCs w:val="18"/>
          <w:color w:val="auto"/>
        </w:rPr>
        <w:t>reporting</w:t>
      </w:r>
      <w:r>
        <w:rPr>
          <w:rFonts w:ascii="Times New Roman" w:cs="Times New Roman" w:eastAsia="Times New Roman" w:hAnsi="Times New Roman"/>
          <w:sz w:val="22"/>
          <w:szCs w:val="22"/>
          <w:color w:val="auto"/>
        </w:rPr>
        <w:t xml:space="preserve"> purposes. Our contract assets and liabilities are typically classified as current, as our production cycle and our lead times are both under one year. Contract assets of $6.8 million are included in “Other” current assets, and contract liabilities of $9.5 million are included in “Other” current liabilities in our January 27, 2019 condensed consolidated balance sheet. At November 1, 2018, our date of adoption of Topic 606, we had contract assets of $4.6 million and contract liabilities of $7.8 million. We did not impair any contract assets during the three month period ended January 27, 2019, and we recognized $0.7 million of revenue from the settlement of contract liabilities that existed at the beginning of that period.</w:t>
      </w:r>
    </w:p>
    <w:p>
      <w:pPr>
        <w:spacing w:after="0" w:line="190"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We generally record our accounts receivables at their billed amounts. All outstanding past due customer invoices are reviewed during, and at the end of, every period for collectibility. To the extent we believe a loss on the collection of a customer invoice is probable, we record the loss and credit the allowance for doubtful accounts. In the event that an amount is determined to be uncollectible, we charge the allowance for doubtful accounts and eliminate the related receivable. We did not incur any credit losses on our accounts receivable during the three month period ended January 27, 2019.</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invoice terms generally range from net 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collectibility risk, we require payment in advance of performance. We have elected the practical expedient allowed under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18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we’ve received from customers have not preceded the completion of our performance obligations by more than one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revenue for the quarter ended January 27, 2019, disaggregated by product type, geographic location, and timing of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198"/>
        </w:trPr>
        <w:tc>
          <w:tcPr>
            <w:tcW w:w="362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Revenue by Product Type</w:t>
            </w:r>
          </w:p>
        </w:tc>
        <w:tc>
          <w:tcPr>
            <w:tcW w:w="120" w:type="dxa"/>
            <w:vAlign w:val="bottom"/>
          </w:tcPr>
          <w:p>
            <w:pPr>
              <w:spacing w:after="0"/>
              <w:rPr>
                <w:sz w:val="17"/>
                <w:szCs w:val="17"/>
                <w:color w:val="auto"/>
              </w:rPr>
            </w:pPr>
          </w:p>
        </w:tc>
        <w:tc>
          <w:tcPr>
            <w:tcW w:w="196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b w:val="1"/>
                <w:bCs w:val="1"/>
                <w:color w:val="auto"/>
              </w:rPr>
              <w:t>January 27, 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36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IC</w:t>
            </w: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620" w:type="dxa"/>
            <w:vAlign w:val="bottom"/>
            <w:gridSpan w:val="7"/>
            <w:vMerge w:val="continue"/>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High-end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Mainstream</w:t>
            </w: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440" w:type="dxa"/>
            <w:vAlign w:val="bottom"/>
            <w:tcBorders>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94,880</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0"/>
              </w:rPr>
              <w:t>FPD</w:t>
            </w:r>
          </w:p>
        </w:tc>
        <w:tc>
          <w:tcPr>
            <w:tcW w:w="3280" w:type="dxa"/>
            <w:vAlign w:val="bottom"/>
            <w:tcBorders>
              <w:bottom w:val="single" w:sz="8" w:color="CCEEFF"/>
            </w:tcBorders>
            <w:gridSpan w:val="4"/>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High-end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Mainstream</w:t>
            </w:r>
          </w:p>
        </w:tc>
        <w:tc>
          <w:tcPr>
            <w:tcW w:w="1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85"/>
        </w:trPr>
        <w:tc>
          <w:tcPr>
            <w:tcW w:w="36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Location</w:t>
            </w: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Korea</w:t>
            </w: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Timing of Recognition</w:t>
            </w: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3620" w:type="dxa"/>
            <w:vAlign w:val="bottom"/>
            <w:gridSpan w:val="7"/>
            <w:vMerge w:val="continue"/>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16" w:right="299" w:bottom="870" w:gutter="0" w:footer="0" w:header="0"/>
        </w:sectPr>
      </w:pP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6" w:right="299" w:bottom="870" w:gutter="0" w:footer="0" w:header="0"/>
          <w:type w:val="continuous"/>
        </w:sectPr>
      </w:pPr>
    </w:p>
    <w:bookmarkStart w:id="14" w:name="page15"/>
    <w:bookmarkEnd w:id="1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pay commissions to third party sales agents for certain sales that they obtain for us. However, the basis of the commissions is the transaction prices of the sales, which are completed in less than one year; thus, no relationship is established with a customer that will result in future business. Therefore, we would not recognize any portion of these sales commissions as costs of obtaining contract assets, nor do we currently foresee other circumstances under which we would recognize such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we are typically required to fulfill customer orders within a short time period, our backlog of orders is generally not in excess of one to two weeks for IC photomasks and two to three weeks for FPD photomasks. As allowed under Topic 606, we have elected not to disclose our remaining performance obligations, comprised of completion of the manufacturing process of in-process photomasks, related to contracts that have an original duration of one year or 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Similar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report our revenue net of any sales or similar taxes we collect on behalf of governmental entities.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photomasks are sold under warranties that generally range from 30 to 90 days. We warrant that our photomasks conform to customer specifications, and that we will repair or replace, at our option, any photomasks that fail to do so. The warranties do not represent separate performance obligations in our revenue contracts. Historically, customer claims under warranty have been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SHARE-BASED COMPENSATION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March 2016, shareholders approved a new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open-market or in private transactions), shares that are being held in the treasury, or a combination thereof. The maximum number of shares of common stock approved that may be issued under the Plan is four million shares.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We incurred total share-based compensation expenses of $1.1 million and $0.9 million in the three month periods ended January 27, 2019 and January 28, 2018, and we received cash from option exercises of $0.5 million and $0.7 million during those respective periods. No share-based compensation cost was capitalized as part of an asset and no related income tax benefits were recorded during the periods presented.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Option awards generally vest in one-to-four years and have a ten-year contractual term. All incentive and non-qualified stock option grants have an exercise price no less than the market value of the underlying common stock on the date of grant. The grant 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the options granted are expected to remain outstanding. The risk-free rate of return for the estimated term of an option is based on the U.S. Treasury yield curve in effect at the date of grant.</w:t>
      </w:r>
    </w:p>
    <w:p>
      <w:pPr>
        <w:spacing w:after="0" w:line="188"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There were 132,000 share options granted during the three month period ended January 27, 2019, with a weighted-average grant date fair value of $3.31 per share, and there were 252,000 share options granted during the three month period ended January 28, 2018, with a weighted-average grant date fair value of $2.74 per share. As of January 27, 2019, the total unrecognized compensation cost related to unvested option awards was approximately $1.6 million. That cost is expected to be recognized over a weighted-average amortization period of 2.4 years.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15" w:name="page16"/>
    <w:bookmarkEnd w:id="1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inputs and risk-free rates of return used to calculate the grant date fair value of options issued during the three month periods ended January 27, 2019 and January 28, 2018, are presented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80" w:type="dxa"/>
            <w:vAlign w:val="bottom"/>
          </w:tcPr>
          <w:p>
            <w:pPr>
              <w:spacing w:after="0"/>
              <w:rPr>
                <w:sz w:val="21"/>
                <w:szCs w:val="21"/>
                <w:color w:val="auto"/>
              </w:rPr>
            </w:pPr>
          </w:p>
        </w:tc>
        <w:tc>
          <w:tcPr>
            <w:tcW w:w="28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288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27,</w:t>
            </w:r>
          </w:p>
        </w:tc>
        <w:tc>
          <w:tcPr>
            <w:tcW w:w="118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200" w:type="dxa"/>
            <w:vAlign w:val="bottom"/>
          </w:tcPr>
          <w:p>
            <w:pPr>
              <w:spacing w:after="0"/>
              <w:rPr>
                <w:sz w:val="16"/>
                <w:szCs w:val="16"/>
                <w:color w:val="auto"/>
              </w:rPr>
            </w:pPr>
          </w:p>
        </w:tc>
      </w:tr>
      <w:tr>
        <w:trPr>
          <w:trHeight w:val="245"/>
        </w:trPr>
        <w:tc>
          <w:tcPr>
            <w:tcW w:w="288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Pr>
          <w:p>
            <w:pPr>
              <w:spacing w:after="0"/>
              <w:rPr>
                <w:sz w:val="21"/>
                <w:szCs w:val="21"/>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21"/>
                <w:szCs w:val="21"/>
                <w:color w:val="auto"/>
              </w:rPr>
            </w:pPr>
          </w:p>
        </w:tc>
      </w:tr>
      <w:tr>
        <w:trPr>
          <w:trHeight w:val="216"/>
        </w:trPr>
        <w:tc>
          <w:tcPr>
            <w:tcW w:w="288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r>
      <w:tr>
        <w:trPr>
          <w:trHeight w:val="216"/>
        </w:trPr>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Volatility</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288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r>
      <w:tr>
        <w:trPr>
          <w:trHeight w:val="216"/>
        </w:trPr>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Risk free rate of return</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2.5-2.9%</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88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r>
      <w:tr>
        <w:trPr>
          <w:trHeight w:val="216"/>
        </w:trPr>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Dividend yield</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88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r>
      <w:tr>
        <w:trPr>
          <w:trHeight w:val="216"/>
        </w:trPr>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Expected term</w:t>
            </w:r>
          </w:p>
        </w:tc>
        <w:tc>
          <w:tcPr>
            <w:tcW w:w="1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5.1 years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 years</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on outstanding and exercisable option awards as of January 27, 2019,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60" w:type="dxa"/>
            <w:vAlign w:val="bottom"/>
            <w:tcBorders>
              <w:bottom w:val="single" w:sz="8" w:color="auto"/>
            </w:tcBorders>
          </w:tcPr>
          <w:p>
            <w:pPr>
              <w:ind w:left="28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6260" w:type="dxa"/>
            <w:vAlign w:val="bottom"/>
          </w:tcPr>
          <w:p>
            <w:pPr>
              <w:spacing w:after="0"/>
              <w:rPr>
                <w:sz w:val="24"/>
                <w:szCs w:val="24"/>
                <w:color w:val="auto"/>
              </w:rPr>
            </w:pPr>
          </w:p>
        </w:tc>
        <w:tc>
          <w:tcPr>
            <w:tcW w:w="152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27, 2019</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2,452,168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8.84</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5.9 years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52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January 27, 2019</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1,831,351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5.1 years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4,373</w:t>
            </w:r>
          </w:p>
        </w:tc>
        <w:tc>
          <w:tcPr>
            <w:tcW w:w="0" w:type="dxa"/>
            <w:vAlign w:val="bottom"/>
          </w:tcPr>
          <w:p>
            <w:pPr>
              <w:spacing w:after="0"/>
              <w:rPr>
                <w:sz w:val="1"/>
                <w:szCs w:val="1"/>
                <w:color w:val="auto"/>
              </w:rPr>
            </w:pPr>
          </w:p>
        </w:tc>
      </w:tr>
      <w:tr>
        <w:trPr>
          <w:trHeight w:val="432"/>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periodically grant restricted stock awards, the restrictions on which typically lapse over a service period of one-to-four years. The fair value of the awards is determined on the date of grant, based on the closing price of our common stock. There were 435,000 restricted stock awards issued during the three month period ended January 27, 2019, with a weighted-average grant date fair value of $9.80 per share, and there were 280,000 restricted stock awards issued during the three month period ended January 28, 2018, with a weighted-average grant date fair value of $8.63 per share. As of January 27, 2019, the total compensation cost not yet recognized related to unvested restricted stock awards was approximately $6.3 million. That cost is expected to be recognized over a weighted-average amortization period of 3.1 years. As of January 27, 2019, there were 724,113 shares of restricted stock outstanding.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calculate our provision for income taxes at the end of each interim reporting period on the basis of an estimated annual effective tax rate adjusted for tax items that are discrete to each period.</w:t>
      </w:r>
    </w:p>
    <w:p>
      <w:pPr>
        <w:spacing w:after="0" w:line="16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effective tax rate of 15.2% differs from the U.S. statutory rate of 21.0% in the three month period ended January 27, 2019, primarily due to earnings being taxed at lower statutory rates in foreign jurisdictions, the settlement of a tax audit, and the benefit of tax holidays and investment credits in certain foreign jurisdictions.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Valuation allowances in jurisdictions with historic losses, including the U.S., eliminate the tax benefit of losses in these jurisdictions.</w:t>
      </w:r>
    </w:p>
    <w:p>
      <w:pPr>
        <w:spacing w:after="0" w:line="22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Unrecognized tax benefits related to uncertain tax positions were $0.9 million at January 27, 2019, and $1.9 million at October 31, 2018, all of which, if recognized, would favorably impact the Company’s effective tax rate. Accrued interest and penalties related to unrecognized tax benefits was $0.1 million at January 29, 2019 and October 31, 2018. Reduction in the amount of unrecognized tax benefits primarily resulted from the settlement of a tax audit with the tax authorities in Taiwan. Although timing of the expirations of statutes of limitations may be uncertain, as they can be dependent upon the settlement of tax audits, the Company believes that it is reasonably possible that an immaterial amount of its uncertain tax positions (including accrued interest and penalties, net of tax benefits) may be resolved over the next twelve months. The resolution of these uncertain tax positions may result from either or both the lapses of statutes of limitations and tax settlements.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6" w:name="page17"/>
    <w:bookmarkEnd w:id="1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were granted a five-year tax holiday in Taiwan that expires in December 31, 2019. This tax holiday reduced foreign taxes by $0.8 million, and $0.1 million in the three month periods ended January 27, 2019 and January 28, 2018, respectively, with a one half-cent per share impact in the January 27, 2019 period and a de minimis per share effect in the January 28, 2018 period.</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effective tax rate benefit of (23.1%) differs from the post U.S. Tax Reform blended statutory rate of 23.4% in the three month period ended January 28, 2018, primarily due to the benefit from U.S. and Taiwan Tax Reform (as discussed below), earnings being taxed at lower statutory rates in foreign jurisdictions, and the benefit of various investment credits in a foreign jurisdiction.</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December 22, 2017, the U.S. Tax Cuts and Jobs Act (the “Act”), was signed into law, enacting significant changes to the United States Internal Revenue Code of 1986, as amended. Based on the enactment date, we accounted for the Act in our interim period ended January 28, 2018. In December 2017, the Securities and Exchange Commission released Staff Accounting Bulletin No. 118 (“SAB 118”) to address situations in which the accounting under Accounting Standards Codification 740 is incomplete for certain income tax effects of the Act. We adopted SAB 118 in our first quarter of fiscal year 2018, and finalized the effects in our fourth quarter of fiscal 2018. In the period ended January 28, 2018, we recognized the following effects in our provision for income taxes:</w:t>
      </w:r>
    </w:p>
    <w:p>
      <w:pPr>
        <w:spacing w:after="0" w:line="188" w:lineRule="exact"/>
        <w:rPr>
          <w:sz w:val="20"/>
          <w:szCs w:val="20"/>
          <w:color w:val="auto"/>
        </w:rPr>
      </w:pPr>
    </w:p>
    <w:p>
      <w:pPr>
        <w:ind w:left="1060" w:right="80" w:hanging="323"/>
        <w:spacing w:after="0" w:line="266"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repealed the corporate alternative minimum tax (“AMT”) for tax years beginning after December 31, 2017, and provided that existing AMT credit carryforwards are fully refundable. We recognized a $3.9 million benefit on AMT credit carryforwards that we previously determined were not more likely than not going to be realized and reversed the previously recorded valuation allowance.</w:t>
      </w:r>
    </w:p>
    <w:p>
      <w:pPr>
        <w:spacing w:after="0" w:line="149" w:lineRule="exact"/>
        <w:rPr>
          <w:rFonts w:ascii="Times New Roman" w:cs="Times New Roman" w:eastAsia="Times New Roman" w:hAnsi="Times New Roman"/>
          <w:sz w:val="18"/>
          <w:szCs w:val="18"/>
          <w:color w:val="auto"/>
        </w:rPr>
      </w:pPr>
    </w:p>
    <w:p>
      <w:pPr>
        <w:ind w:left="1060" w:right="120" w:hanging="323"/>
        <w:spacing w:after="0" w:line="289" w:lineRule="auto"/>
        <w:tabs>
          <w:tab w:leader="none" w:pos="10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January 1, 2018, the Act reduced the corporate income tax rate from a maximum 35% to a flat 21%, requiring us to revalue our deferred tax assets and liabilities utilizing the rate applicable to the period when a temporary difference will reverse. Our net deferred tax asset is fully offset by a valuation allowance, and the revaluation of the deferred tax assets and liabilities resulted in a net zero impact for the period.</w:t>
      </w:r>
    </w:p>
    <w:p>
      <w:pPr>
        <w:spacing w:after="0" w:line="117" w:lineRule="exact"/>
        <w:rPr>
          <w:rFonts w:ascii="Times New Roman" w:cs="Times New Roman" w:eastAsia="Times New Roman" w:hAnsi="Times New Roman"/>
          <w:sz w:val="17"/>
          <w:szCs w:val="17"/>
          <w:color w:val="auto"/>
        </w:rPr>
      </w:pPr>
    </w:p>
    <w:p>
      <w:pPr>
        <w:ind w:left="1060" w:right="140" w:hanging="323"/>
        <w:spacing w:after="0" w:line="282"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imposed a transition tax for a one-time deemed repatriation of the accumulated earnings of foreign subsidiaries. The entire amount of transition tax was fully offset by tax credits, including carryforwards, that resulted in a provisional net zero impact on the period.</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January 18, 2018, the Taiwan Legislature Yuan approved amendments to the Income Tax Act, enacting an increase in the corporate tax rate from 17% to 20%, requiring us to revalue our deferred tax assets and liabilities utilizing the rate applicable to the period when a temporary difference will reverse. Accordingly, a net benefit of $0.2 million is reflected in our tax provision for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Standard</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the first quarter of 2019, the Company adopted Accounting Standards Update 2016-16 – “Intra-Entity Transfers Other Than Inventory”, which requires an entity to recognize the income tax consequences of an intra-entity transfer of an asset other than inventory when the transfer occurs. In connection therewith, we recorded a transition adjustment of $1.1 million that reduced prepaid income taxes (included in Other current assets on the condensed consolidated balance sheets) against beginning retained earnings.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9 - EARNINGS PER SHARE</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calculation of basic and diluted earnings per share is presented below.</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27,</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used for diluted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computations: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used for basic earnings per share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Potentially dilutive common shares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used for diluted earnings per share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69,372</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shows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be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62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360" w:type="dxa"/>
            <w:vAlign w:val="bottom"/>
            <w:tcBorders>
              <w:top w:val="single" w:sz="8" w:color="auto"/>
            </w:tcBorders>
            <w:gridSpan w:val="2"/>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January 27,</w:t>
            </w:r>
          </w:p>
        </w:tc>
        <w:tc>
          <w:tcPr>
            <w:tcW w:w="114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45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4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awards</w:t>
            </w:r>
          </w:p>
        </w:tc>
        <w:tc>
          <w:tcPr>
            <w:tcW w:w="3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 excluded</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360" w:type="dxa"/>
            <w:vAlign w:val="bottom"/>
            <w:vMerge w:val="restart"/>
          </w:tcPr>
          <w:p>
            <w:pPr>
              <w:jc w:val="right"/>
              <w:ind w:right="1796"/>
              <w:spacing w:after="0"/>
              <w:rPr>
                <w:sz w:val="20"/>
                <w:szCs w:val="20"/>
                <w:color w:val="auto"/>
              </w:rPr>
            </w:pPr>
            <w:r>
              <w:rPr>
                <w:rFonts w:ascii="Times New Roman" w:cs="Times New Roman" w:eastAsia="Times New Roman" w:hAnsi="Times New Roman"/>
                <w:sz w:val="14"/>
                <w:szCs w:val="14"/>
                <w:color w:val="auto"/>
              </w:rPr>
              <w:t>18</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28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CHANGES IN ACCUMULATED OTHER COMPREHENSIVE INCOME BY COMPONENT</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our accumulated other comprehensive income by component (net of tax of $0) for the three month periods ended January 27, 2019 and January 28, 2018.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20" w:type="dxa"/>
            <w:vAlign w:val="bottom"/>
            <w:gridSpan w:val="9"/>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 January 27,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580" w:type="dxa"/>
            <w:vAlign w:val="bottom"/>
            <w:gridSpan w:val="3"/>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1, 2018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(4,328)</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(638)</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interests</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27, 2019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971</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(628)</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0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 Ended January 28, 2018</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380" w:type="dxa"/>
            <w:vAlign w:val="bottom"/>
            <w:tcBorders>
              <w:bottom w:val="single" w:sz="8" w:color="auto"/>
            </w:tcBorders>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5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1280" w:type="dxa"/>
            <w:vAlign w:val="bottom"/>
            <w:gridSpan w:val="3"/>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 Cash</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Flow Hedge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30, 2017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(688)</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Less: other comprehensive income(loss) attributable to noncontrolling interests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28, 2018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(704)</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32,128</w:t>
            </w:r>
          </w:p>
        </w:tc>
        <w:tc>
          <w:tcPr>
            <w:tcW w:w="0" w:type="dxa"/>
            <w:vAlign w:val="bottom"/>
          </w:tcPr>
          <w:p>
            <w:pPr>
              <w:spacing w:after="0"/>
              <w:rPr>
                <w:sz w:val="1"/>
                <w:szCs w:val="1"/>
                <w:color w:val="auto"/>
              </w:rPr>
            </w:pPr>
          </w:p>
        </w:tc>
      </w:tr>
      <w:tr>
        <w:trPr>
          <w:trHeight w:val="21"/>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fair values of our cash and cash equivalents (Level 1 measurements), accounts receivable, accounts payable, and certain other current assets and current liabilities (Level 2 measurements) approximate their carrying value due to their short-term maturities. The fair value of our convertible senior notes is a Level 2 measurement, as it was determined using inputs that were either observable market data, or could be derived from, or corroborated with, observable market data. These inputs included our stock price and interest rates offered on debt issued by entities with credit ratings similar to ours. We did not have any assets or liabilities measured at fair value, on a recurring or a nonrecurring basis, at January 27, 2019 or October 31, 2018.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of Financial Instruments Not Measured at Fair Value</w:t>
      </w:r>
    </w:p>
    <w:p>
      <w:pPr>
        <w:spacing w:after="0" w:line="20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our convertible senior notes is a Level 2 measurement, as it was determined using inputs that were either observable market data or could be derived from or corroborated with observable market data. These inputs included our stock price and interest rates offered on debt issued by entities with credit ratings similar to ours. The table below presents the fair and carrying values of our convertible senior notes at January 27, 2019 and October 31, 2018.</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494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January 27, 2019</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October 31, 2018</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Carrying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Carrying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3.25% convertible senior notes due 2019</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63,405</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57,482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62,094</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57,453</w:t>
            </w:r>
          </w:p>
        </w:tc>
        <w:tc>
          <w:tcPr>
            <w:tcW w:w="0" w:type="dxa"/>
            <w:vAlign w:val="bottom"/>
          </w:tcPr>
          <w:p>
            <w:pPr>
              <w:spacing w:after="0"/>
              <w:rPr>
                <w:sz w:val="1"/>
                <w:szCs w:val="1"/>
                <w:color w:val="auto"/>
              </w:rPr>
            </w:pPr>
          </w:p>
        </w:tc>
      </w:tr>
      <w:tr>
        <w:trPr>
          <w:trHeight w:val="432"/>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12 – SHARE REPURCHASE PROGRAM</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October 2018, the Company’s Board of Directors authorized the repurchase of up to $25 million of its common stock, to be executed in open-market transactions or in accordance with a repurchase plan under rule 10b5-1 of the Securities Act of 1933 (as amended). The share repurchase program commenced on October 22, 2018, and expired on February 1, 2019. The number of shares repurchased is subject to market conditions and our continual evaluation of the optimal use of our cash.</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From Inception Date of</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27, 2019</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October 22, 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1,137</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shares repurchased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10,694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432"/>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As of January 27, 2019, the Company had commitments outstanding for capital equipment expenditures of approximately $38 million, nearly all of which related to building and equipping our China facilities.</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various claims that arise in the ordinary course of business. We believe that such claims, individually or in the aggregate, will not have a material effect on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RECENT ACCOUNTING PRONOUNCEMENTS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November 2016, the FASB issued ASU 2016-18 “Restricted Cash”,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ASU 2016-18 was effective for Photronics, Inc. in its first quarter of fiscal year 2019 and was applied on a retrospective transition basis. Early adoption is permitted, including adoption in an interim period. Our adoption of the update did not materially impact our cash flows statement.</w:t>
      </w:r>
    </w:p>
    <w:p>
      <w:pPr>
        <w:spacing w:after="0" w:line="18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October 2016, the FASB issued ASU 2016-16 “Intra-Entity Transfers of Assets Other Than Inventory”, which eliminates the exception of recognizing, at the time of transfer, current and deferred income taxes for intra-entity asset transfers other than inventory. ASU 2016-16 is effective for us in our first quarter of fiscal year 2019 and should be applied on a modified retrospective transition basis. Early adoption is permitted as of the beginning of an annual reporting period for which interim or annual financial statements have not been issued or made available for issuance. Please see Note 8 for a discussion of the effects of adopting the guidance.</w:t>
      </w:r>
    </w:p>
    <w:p>
      <w:pPr>
        <w:spacing w:after="0" w:line="184"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 “Measurement of Credit Losses”, the main objective of which is to provide more useful information about expected credit losses on financial instruments and other commitments of an entity to extend credit. In support of this objective, the ASU replaces the incurred loss impairment methodology, found in current GAAP, with a methodology that reflects expected credit losses and requires consideration of a broader range of reasonable and supportable information to inform credit loss estimates. This ASU requires a cumulative-effect adjustment as of the beginning of the first reporting period in which the guidance is adopted. ASU 2016-13 is effective for Photronics, Inc. in its first quarter of fiscal year 2021, with early adoption permitted beginning in the first quarter of fiscal year 2019. We are currently evaluating the effect that this ASU will have on our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which requires lessees to recognize right-of-use assets and corresponding liabilities for all leases with an initial term in excess of twelve months. ASU 2016-02 is to be adopted using a modified retrospective approach, which includes a number of practical expedients, that requires leases to be measured and recognized under the new guidance at the beginning of the earliest period presented. The ASU is effective for Photronics, Inc. in the first quarter of fiscal year 2020, with early application permitted. We are currently evaluating the effect that this ASU will have on our consolidated financial statements.</w:t>
      </w:r>
    </w:p>
    <w:p>
      <w:pPr>
        <w:spacing w:after="0" w:line="18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which superseded nearly all then existing revenue recognition guidance under accounting principles generally accepted in the United States.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In August 2015, the FASB issued ASU 2015-14 which deferred the effective date of ASU 2014-09 by one year and allowed entities to early adopt, but no earlier than the original effective date. This update allowed for either full retrospective or modified retrospective adoption. In April 2016, the FASB issued ASU 2016-10 “Identifying Performance Obligations and Licensing” which amended guidance previously issued on these matters in ASU 2014-09. The effective date and transition requirements of ASU 2016-10 were the same as those for ASU 2014-09.</w:t>
      </w:r>
    </w:p>
    <w:p>
      <w:pPr>
        <w:spacing w:after="0" w:line="203" w:lineRule="exact"/>
        <w:rPr>
          <w:sz w:val="20"/>
          <w:szCs w:val="20"/>
          <w:color w:val="auto"/>
        </w:rPr>
      </w:pPr>
    </w:p>
    <w:p>
      <w:pPr>
        <w:ind w:right="80" w:firstLine="369"/>
        <w:spacing w:after="0" w:line="235" w:lineRule="auto"/>
        <w:rPr>
          <w:sz w:val="20"/>
          <w:szCs w:val="20"/>
          <w:color w:val="auto"/>
        </w:rPr>
      </w:pPr>
      <w:r>
        <w:rPr>
          <w:rFonts w:ascii="Times New Roman" w:cs="Times New Roman" w:eastAsia="Times New Roman" w:hAnsi="Times New Roman"/>
          <w:sz w:val="22"/>
          <w:szCs w:val="22"/>
          <w:color w:val="auto"/>
        </w:rPr>
        <w:t xml:space="preserve">We adopted the new revenue and related guidance on November 1, 2018, using the modified retrospective approach, under which we increased our accounts receivable by $0.6 million, recognized contract assets of $4.6 million, reduced our inventories balance by $3.7 million, and recorded an accrual for income taxes of $0.3 million. The recognition and adjustments to these items was reflected in increases to our retained earnings and noncontrolling interest balances of $1.1 million and $0.1 million, respectively. The most significant impact of the new guidance on our financial statements is its requirement for us to recognize revenue as we manufacture products for which, in the event that the customer cancels the contract, we are entitled to reasonable compensation for work we have completed prior to cancellation. </w:t>
      </w:r>
      <w:r>
        <w:rPr>
          <w:rFonts w:ascii="Times New Roman" w:cs="Times New Roman" w:eastAsia="Times New Roman" w:hAnsi="Times New Roman"/>
          <w:sz w:val="18"/>
          <w:szCs w:val="18"/>
          <w:color w:val="auto"/>
        </w:rPr>
        <w:t>Prior to our adoption of Topic 606, we recognized revenue when we shipped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 xml:space="preserve">customers or, under some arrangements, when the customers received the goods. </w:t>
      </w:r>
      <w:r>
        <w:rPr>
          <w:rFonts w:ascii="Times New Roman" w:cs="Times New Roman" w:eastAsia="Times New Roman" w:hAnsi="Times New Roman"/>
          <w:sz w:val="21"/>
          <w:szCs w:val="21"/>
          <w:color w:val="auto"/>
        </w:rPr>
        <w:t>The impact of the adoption of this guidance on our January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2019, financial statements is presented in Note 6.</w:t>
      </w:r>
    </w:p>
    <w:p>
      <w:pPr>
        <w:spacing w:after="0" w:line="195"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guidance allows for a number of accounting policy elections and practical expedients. In addition to our above mentioned election to use the modified retrospective application method for adopting the guidance, those we have employed that are most significant to us are summarized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Shipping and handling activities performed after control of a good is transferred to a customer</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elected to treat shipping and handling activities that occur after control of a good is transferred to a customer as activities to fulfill our promise to transfer goods to the customer. Thus, such activities will not be considered to be separate performance obligations under contracts with our customers.</w:t>
      </w:r>
    </w:p>
    <w:p>
      <w:pPr>
        <w:spacing w:after="0" w:line="160"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Non-recognition of financing component when we transfer goods to a customer and the period between when we transfer and when we are paid will be less than one year</w:t>
      </w:r>
    </w:p>
    <w:p>
      <w:pPr>
        <w:spacing w:after="0" w:line="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elected the practical expedient that allows for the non-recognition, as a component of a customer contract, of a financing component when the period between when we transfer a good and when we are paid will be less than one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Exclusion of sales and similar taxes collected from customers in the transaction price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Consistent with our practice before adoption of the new guidance, we will not recognize sales and similar taxes we collect from customers as revenue.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an “input method” to measure our progress towards the transfer of control of performance obligations to customers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in our judgment, an input method based on our efforts to satisfy our performance obligations will best serve to depict the transfer of control of our performance obligations to our customers, we have adopted an accounting policy to employ such a method. Our decision was based primarily on the facts that our photomasks are not physically transferred to customers until they are complete, and that we can employ our input-based cost accumulation systems and methods to measure our progress towards the transfer of control of our performance obligations to customers.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Non-disclosure of the transaction prices of unsatisfied or partially satisfied performance obligations</w:t>
      </w:r>
    </w:p>
    <w:p>
      <w:pPr>
        <w:spacing w:after="0" w:line="11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For contracts that have an original expected duration of one year or less, we have elected the practical expedient that allows us not to disclose the aggregate transaction prices of unsatisfied or partially satisfied performance obligations that exist at the end of a reporting period.</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which may be adversely affected by uncertainties and risk factors (presented throughout this filing and in the Company’s Annual Report on Form 10-K for the fiscal 2018 year), that may cause actual results to materially differ from these expectations.</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sell substantially all of our photomasks to semiconductor and FPD designers and manufacturers. Photomask technology is also being applied to the fabrication of other higher performance electronic products such as photonics, micro-electronic mechanical systems and certain nanotechnology applications. Our selling cycle is tightly interwoven with the development and release of new semiconductor and FPD designs and applications, particularly as they relate to the micro-electronic industry's migration to more advanced product innovation, design methodologies and fabrication processes. We believe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even if the demand for semiconductors and FPDs increases. Advances in semiconductor, FPD and photomask design and semiconductor and FPD production methods that shift the burden of achieving device performance away from lithography could also reduce the demand for photomasks. Historically, the microelectronic industry has been volatile, experiencing periodic downturns and slowdowns in design activity. These downturns have been characterized by, among other things, diminished product demand, excess production capacity, and accelerated erosion of selling prices, with a concomitant effect on revenue and profitability.</w:t>
      </w:r>
    </w:p>
    <w:p>
      <w:pPr>
        <w:spacing w:after="0" w:line="19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are typically required to fulfill customer orders within a short period of time, sometimes within 24 hours. This results in a minimal level of backlog orders, typically one to two weeks of backlog for IC photomasks and two to three weeks of backlog for FPD photomasks.</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global semiconductor and FPD industries are driven by end markets which have been closely tied to consumer-driven applications of high performance devices, including, but not limited to, mobile display devices, mobile communications, and computing solutions. While we cannot predict the timing of the industry’s transition to volume production of next-generation technology nodes, or the timing of up and down 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8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In the first quarter of fiscal 2019, PDMC, the Company’s majority owned subsidiary in Taiwan, paid a dividend, of which 49.99%, or approximately $26.1 million, was paid to noncontrolling interests.</w:t>
      </w:r>
    </w:p>
    <w:p>
      <w:pPr>
        <w:spacing w:after="0" w:line="16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the first quarter of 2019, Xiamen American Japan Photronics Mask Co., Ltd. (“PDMCX”), an indirect majority owned joint venture subsidiary of Photronics, Inc., was approved for credit of $50 million, subject to certain limitations related to PDMCX registered capital at the time of borrowing, pursuant to which PDMCX will enter into separate loan agreements (“the Project Loans”) for each borrowing. The Project Loans, which are denominated in renminbi, are being used to finance certain capital expenditures in China. PDMCX has agreed to grant a lien on the land, building and certain equipment owned by PDMCX as collateral for the Project Loans. As of January 27, 2019, PDMCX had borrowed $14.8 million against this approval. This borrowing will be repaid in semiannual installments, which will commence in June 2020 and end in December 2022. In February 2019, PDMCX borrowed an additional $11.4 million, which will be repaid semiannually; repayments will commence in June 2023 and end in December 2025. The interest rates on the Project Loans are based on the benchmark lending rate of the People’s Bank of China (4.9% at January 27, 2019). Interest incurred on these loans will be reimbursed through incentives provided by the Xiamen Torch Hi-Tech Industrial Development Zone, which provide for such reimbursements up to a prescribed limit.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2" w:name="page23"/>
    <w:bookmarkEnd w:id="2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first quarter of 2019, PDMCX was approved for credit of $25.0 million, subject to certain limitations related to PDMCX registered capital at the time of borrowing, pursuant to which PDMCX may enter into separate loan agreements. No guarantees are required as part of this approval. As of January 27, 2019, PDMCX had borrowed $13.8 million against this approval of which $3.7 million were 90-day loans. The remaining $10.1 million borrowed (the “Working Capital Loans”) is to be repaid semiannually from the dates of the individual borrowings, with repayments commencing in May 2019 and ending in January 2022. The 90-day loans were repaid in our second quarter of 2019. These loans, which are denominated in renminbi and U.S. dollars are being used for general financing purposes, including payments of import and value added taxes. The interest rates on the 90-day loans were the market rate on the date of issuance (4.9%), and interest rates on the Working Capital Loans are approximately 5%, and are based on the RMB Loan Prime Rate of the National Interbank Funding Center, plus a spread of 67.75 basis points. Interest incurred on the loans will be reimbursed through incentives provided by the Xiamen Torch Hi-Tech Industrial Development Zone, which provide for such reimbursements up to a prescribed limit.</w:t>
      </w:r>
    </w:p>
    <w:p>
      <w:pPr>
        <w:spacing w:after="0" w:line="189" w:lineRule="exact"/>
        <w:rPr>
          <w:sz w:val="20"/>
          <w:szCs w:val="20"/>
          <w:color w:val="auto"/>
        </w:rPr>
      </w:pPr>
    </w:p>
    <w:p>
      <w:pPr>
        <w:ind w:right="160" w:firstLine="369"/>
        <w:spacing w:after="0" w:line="255" w:lineRule="auto"/>
        <w:rPr>
          <w:sz w:val="20"/>
          <w:szCs w:val="20"/>
          <w:color w:val="auto"/>
        </w:rPr>
      </w:pPr>
      <w:r>
        <w:rPr>
          <w:rFonts w:ascii="Times New Roman" w:cs="Times New Roman" w:eastAsia="Times New Roman" w:hAnsi="Times New Roman"/>
          <w:sz w:val="18"/>
          <w:szCs w:val="18"/>
          <w:color w:val="auto"/>
        </w:rPr>
        <w:t>In the fourth quarter of fiscal 2018, we entered into an amended and restated credit agreement (“the new agreement”) that expires in September 2023. The new agreement, which replaced our prior credit agreement, has a $50 million borrowing limit, and a $50 million expansion capacity, which represents a $25 million increase over the previous credit agreement. The new agreement is secured by substantially all of our assets located in the United States and common stock we own in certain of our foreign subsidiaries, and limits the amount we can pay in cash dividends on Photronics, Inc. stock. The new agreement contains the following financial covenants: minimum interest coverage ratio, total leverage ratio and minimum unrestricted cash balance, all of which we were in compliance with at January 27, 2019. We had no outstanding borrowings against the new agreement at January 27, 2019, and $50 million was available for borrowing. The interest rate on the new agreement (2.5% at January 27, 2019) is based on our total leverage ratio at LIBOR plus a spread, as defined in the credit agreement.</w:t>
      </w:r>
    </w:p>
    <w:p>
      <w:pPr>
        <w:spacing w:after="0" w:line="212" w:lineRule="exact"/>
        <w:rPr>
          <w:sz w:val="20"/>
          <w:szCs w:val="20"/>
          <w:color w:val="auto"/>
        </w:rPr>
      </w:pPr>
    </w:p>
    <w:p>
      <w:pPr>
        <w:ind w:right="420" w:firstLine="369"/>
        <w:spacing w:after="0" w:line="258" w:lineRule="auto"/>
        <w:rPr>
          <w:sz w:val="20"/>
          <w:szCs w:val="20"/>
          <w:color w:val="auto"/>
        </w:rPr>
      </w:pPr>
      <w:r>
        <w:rPr>
          <w:rFonts w:ascii="Times New Roman" w:cs="Times New Roman" w:eastAsia="Times New Roman" w:hAnsi="Times New Roman"/>
          <w:sz w:val="18"/>
          <w:szCs w:val="18"/>
          <w:color w:val="auto"/>
        </w:rPr>
        <w:t>In the fourth quarter of fiscal 2018, the Company’s Board of Directors authorized the repurchase of up to $25 million of its common stock, to be executed in open-market transactions or in accordance with a repurchase plan under rule 10b5-1 of the Securities Act of 1933 (as amended). The share repurchase program commenced, under 10b5-1, on October 22, 2018, and expired on February 1, 2019. As of January 27, 2019, we had repurchased 1.5 million shares at a cost of $13.8 million (an average of $9.41 per share) under this program. The number of shares repurchased is subject to market conditions, and our continual evaluation of the optimal use of our cash.</w:t>
      </w:r>
    </w:p>
    <w:p>
      <w:pPr>
        <w:spacing w:after="0" w:line="18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the first quarter of fiscal 2018, we announced the successful closing of the China joint venture agreement with Dai Nippon Printing Co., Ltd. (“DNP”), which we had agreed to enter into and announced in the third quarter of fiscal 2017 (see discussion below). Under the agreement, our wholly-owned Singapore subsidiary owns 50.01% of the joint venture, which is named Photronics DNP Mask Corporation Xiamen (PDMCX), and a subsidiary of DNP owns the remaining 49.99%. The financial results of the joint venture are included in the Photronics, Inc. consolidated financial statements. See Note 4 of the condensed consolidated financial statements for additional information on the joint venture.</w:t>
      </w:r>
    </w:p>
    <w:p>
      <w:pPr>
        <w:spacing w:after="0" w:line="184"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the fourth quarter of fiscal 2017, we announced that Photronics UK, Ltd., a wholly-owned subsidiary of ours, signed an investment agreement with Hefei State Hi-tech Industry Development Zone to establish a manufacturing facility in Hefei, China. Under the terms of the agreement, through our subsidiary, we will invest a minimum of $160 million, a portion of which may be funded with local borrowings, to build and operate a research and development and manufacturing facility for high-end and mainstream FPD photomasks. As of January 27, 2019, we had invested $53 million in this facility. Hefei State Hi-tech Industry Development Zone will provide certain investment incentives and support for this facility, which will have initial capability to produce up to G10.5+ large area masks and AMOLED products. Construction of this facility was completed in late 2018, and production is anticipated to begin in the first half of 2019.</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the fourth quarter of 2016, Photronics Singapore Pte, Ltd., a wholly-owned subsidiary, signed an investment agreement with the Administrative Committee of Xiamen Torch Hi-Tech Industrial Development Zone (Xiamen Torch) to establish an IC manufacturing facility in Xiamen, China. Under the terms of the agreement, we will build and operate an IC facility to engage in research and development, manufacture and sale of photomasks, in return for which Xiamen Torch will provide certain investment incentives and support. This expansion is also substantially supported by customer commitments for its output. As discussed above, in the first quarter of fiscal 2018, we entered into a joint venture agreement with DNP, under which they hold a 49.99% ownership interest in this investment. The total investment per the agreement is $160 million, of which approximately $32 million remained for Photronics as of January 27, 2019, and will be funded over the next several years with cash and local borrowings. Construction began in 2017 and production is anticipated to start in the second half of 2019.</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3" w:name="page24"/>
    <w:bookmarkEnd w:id="2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January 27, 2019, October 31, 2018 and January 28, 2018</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selected operating information expressed as a percentage of net sales.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1400" w:type="dxa"/>
            <w:vAlign w:val="bottom"/>
            <w:gridSpan w:val="2"/>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January 27,</w:t>
            </w:r>
          </w:p>
        </w:tc>
        <w:tc>
          <w:tcPr>
            <w:tcW w:w="140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14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6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Note: All of the following tabular comparisons, unless otherwise indicated, are for the three months ended January 27, 2019 (Q1 FY19), October 31, 2018 (Q4 FY18) and January 28, 2018 (Q1 FY18) in millions of dollars.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Q1 FY19 from Q4 FY18</w:t>
            </w: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Q1 FY19 from Q1 FY18</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Revenue in</w:t>
            </w:r>
          </w:p>
        </w:tc>
        <w:tc>
          <w:tcPr>
            <w:tcW w:w="220" w:type="dxa"/>
            <w:vAlign w:val="bottom"/>
          </w:tcPr>
          <w:p>
            <w:pPr>
              <w:spacing w:after="0"/>
              <w:rPr>
                <w:sz w:val="24"/>
                <w:szCs w:val="24"/>
                <w:color w:val="auto"/>
              </w:rPr>
            </w:pPr>
          </w:p>
        </w:tc>
        <w:tc>
          <w:tcPr>
            <w:tcW w:w="14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Revenue in</w:t>
            </w: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4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Q1 FY19</w:t>
            </w:r>
          </w:p>
        </w:tc>
        <w:tc>
          <w:tcPr>
            <w:tcW w:w="220" w:type="dxa"/>
            <w:vAlign w:val="bottom"/>
          </w:tcPr>
          <w:p>
            <w:pPr>
              <w:spacing w:after="0"/>
              <w:rPr>
                <w:sz w:val="21"/>
                <w:szCs w:val="21"/>
                <w:color w:val="auto"/>
              </w:rPr>
            </w:pPr>
          </w:p>
        </w:tc>
        <w:tc>
          <w:tcPr>
            <w:tcW w:w="14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Q1 FY19</w:t>
            </w: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0" w:type="dxa"/>
            <w:vAlign w:val="bottom"/>
          </w:tcPr>
          <w:p>
            <w:pPr>
              <w:spacing w:after="0"/>
              <w:rPr>
                <w:sz w:val="1"/>
                <w:szCs w:val="1"/>
                <w:color w:val="auto"/>
              </w:rPr>
            </w:pPr>
          </w:p>
        </w:tc>
      </w:tr>
      <w:tr>
        <w:trPr>
          <w:trHeight w:val="432"/>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w:t>
            </w:r>
          </w:p>
        </w:tc>
        <w:tc>
          <w:tcPr>
            <w:tcW w:w="10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jc w:val="center"/>
              <w:ind w:right="930"/>
              <w:spacing w:after="0"/>
              <w:rPr>
                <w:sz w:val="20"/>
                <w:szCs w:val="20"/>
                <w:color w:val="auto"/>
              </w:rPr>
            </w:pPr>
            <w:r>
              <w:rPr>
                <w:rFonts w:ascii="Times New Roman" w:cs="Times New Roman" w:eastAsia="Times New Roman" w:hAnsi="Times New Roman"/>
                <w:sz w:val="18"/>
                <w:szCs w:val="18"/>
                <w:color w:val="auto"/>
                <w:w w:val="99"/>
              </w:rPr>
              <w:t>High-end</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20" w:type="dxa"/>
            <w:vAlign w:val="bottom"/>
            <w:tcBorders>
              <w:right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(12.3)%</w:t>
            </w: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34.6</w:t>
            </w:r>
          </w:p>
        </w:tc>
        <w:tc>
          <w:tcPr>
            <w:tcW w:w="1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Mainstream</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tcPr>
          <w:p>
            <w:pPr>
              <w:spacing w:after="0"/>
              <w:rPr>
                <w:sz w:val="19"/>
                <w:szCs w:val="19"/>
                <w:color w:val="auto"/>
              </w:rPr>
            </w:pP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(15.6)%</w:t>
            </w:r>
          </w:p>
        </w:tc>
        <w:tc>
          <w:tcPr>
            <w:tcW w:w="7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60.3</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4"/>
              </w:rPr>
              <w:t>Total</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6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(14.4)%</w:t>
            </w: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94.9</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FPD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High-end</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(2.5)%</w:t>
            </w: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Mainstream</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(28.9)%</w:t>
            </w:r>
          </w:p>
        </w:tc>
        <w:tc>
          <w:tcPr>
            <w:tcW w:w="7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14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shd w:val="clear" w:color="auto" w:fill="CCEEFF"/>
          </w:tcPr>
          <w:p>
            <w:pPr>
              <w:jc w:val="center"/>
              <w:ind w:right="930"/>
              <w:spacing w:after="0"/>
              <w:rPr>
                <w:sz w:val="20"/>
                <w:szCs w:val="20"/>
                <w:color w:val="auto"/>
              </w:rPr>
            </w:pPr>
            <w:r>
              <w:rPr>
                <w:rFonts w:ascii="Times New Roman" w:cs="Times New Roman" w:eastAsia="Times New Roman" w:hAnsi="Times New Roman"/>
                <w:sz w:val="18"/>
                <w:szCs w:val="18"/>
                <w:color w:val="auto"/>
                <w:w w:val="94"/>
              </w:rPr>
              <w:t>Total</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20" w:type="dxa"/>
            <w:vAlign w:val="bottom"/>
            <w:tcBorders>
              <w:right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(11.7)%</w:t>
            </w: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w:t>
            </w:r>
          </w:p>
        </w:tc>
        <w:tc>
          <w:tcPr>
            <w:tcW w:w="1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shd w:val="clear" w:color="auto" w:fill="CCEEFF"/>
          </w:tcPr>
          <w:p>
            <w:pPr>
              <w:jc w:val="center"/>
              <w:ind w:right="890"/>
              <w:spacing w:after="0"/>
              <w:rPr>
                <w:sz w:val="20"/>
                <w:szCs w:val="20"/>
                <w:color w:val="auto"/>
              </w:rPr>
            </w:pPr>
            <w:r>
              <w:rPr>
                <w:rFonts w:ascii="Times New Roman" w:cs="Times New Roman" w:eastAsia="Times New Roman" w:hAnsi="Times New Roman"/>
                <w:sz w:val="18"/>
                <w:szCs w:val="18"/>
                <w:color w:val="auto"/>
                <w:w w:val="98"/>
              </w:rPr>
              <w:t>Total Revenue</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620" w:type="dxa"/>
            <w:vAlign w:val="bottom"/>
            <w:tcBorders>
              <w:right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(13.8)%</w:t>
            </w: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124.7</w:t>
            </w:r>
          </w:p>
        </w:tc>
        <w:tc>
          <w:tcPr>
            <w:tcW w:w="1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71"/>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gridSpan w:val="2"/>
          </w:tcPr>
          <w:p>
            <w:pPr>
              <w:jc w:val="right"/>
              <w:ind w:right="610"/>
              <w:spacing w:after="0"/>
              <w:rPr>
                <w:sz w:val="20"/>
                <w:szCs w:val="20"/>
                <w:color w:val="auto"/>
              </w:rPr>
            </w:pPr>
            <w:r>
              <w:rPr>
                <w:rFonts w:ascii="Times New Roman" w:cs="Times New Roman" w:eastAsia="Times New Roman" w:hAnsi="Times New Roman"/>
                <w:sz w:val="14"/>
                <w:szCs w:val="14"/>
                <w:color w:val="auto"/>
              </w:rPr>
              <w:t>24</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400" w:type="dxa"/>
            <w:vAlign w:val="bottom"/>
            <w:gridSpan w:val="12"/>
          </w:tcPr>
          <w:p>
            <w:pPr>
              <w:jc w:val="right"/>
              <w:ind w:right="340"/>
              <w:spacing w:after="0"/>
              <w:rPr>
                <w:sz w:val="20"/>
                <w:szCs w:val="20"/>
                <w:color w:val="auto"/>
              </w:rPr>
            </w:pPr>
            <w:r>
              <w:rPr>
                <w:rFonts w:ascii="Times New Roman" w:cs="Times New Roman" w:eastAsia="Times New Roman" w:hAnsi="Times New Roman"/>
                <w:sz w:val="18"/>
                <w:szCs w:val="18"/>
                <w:color w:val="auto"/>
                <w:w w:val="99"/>
              </w:rPr>
              <w:t>The following tables compare revenue in Q1 FY19 with revenue in Q4 FY18 and Q1 FY18 by geographic area:</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Q1 FY19 from Q4 FY18</w:t>
            </w:r>
          </w:p>
        </w:tc>
        <w:tc>
          <w:tcPr>
            <w:tcW w:w="10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Q1 FY19 from Q1 FY18</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Revenue in</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2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Revenue in</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Q1 FY19</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Q1 FY19</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w:t>
            </w:r>
          </w:p>
        </w:tc>
        <w:tc>
          <w:tcPr>
            <w:tcW w:w="14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w:t>
            </w:r>
          </w:p>
        </w:tc>
        <w:tc>
          <w:tcPr>
            <w:tcW w:w="14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Korea</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14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14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CEEFF"/>
          </w:tcPr>
          <w:p>
            <w:pPr>
              <w:spacing w:after="0"/>
              <w:rPr>
                <w:sz w:val="19"/>
                <w:szCs w:val="19"/>
                <w:color w:val="auto"/>
              </w:rPr>
            </w:pPr>
          </w:p>
        </w:tc>
        <w:tc>
          <w:tcPr>
            <w:tcW w:w="14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CEEFF"/>
          </w:tcPr>
          <w:p>
            <w:pPr>
              <w:spacing w:after="0"/>
              <w:rPr>
                <w:sz w:val="19"/>
                <w:szCs w:val="19"/>
                <w:color w:val="auto"/>
              </w:rPr>
            </w:pPr>
          </w:p>
        </w:tc>
        <w:tc>
          <w:tcPr>
            <w:tcW w:w="14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2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2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quarterly revenues can be affected by the seasonal purchasing tendencies of our customers. As a result, demand for our products is typically negatively impacted during the first, and sometimes the second, quarters of our fiscal year by the North American, European, and Asian holiday periods, as some of our customers reduce their development and, consequently, their buying activities during those periods.</w:t>
      </w:r>
    </w:p>
    <w:p>
      <w:pPr>
        <w:spacing w:after="0" w:line="20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Revenue decreased 13.8% in Q1 FY19, compared with Q4 FY18, due to seasonal softness and macroeconomic headwinds. There were also six fewer days in the first quarter of our fiscal 2019 than in the fourth quarter of fiscal 2018, due to our adoption of October 31 as the Company’s fiscal year-end. Overall IC and FPD revenues decreased 14.4% and 11.7% respectively. The decrease in mainstream IC of 15.6% was mostly in Asia, particularly Taiwan and China, where macro uncertainty delayed our customers’ initiatives to design new products. The decrease in high-end IC photomasks of 12.3% was due to declines in both logic, as new designs for advanced applications such as smartphones decreased, and memory, due to the postponements of orders from a large customer. Mainstream FPD decreased 28.9%, as we devoted a greater portion of our mainstream capacity to building the non-critical layers of AMOLED mask sets. This redirection of our resources was also in response to competitive pressures that resulted from an over-supplied market. High-end FPD revenues decreased 2.5% as a result of softer demand for G8.5 masks used for large LCD TVs. High-end photomask applications include mask sets for 28 nanometer and smaller products, and G8 and above and active matrix organic light-emitting diode (AMOLED) display technologies for FPD products. High-end photomasks typically have higher selling prices than mainstream products.</w:t>
      </w:r>
    </w:p>
    <w:p>
      <w:pPr>
        <w:spacing w:after="0" w:line="204" w:lineRule="exact"/>
        <w:rPr>
          <w:sz w:val="20"/>
          <w:szCs w:val="20"/>
          <w:color w:val="auto"/>
        </w:rPr>
      </w:pPr>
    </w:p>
    <w:p>
      <w:pPr>
        <w:ind w:right="80" w:firstLine="324"/>
        <w:spacing w:after="0" w:line="238" w:lineRule="auto"/>
        <w:rPr>
          <w:sz w:val="20"/>
          <w:szCs w:val="20"/>
          <w:color w:val="auto"/>
        </w:rPr>
      </w:pPr>
      <w:r>
        <w:rPr>
          <w:rFonts w:ascii="Times New Roman" w:cs="Times New Roman" w:eastAsia="Times New Roman" w:hAnsi="Times New Roman"/>
          <w:sz w:val="22"/>
          <w:szCs w:val="22"/>
          <w:color w:val="auto"/>
        </w:rPr>
        <w:t xml:space="preserve">Revenue increased 1.0% in Q1 FY19, compared with Q1 FY18, primarily due to increased high-end FPD and IC revenues, which were partially offset by decreased mainstream IC and FPD sales. High-end FPD increased 14.3% due to AMOLED growth, which was the result of an overall </w:t>
      </w:r>
      <w:r>
        <w:rPr>
          <w:rFonts w:ascii="Times New Roman" w:cs="Times New Roman" w:eastAsia="Times New Roman" w:hAnsi="Times New Roman"/>
          <w:sz w:val="18"/>
          <w:szCs w:val="18"/>
          <w:color w:val="auto"/>
        </w:rPr>
        <w:t>increase in</w:t>
      </w:r>
      <w:r>
        <w:rPr>
          <w:rFonts w:ascii="Times New Roman" w:cs="Times New Roman" w:eastAsia="Times New Roman" w:hAnsi="Times New Roman"/>
          <w:sz w:val="22"/>
          <w:szCs w:val="22"/>
          <w:color w:val="auto"/>
        </w:rPr>
        <w:t xml:space="preserve"> industry demand from the prior year’s quarter. High-end IC increased 3.6% due to stronger logic demand. Mainstream IC decreased 3.2%, as demand was softer. Mainstream FPD decreased 6.9% due to a decline in demand for G8.5 masks used for large-screen TVs, and lower demand for LTPS LCD screens in mobile applications.</w:t>
      </w:r>
    </w:p>
    <w:p>
      <w:pPr>
        <w:spacing w:after="0" w:line="213" w:lineRule="exact"/>
        <w:rPr>
          <w:sz w:val="20"/>
          <w:szCs w:val="20"/>
          <w:color w:val="auto"/>
        </w:rPr>
      </w:pPr>
    </w:p>
    <w:p>
      <w:pPr>
        <w:ind w:right="280" w:firstLine="324"/>
        <w:spacing w:after="0" w:line="289" w:lineRule="auto"/>
        <w:rPr>
          <w:sz w:val="20"/>
          <w:szCs w:val="20"/>
          <w:color w:val="auto"/>
        </w:rPr>
      </w:pPr>
      <w:r>
        <w:rPr>
          <w:rFonts w:ascii="Times New Roman" w:cs="Times New Roman" w:eastAsia="Times New Roman" w:hAnsi="Times New Roman"/>
          <w:sz w:val="17"/>
          <w:szCs w:val="17"/>
          <w:color w:val="auto"/>
        </w:rPr>
        <w:t>We expect our FPD revenues to increase in our second quarter, primarily as a result of increased demand for mobile displays. We plan to support our customers’ enhanced requirements with additional capacity we will bring on-line in China. With respect to our IC business, we expect to see a pick-up in memory demand and, while we do not expect to see a material deterioration in logic, believe that a recovery in logic may occur beyond the second quarter.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ind w:left="24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Q1 FY19</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Q4 FY18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Q1 FY18</w:t>
            </w:r>
          </w:p>
        </w:tc>
        <w:tc>
          <w:tcPr>
            <w:tcW w:w="280" w:type="dxa"/>
            <w:vAlign w:val="bottom"/>
          </w:tcPr>
          <w:p>
            <w:pPr>
              <w:spacing w:after="0"/>
              <w:rPr>
                <w:sz w:val="21"/>
                <w:szCs w:val="21"/>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780" w:type="dxa"/>
            <w:vAlign w:val="bottom"/>
            <w:gridSpan w:val="4"/>
          </w:tcPr>
          <w:p>
            <w:pPr>
              <w:spacing w:after="0"/>
              <w:rPr>
                <w:sz w:val="18"/>
                <w:szCs w:val="18"/>
                <w:color w:val="auto"/>
              </w:rPr>
            </w:pPr>
          </w:p>
        </w:tc>
        <w:tc>
          <w:tcPr>
            <w:tcW w:w="124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35.4</w:t>
            </w:r>
          </w:p>
        </w:tc>
        <w:tc>
          <w:tcPr>
            <w:tcW w:w="1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 $</w:t>
            </w:r>
          </w:p>
        </w:tc>
        <w:tc>
          <w:tcPr>
            <w:tcW w:w="12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27.7</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20.9%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24.5%</w:t>
            </w: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22.4%</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Gross profit and gross margin decreased in Q1 FY19 from Q4 FY18 primarily as a result of decreased revenue, the effects of which were partially mitigated by decreased material costs and overhead costs of $7.5 million and $3.7 million, respectively. Gross profit and gross margin decreased in Q1 FY19, compared with Q1 FY18, primarily due to increased compensation and related benefits expense and overhead costs of $2.6 million and of $0.8 million, respectively, which were partially offset by decreased material costs of $0.5 million. As we operate in a high fixed cost environment, increases or decreases in our revenues and capacity utilization will generally positively or negatively impact our gross margin.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5" w:name="page26"/>
    <w:bookmarkEnd w:id="2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by $0.3 million, or 2.1%, to $13.8 million in Q1 FY19, from $13.5 million in Q4 FY18, primarily due to a $0.3 million decrease in bad debt recoveries from the prior quarter. Selling, general and administrative expenses increased in Q1 FY19 by $2.0 million, or 17.4%, from $11.8 million in Q1 FY18, primarily as a result of increased compensation and related benefits of $1.4 million and increased freight expenses of $0.4 million, which increased as a result of increased sales to China.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 the U.S., research and development expenses consist of development efforts related to high-end process technologies for 28nm and smaller IC nodes, while in Asia, in addition to the focus on high-end IC technology nodes, G8 and above FPDs and AMOLED applications are also under development.</w:t>
      </w:r>
    </w:p>
    <w:p>
      <w:pPr>
        <w:spacing w:after="0" w:line="16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$0.4 million to $4.3 million in Q1 FY19, or 9.1%, from Q4 FY18, primarily as a result of increased development activities in the U.S. Research and development expense was up moderately ($0.2 million, or 3.9%) in Q1 FY19 from Q1 FY18, with increased spending in Taiwan exceeding decreased expenditures and related activities on large area masks in Korea.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Q1 FY19</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Q4 FY18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Q1 FY18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Other income (expense), net decreased in Q1 FY19 by $1.2 million from Q4 FY18. The decrease was primarily the result of reduced foreign currency gains and interest income of $0.6 million and $0.3 million, respectively, in the current quarter, and gains recorded on the sale of long-lived assets recorded in Q4 FY18 of $0.4 million. Other income (expense), net increased in Q1 FY19 by $5.2 million from Q1 FY18, primarily due to foreign currency gains experienced in the current quarter, in contrast to unfavorable foreign currency results in the prior year quarter, with a net effect of $5.7 million. Reduced interest income of $0.3 million partially offset the favorable impact of the foreign currency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Q1 FY19</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Q4 FY18</w:t>
            </w: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Q1 FY18</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366"/>
        <w:spacing w:after="0" w:line="256" w:lineRule="auto"/>
        <w:rPr>
          <w:sz w:val="20"/>
          <w:szCs w:val="20"/>
          <w:color w:val="auto"/>
        </w:rPr>
      </w:pPr>
      <w:r>
        <w:rPr>
          <w:rFonts w:ascii="Times New Roman" w:cs="Times New Roman" w:eastAsia="Times New Roman" w:hAnsi="Times New Roman"/>
          <w:sz w:val="18"/>
          <w:szCs w:val="18"/>
          <w:color w:val="auto"/>
        </w:rPr>
        <w:t>The effective income tax rate is sensitive to the jurisdictional mix of earnings, due, in part, to the non-recognition of tax benefits on losses in jurisdictions with valuation allowances. The effective income tax rate decreased in Q1 FY19, compared with Q4 FY18, is primarily attributable to the net decrease in tax accruals no longer required as a result of the settlement of a non-U.S. income tax audit. The effective income tax rate increase in Q1 FY19, compared with Q1 FY18, is primarily attributable to Q1 FY18 benefits related to the recognition of $3.9 million of previously unrecognized deferred tax benefits associated with alternative minimum tax credits that resulted from the U.S. Tax Cuts and Jobs Act, which was signed into law on December 22, 2017, and an increase of deferred tax assets of $0.2 million, which was the result of an increase in the Taiwan corporate tax rate.</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6" w:name="page27"/>
    <w:bookmarkEnd w:id="2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was $2.5 million in Q1 FY19, which represented a decrease of $1.8 million and $1.1 million from Q4 FY18 and Q1 FY18, respectively. The changes from both comparative periods were due to decreased net income at our IC manufacturing facility in Taiwan, in which we hold a 50.01% ownership interest.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working capital at the end of Q1 FY19 was $258.5 million, compared with $311.7 million at the end of Q4 FY18, and our cash and cash equivalents decreased in Q1 FY19 by $96.8 million from $329.3 million at October 31, 2018. Cash flows related to operating activities decreased $50.1 million to $19.3 million used in Q1 FY19 from $30.9 million provided in Q1 FY18. In addition to the decrease in net income of $1.7 million from the prior year’s quarter, significant contributors to the decrease in cash flows from operating activities in Q1 FY19, compared with Q1 FY18, were increases in accounts receivable of $14.0 million and other current assets of $22.5 million, a significant cause of which was an increase in recoverable value added taxes related to our investments in China. Decreased accounts payable of $6.3 million also contributed to the year-over-year decrease in operating cash flows.</w:t>
      </w:r>
    </w:p>
    <w:p>
      <w:pPr>
        <w:spacing w:after="0" w:line="206" w:lineRule="exact"/>
        <w:rPr>
          <w:sz w:val="20"/>
          <w:szCs w:val="20"/>
          <w:color w:val="auto"/>
        </w:rPr>
      </w:pPr>
    </w:p>
    <w:p>
      <w:pPr>
        <w:ind w:right="40" w:firstLine="324"/>
        <w:spacing w:after="0" w:line="234" w:lineRule="auto"/>
        <w:rPr>
          <w:sz w:val="20"/>
          <w:szCs w:val="20"/>
          <w:color w:val="auto"/>
        </w:rPr>
      </w:pPr>
      <w:r>
        <w:rPr>
          <w:rFonts w:ascii="Times New Roman" w:cs="Times New Roman" w:eastAsia="Times New Roman" w:hAnsi="Times New Roman"/>
          <w:sz w:val="22"/>
          <w:szCs w:val="22"/>
          <w:color w:val="auto"/>
        </w:rPr>
        <w:t xml:space="preserve">Net cash used in investing activities was $101.9 million in Q1 FY19, an increase of $90.7 million from the $11.1 million used in Q1 FY18. The increase was primarily attributable to increased capital expenditures of $92.9, the preponderance of which related to building and equipping our China facilities. Cash flows provided by financing activities increased from $11.2 million in Q1 FY18 to $21.4 million in Q1 FY19. The increase was primarily the result of proceeds from contributions from DNP of $29.4 million to PDMCX (in which they hold a 49.99% interest) and the receipt of debt proceeds by PDMCX </w:t>
      </w:r>
      <w:r>
        <w:rPr>
          <w:rFonts w:ascii="Times New Roman" w:cs="Times New Roman" w:eastAsia="Times New Roman" w:hAnsi="Times New Roman"/>
          <w:sz w:val="18"/>
          <w:szCs w:val="18"/>
          <w:color w:val="auto"/>
        </w:rPr>
        <w:t>of</w:t>
      </w:r>
      <w:r>
        <w:rPr>
          <w:rFonts w:ascii="Times New Roman" w:cs="Times New Roman" w:eastAsia="Times New Roman" w:hAnsi="Times New Roman"/>
          <w:sz w:val="22"/>
          <w:szCs w:val="22"/>
          <w:color w:val="auto"/>
        </w:rPr>
        <w:t xml:space="preserve"> $28.2 million, the effects of which were partially offset by dividends paid to DNP of $26.1 million (related to their 49.99 percent interest in our IC facility in Taiwan), and $10.7 million used to acquire our common stock under a share repurchase program. Favorable effects of foreign currency exchange rates contributed $3.0 million and $9.8 million to the changes in cash balances in Q1 FY19 and Q1 FY18, respectively.</w:t>
      </w:r>
    </w:p>
    <w:p>
      <w:pPr>
        <w:spacing w:after="0" w:line="19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of January 27, 2019, and October 31, 2018, our total cash and cash equivalents included $195.7 million and $244.5 million, respectively, held by our foreign subsidiaries. The majority of earnings of our foreign subsidiaries are considered to be indefinitely reinvested. Repatriation of these funds to the U.S. may subject them to U.S. state income taxes and local country withholding taxes in certain jurisdictions. Our foreign subsidiaries continue to grow through the reinvestment of earnings in additional manufacturing capacity and capability, particularly in the high-end IC and FPD areas.</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of January 27, 2019, we had capital commitments outstanding of approximately $38 million, nearly all of which related to building and equipping our China facilities (discussed below). We intend to finance our capital expenditures with our working capital, cash generated from operations and, if necessary, additional borrowings. We have entered into a joint venture that is constructing an IC facility in China with an estimated total joint investment of $160 million. Our remaining funding commitment for the joint venture is approximately $32 million which we will fulfill over the next several quarters. We have also commenced construction of an FPD facility in China in which, as of January 27, 2019, we have invested $53 million. We believe that our cash on hand, cash generated from operations and amounts available to borrow will be sufficient to meet our cash requirements for the next twelve months. We regularly review the availability and terms at which we might issue additional equity or debt securities in the public or private markets. However, we cannot assure that additional sources of financing would be available to us on commercially favorable terms, should our capital requirements exceed our existing cash, cash generated by operations, and cash available under our credit facilities.</w:t>
      </w:r>
    </w:p>
    <w:p>
      <w:pPr>
        <w:spacing w:after="0" w:line="189"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Our liquidity, as we operate in a high fixed cost environment, is highly dependent on our revenue, cash conversion cycle, and the timing of our capital expenditures (which can vary significantly from period to period). Depending on conditions in the semiconductor and FPD markets, our cash flows from operations and current holdings of cash may not be adequate to meet our current and long-term needs for capital expenditures, operations and debt repayments. Historically, in certain years, we have used external financing to fund these needs. Due to conditions in the credit markets and covenant restrictions on our existing debt, some financing instruments we have used in the past may not be available to us when required. Consequently, we cannot assure that additional sources of financing would be available to us on commercially favorable terms, should our long-term cash requirements exceed our existing cash and cash available under our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January 2018, Photronics, through its wholly-owned Singapore subsidiary, and DNP, through its wholly owned subsidiary “DNP Asia Pacific PTE, Ltd.” entered into a joint venture under which DNP obtained a 49.99% interest in our IC business in Xiamen, China. The joint venture, known as “Photronics DNP Mask Corporation Xiamen” (“PDMCX”), was established to develop and manufacture photomasks for leading edge and advanced generation semiconductors. Under the Joint Venture Operating Agreement of Photronics DNP Mask Corporation Xiamen (“the Agreement”), DNP is afforded, under certain circumstances, the right to put its interest in PDMCX to Photronics. These circumstances include disputes regarding the strategic direction of PDMCX that may arise after the initial two year term of the Agreement that cannot be resolved between the two parties. In addition, both Photronics and DNP have the option to purchase, or put, their interest from, or to, the other party, should their ownership interest fall below 20%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 Should DNP exercise an option to put their, or purchase our, interest in PDMCX we may, depending on the relationship of the fair and book value of PDMCX’s net assets, incur a loss. As of January 27, 2019, Photronics and DNP each had net investments in PDMCX of $44.9 million.</w:t>
      </w:r>
    </w:p>
    <w:p>
      <w:pPr>
        <w:sectPr>
          <w:pgSz w:w="11900" w:h="16838" w:orient="portrait"/>
          <w:cols w:equalWidth="0" w:num="1">
            <w:col w:w="11400"/>
          </w:cols>
          <w:pgMar w:left="240" w:top="115" w:right="25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type w:val="continuous"/>
        </w:sectPr>
      </w:pPr>
    </w:p>
    <w:bookmarkStart w:id="27" w:name="page28"/>
    <w:bookmarkEnd w:id="2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lease certain office facilities and equipment under operating leases that may require us to pay taxes, insurance and maintenance expenses related to the properties. Certain of these leases contain renewal or purchase options exercisable at the end of the lease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majority of our revenue growth is expected to continue to come from the Asia region, predominantly in China. In response to this expectation, we have entered into a joint venture that completed the construction of an IC research and development and manufacturing facility in Xiamen, China, in late 2018. Production is anticipated to begin at this facility in the second half of 2019. In addition, in August 2017, we entered into an investment agreement to construct an FPD manufacturing facility in Hefei, China. Construction of this facility was completed in late 2018, and production is anticipated to begin in the first half of 2019.</w:t>
      </w:r>
    </w:p>
    <w:p>
      <w:pPr>
        <w:spacing w:after="0" w:line="18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make continual assessments of our global manufacturing strategy and monitor our revenue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future results of operations and the other forward-looking statements contained in this filing involve a number of risks and uncertainties. While various risks and uncertainties were discussed in Part1, Item 1A in our Annual Report on Form 10-K for the year ended October 31, 2018, a number of other unforeseen factors could cause actual results to differ materially from our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Recent Accounting Pronouncements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See “Item 1. Condensed Consolidated Financial Statements– Notes to Condensed Consolidated Financial Statements – Note 14 – Recent Accounting Pronouncements” for recent accounting pronouncements that may affect the Company’s financial reporting.</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conduct business in several major international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renminbi and the Singapore dollar. The functional currencies of our European subsidiaries are the British pound and the euro. In addition, we have transactions and balances in Japanese yen.</w:t>
      </w:r>
    </w:p>
    <w:p>
      <w:pPr>
        <w:spacing w:after="0" w:line="18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and collect for products in a currency other than the functional currency of the country where it was produced, or purchase products in a currency that differs from the functional currency of the purchasing entity.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21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of January 27, 2019, a 10% adverse movement in the value of currencies different than the functional currencies of our subsidiaries would have resulted in a net unrealized pre-tax loss of $29.0 million, which represents an increase of $15.8 million from our exposure at October 31, 2018. The increase in foreign currency rate change risk is primarily the result of increased exposures of the Chinese renminbi and South Korean won, against the U.S. dollar. We do not believe that a 10% change in the exchange rates of non-US dollar currencies, other than the aforementioned currencies and the Japanese Yen, would have had a material effect on our January 27, 2019, condensed consolidated financial statements.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8" w:name="page29"/>
    <w:bookmarkEnd w:id="2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 10% change in interest rates on our variable rate borrowings would not have had a material effect on our consolidated financial positions, results of operations, or cash flow in the three month period ended January 27, 2019.</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established and currently maintain disclosure controls and procedures, as such term is defined in Rules 13a-15(e) and 15d-15(e) of the Securities Exchange Act of 1934, as amended (the “Exchange Act”), designed to provide reasonable assurance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8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first quarter of fiscal year 2019 that has materially affected, or is reasonably likely to materially affect, our internal control over financial reporting.</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9" w:name="page30"/>
    <w:bookmarkEnd w:id="2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risks relating to our business as disclosed in Part 1, Item 1A of our Form 10-K for the year ended October 31, 2018</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October 2018, the Company’s Board of Directors authorized the repurchase of up to $25 million of its common stock, to be executed in open-market transactions or in accordance with a repurchase plan under rule 10b5-1 of the Securities Act of 1933 (as amended). The authorization does not obligate us to repurchase any dollar amount or number of shares of common stock, and the repurchase program may be suspended or discontinued at any time. The repurchase program terminated February 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Paid</w:t>
            </w: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Yet Be Purchased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Program (in millions)</w:t>
            </w:r>
          </w:p>
        </w:tc>
        <w:tc>
          <w:tcPr>
            <w:tcW w:w="10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0" w:type="dxa"/>
            <w:vAlign w:val="bottom"/>
          </w:tcPr>
          <w:p>
            <w:pPr>
              <w:spacing w:after="0"/>
              <w:rPr>
                <w:sz w:val="1"/>
                <w:szCs w:val="1"/>
                <w:color w:val="auto"/>
              </w:rPr>
            </w:pPr>
          </w:p>
        </w:tc>
      </w:tr>
      <w:tr>
        <w:trPr>
          <w:trHeight w:val="392"/>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98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12, 2018 – October 31, 2018</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9.45</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2018 – November 25, 2018</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9.49</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26, 2018 – December 23, 2018</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9.38</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24, 2018 – January 27, 2019</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9.41</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w w:val="98"/>
              </w:rPr>
              <w:t>11.2*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share repurchase program expired on February 1, 2019, with no additional shares being purchased subsequent to January 27, 2019.</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720" w:type="dxa"/>
            <w:vAlign w:val="bottom"/>
            <w:gridSpan w:val="2"/>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56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385"/>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2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8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   Exhibits</w:t>
            </w:r>
          </w:p>
        </w:tc>
        <w:tc>
          <w:tcPr>
            <w:tcW w:w="88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410"/>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8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198"/>
        </w:trPr>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Number</w:t>
            </w:r>
          </w:p>
        </w:tc>
        <w:tc>
          <w:tcPr>
            <w:tcW w:w="8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7"/>
        </w:trPr>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7560" w:type="dxa"/>
            <w:vAlign w:val="bottom"/>
          </w:tcPr>
          <w:p>
            <w:pPr>
              <w:spacing w:after="0"/>
              <w:rPr>
                <w:sz w:val="20"/>
                <w:szCs w:val="20"/>
                <w:color w:val="auto"/>
              </w:rPr>
            </w:pPr>
          </w:p>
        </w:tc>
      </w:tr>
      <w:tr>
        <w:trPr>
          <w:trHeight w:val="176"/>
        </w:trPr>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ind w:left="660"/>
              <w:spacing w:after="0" w:line="17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960" w:type="dxa"/>
            <w:vAlign w:val="bottom"/>
            <w:shd w:val="clear" w:color="auto" w:fill="CCEEFF"/>
          </w:tcPr>
          <w:p>
            <w:pPr>
              <w:spacing w:after="0"/>
              <w:rPr>
                <w:sz w:val="15"/>
                <w:szCs w:val="15"/>
                <w:color w:val="auto"/>
              </w:rPr>
            </w:pPr>
          </w:p>
        </w:tc>
        <w:tc>
          <w:tcPr>
            <w:tcW w:w="8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13a-14(a)/15d-14(a) of the Securities Exchange Act of</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8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1934, as adopted pursuant to Section 302 of the Sarbanes-Oxley Act of 2002.</w:t>
            </w: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176"/>
        </w:trPr>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ind w:left="660"/>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960" w:type="dxa"/>
            <w:vAlign w:val="bottom"/>
            <w:shd w:val="clear" w:color="auto" w:fill="CCEEFF"/>
          </w:tcPr>
          <w:p>
            <w:pPr>
              <w:spacing w:after="0"/>
              <w:rPr>
                <w:sz w:val="15"/>
                <w:szCs w:val="15"/>
                <w:color w:val="auto"/>
              </w:rPr>
            </w:pPr>
          </w:p>
        </w:tc>
        <w:tc>
          <w:tcPr>
            <w:tcW w:w="8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13a-14(a)/15d-14(a) of the Securities Exchange Act of</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8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1934, as adopted pursuant to Section 302 of the Sarbanes-Oxley Act of 2002.</w:t>
            </w: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176"/>
        </w:trPr>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ind w:left="660"/>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960" w:type="dxa"/>
            <w:vAlign w:val="bottom"/>
            <w:shd w:val="clear" w:color="auto" w:fill="CCEEFF"/>
          </w:tcPr>
          <w:p>
            <w:pPr>
              <w:spacing w:after="0"/>
              <w:rPr>
                <w:sz w:val="15"/>
                <w:szCs w:val="15"/>
                <w:color w:val="auto"/>
              </w:rPr>
            </w:pPr>
          </w:p>
        </w:tc>
        <w:tc>
          <w:tcPr>
            <w:tcW w:w="8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8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Sarbanes-Oxley Act of 2002.</w:t>
            </w: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176"/>
        </w:trPr>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ind w:left="660"/>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hyperlink>
          </w:p>
        </w:tc>
        <w:tc>
          <w:tcPr>
            <w:tcW w:w="960" w:type="dxa"/>
            <w:vAlign w:val="bottom"/>
            <w:shd w:val="clear" w:color="auto" w:fill="CCEEFF"/>
          </w:tcPr>
          <w:p>
            <w:pPr>
              <w:spacing w:after="0"/>
              <w:rPr>
                <w:sz w:val="15"/>
                <w:szCs w:val="15"/>
                <w:color w:val="auto"/>
              </w:rPr>
            </w:pPr>
          </w:p>
        </w:tc>
        <w:tc>
          <w:tcPr>
            <w:tcW w:w="8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Certification of Chief Financial Officer pursuant to 18 U.S.C. Section 1350 as adopted pursuant to Section 906 of the</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8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32"/>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56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SIGNATURES</w:t>
            </w:r>
          </w:p>
        </w:tc>
      </w:tr>
    </w:tbl>
    <w:p>
      <w:pPr>
        <w:spacing w:after="0" w:line="198"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jc w:val="center"/>
        <w:ind w:right="786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jc w:val="center"/>
        <w:ind w:right="78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100"/>
        <w:spacing w:after="0"/>
        <w:tabs>
          <w:tab w:leader="none" w:pos="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17145</wp:posOffset>
            </wp:positionV>
            <wp:extent cx="18097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1" w:lineRule="exact"/>
        <w:rPr>
          <w:sz w:val="20"/>
          <w:szCs w:val="20"/>
          <w:color w:val="auto"/>
        </w:rPr>
      </w:pPr>
    </w:p>
    <w:p>
      <w:pPr>
        <w:jc w:val="center"/>
        <w:ind w:right="7860"/>
        <w:spacing w:after="0"/>
        <w:rPr>
          <w:sz w:val="20"/>
          <w:szCs w:val="20"/>
          <w:color w:val="auto"/>
        </w:rPr>
      </w:pPr>
      <w:r>
        <w:rPr>
          <w:rFonts w:ascii="Times New Roman" w:cs="Times New Roman" w:eastAsia="Times New Roman" w:hAnsi="Times New Roman"/>
          <w:sz w:val="18"/>
          <w:szCs w:val="18"/>
          <w:color w:val="auto"/>
        </w:rPr>
        <w:t>JOHN P. JORDAN</w:t>
      </w:r>
    </w:p>
    <w:p>
      <w:pPr>
        <w:spacing w:after="0" w:line="23" w:lineRule="exact"/>
        <w:rPr>
          <w:sz w:val="20"/>
          <w:szCs w:val="20"/>
          <w:color w:val="auto"/>
        </w:rPr>
      </w:pPr>
    </w:p>
    <w:p>
      <w:pPr>
        <w:jc w:val="center"/>
        <w:ind w:right="786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jc w:val="center"/>
        <w:ind w:right="7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right="78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9" w:lineRule="exact"/>
        <w:rPr>
          <w:sz w:val="20"/>
          <w:szCs w:val="20"/>
          <w:color w:val="auto"/>
        </w:rPr>
      </w:pPr>
    </w:p>
    <w:p>
      <w:pPr>
        <w:jc w:val="center"/>
        <w:ind w:right="7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S. Kirlin, certify that:</w:t>
      </w:r>
    </w:p>
    <w:p>
      <w:pPr>
        <w:spacing w:after="0" w:line="252"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52" w:lineRule="exact"/>
        <w:rPr>
          <w:rFonts w:ascii="Times New Roman" w:cs="Times New Roman" w:eastAsia="Times New Roman" w:hAnsi="Times New Roman"/>
          <w:sz w:val="18"/>
          <w:szCs w:val="18"/>
          <w:color w:val="auto"/>
        </w:rPr>
      </w:pPr>
    </w:p>
    <w:p>
      <w:pPr>
        <w:jc w:val="both"/>
        <w:ind w:left="500" w:right="440" w:hanging="492"/>
        <w:spacing w:after="0" w:line="266"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500" w:right="400" w:hanging="492"/>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00" w:hanging="492"/>
        <w:spacing w:after="0" w:line="266"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980" w:right="240" w:hanging="486"/>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980" w:right="520" w:hanging="486"/>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980" w:right="700" w:hanging="486"/>
        <w:spacing w:after="0" w:line="313" w:lineRule="auto"/>
        <w:tabs>
          <w:tab w:leader="none" w:pos="98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980" w:right="280" w:hanging="486"/>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500" w:right="340" w:hanging="492"/>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140" w:hanging="486"/>
        <w:spacing w:after="0" w:line="28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1780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S. Kirlin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79" w:right="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P. Jordan, certify that:</w:t>
      </w:r>
    </w:p>
    <w:p>
      <w:pPr>
        <w:spacing w:after="0" w:line="252"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52" w:lineRule="exact"/>
        <w:rPr>
          <w:rFonts w:ascii="Times New Roman" w:cs="Times New Roman" w:eastAsia="Times New Roman" w:hAnsi="Times New Roman"/>
          <w:sz w:val="18"/>
          <w:szCs w:val="18"/>
          <w:color w:val="auto"/>
        </w:rPr>
      </w:pPr>
    </w:p>
    <w:p>
      <w:pPr>
        <w:jc w:val="both"/>
        <w:ind w:left="500" w:right="440" w:hanging="492"/>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500" w:right="40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00" w:hanging="492"/>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980" w:right="240" w:hanging="486"/>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980" w:right="520" w:hanging="486"/>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980" w:right="700" w:hanging="486"/>
        <w:spacing w:after="0" w:line="313" w:lineRule="auto"/>
        <w:tabs>
          <w:tab w:leader="none" w:pos="98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980" w:right="280" w:hanging="486"/>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500" w:right="34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140" w:hanging="486"/>
        <w:spacing w:after="0" w:line="282"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1780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 Jordan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79" w:right="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Executive Officer</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 Peter S. Kirlin, Chief Executive Officer of Photronics, Inc. (the “Company”), certify, to my knowledge, pursuant to Section 906 of the Sarbanes-Oxley Act of 2002, 18 U.S.C. Section 1350, that:</w:t>
      </w:r>
    </w:p>
    <w:p>
      <w:pPr>
        <w:spacing w:after="0" w:line="189" w:lineRule="exact"/>
        <w:rPr>
          <w:sz w:val="20"/>
          <w:szCs w:val="20"/>
          <w:color w:val="auto"/>
        </w:rPr>
      </w:pPr>
    </w:p>
    <w:p>
      <w:pPr>
        <w:ind w:left="500" w:right="280" w:hanging="492"/>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January 27, 2019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1780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S. Kirlin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79" w:right="2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Financial Officer</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 John P. Jordan, Chief Financial Officer of Photronics, Inc. (the “Company”), certify, to my knowledge, pursuant to Section 906 of the Sarbanes-Oxley Act of 2002, 18 U.S.C. Section 1350, that:</w:t>
      </w:r>
    </w:p>
    <w:p>
      <w:pPr>
        <w:spacing w:after="0" w:line="189" w:lineRule="exact"/>
        <w:rPr>
          <w:sz w:val="20"/>
          <w:szCs w:val="20"/>
          <w:color w:val="auto"/>
        </w:rPr>
      </w:pPr>
    </w:p>
    <w:p>
      <w:pPr>
        <w:ind w:left="500" w:right="28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January 27, 2019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1780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 Jordan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27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2019-12-28T14:39:32Z</dcterms:created>
  <dcterms:modified xsi:type="dcterms:W3CDTF">2019-12-28T14:39:32Z</dcterms:modified>
</cp:coreProperties>
</file>