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Kang Jyh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SECOR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PHOTRONICS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7"/>
        <w:gridCol w:w="905"/>
        <w:gridCol w:w="774"/>
        <w:gridCol w:w="601"/>
        <w:gridCol w:w="348"/>
        <w:gridCol w:w="845"/>
        <w:gridCol w:w="453"/>
        <w:gridCol w:w="669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347,350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/s/Brandon DeSocio, attorney-in-fact for Kang Jyh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8668" TargetMode="External"/><Relationship Id="rId5" Type="http://schemas.openxmlformats.org/officeDocument/2006/relationships/hyperlink" Target="http://www.sec.gov/cgi-bin/browse-edgar?action=getcompany&amp;CIK=00008101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3050</Characters>
  <CharactersWithSpaces>3546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