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color w:val="auto"/>
        </w:rPr>
        <w:t>Washington, D.C. 20549</w:t>
      </w:r>
    </w:p>
    <w:p>
      <w:pPr>
        <w:spacing w:after="0" w:line="200" w:lineRule="exact"/>
        <w:rPr>
          <w:sz w:val="24"/>
          <w:szCs w:val="24"/>
          <w:color w:val="auto"/>
        </w:rPr>
      </w:pP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FORM 10-Q</w:t>
      </w: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jc w:val="center"/>
        <w:ind w:left="3640" w:right="100" w:hanging="3564"/>
        <w:spacing w:after="0" w:line="256" w:lineRule="auto"/>
        <w:tabs>
          <w:tab w:leader="none" w:pos="294"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 (d) OF THE SECURITIES EXCHANGE ACT OF 1934 For the quarterly period ended July 27, 2008</w:t>
      </w:r>
    </w:p>
    <w:p>
      <w:pPr>
        <w:spacing w:after="0" w:line="190"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OR</w:t>
      </w:r>
    </w:p>
    <w:p>
      <w:pPr>
        <w:spacing w:after="0" w:line="233" w:lineRule="exact"/>
        <w:rPr>
          <w:sz w:val="24"/>
          <w:szCs w:val="24"/>
          <w:color w:val="auto"/>
        </w:rPr>
      </w:pPr>
    </w:p>
    <w:p>
      <w:pPr>
        <w:jc w:val="center"/>
        <w:ind w:left="3940" w:right="100" w:hanging="3864"/>
        <w:spacing w:after="0" w:line="256" w:lineRule="auto"/>
        <w:tabs>
          <w:tab w:leader="none" w:pos="295"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TRANSITION REPORT PURSUANT TO SECTION 13 OR 15 (d) OF THE SECURITIES EXCHANGE ACT OF 1934 </w:t>
      </w:r>
      <w:r>
        <w:rPr>
          <w:rFonts w:ascii="Arial" w:cs="Arial" w:eastAsia="Arial" w:hAnsi="Arial"/>
          <w:sz w:val="22"/>
          <w:szCs w:val="22"/>
          <w:color w:val="auto"/>
        </w:rPr>
        <w:t>For the transition period from ___ to ___</w:t>
      </w:r>
    </w:p>
    <w:p>
      <w:pPr>
        <w:spacing w:after="0" w:line="190"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 xml:space="preserve">Commission file number </w:t>
      </w:r>
      <w:r>
        <w:rPr>
          <w:rFonts w:ascii="Arial" w:cs="Arial" w:eastAsia="Arial" w:hAnsi="Arial"/>
          <w:sz w:val="22"/>
          <w:szCs w:val="22"/>
          <w:color w:val="auto"/>
        </w:rPr>
        <w:t>0-15451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3289935</wp:posOffset>
            </wp:positionH>
            <wp:positionV relativeFrom="paragraph">
              <wp:posOffset>148590</wp:posOffset>
            </wp:positionV>
            <wp:extent cx="685800" cy="7461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5800" cy="7461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PHOTRONICS, INC.</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22"/>
          <w:szCs w:val="22"/>
          <w:i w:val="1"/>
          <w:iCs w:val="1"/>
          <w:color w:val="auto"/>
        </w:rPr>
        <w:t>(Exact name of registrant as specified in its charter)</w:t>
      </w:r>
    </w:p>
    <w:p>
      <w:pPr>
        <w:spacing w:after="0" w:line="205" w:lineRule="exact"/>
        <w:rPr>
          <w:sz w:val="24"/>
          <w:szCs w:val="24"/>
          <w:color w:val="auto"/>
        </w:rPr>
      </w:pPr>
    </w:p>
    <w:tbl>
      <w:tblPr>
        <w:tblLayout w:type="fixed"/>
        <w:tblInd w:w="1520" w:type="dxa"/>
        <w:tblCellMar>
          <w:top w:w="0" w:type="dxa"/>
          <w:left w:w="0" w:type="dxa"/>
          <w:bottom w:w="0" w:type="dxa"/>
          <w:right w:w="0" w:type="dxa"/>
        </w:tblCellMar>
      </w:tblPr>
      <w:tr>
        <w:trPr>
          <w:trHeight w:val="253"/>
        </w:trPr>
        <w:tc>
          <w:tcPr>
            <w:tcW w:w="4640" w:type="dxa"/>
            <w:vAlign w:val="bottom"/>
          </w:tcPr>
          <w:p>
            <w:pPr>
              <w:jc w:val="center"/>
              <w:ind w:right="1652"/>
              <w:spacing w:after="0"/>
              <w:rPr>
                <w:sz w:val="20"/>
                <w:szCs w:val="20"/>
                <w:color w:val="auto"/>
              </w:rPr>
            </w:pPr>
            <w:r>
              <w:rPr>
                <w:rFonts w:ascii="Arial" w:cs="Arial" w:eastAsia="Arial" w:hAnsi="Arial"/>
                <w:sz w:val="22"/>
                <w:szCs w:val="22"/>
                <w:b w:val="1"/>
                <w:bCs w:val="1"/>
                <w:color w:val="auto"/>
                <w:w w:val="88"/>
              </w:rPr>
              <w:t>Connecticut</w:t>
            </w:r>
          </w:p>
        </w:tc>
        <w:tc>
          <w:tcPr>
            <w:tcW w:w="3760" w:type="dxa"/>
            <w:vAlign w:val="bottom"/>
          </w:tcPr>
          <w:p>
            <w:pPr>
              <w:jc w:val="center"/>
              <w:ind w:left="1652"/>
              <w:spacing w:after="0"/>
              <w:rPr>
                <w:sz w:val="20"/>
                <w:szCs w:val="20"/>
                <w:color w:val="auto"/>
              </w:rPr>
            </w:pPr>
            <w:r>
              <w:rPr>
                <w:rFonts w:ascii="Arial" w:cs="Arial" w:eastAsia="Arial" w:hAnsi="Arial"/>
                <w:sz w:val="22"/>
                <w:szCs w:val="22"/>
                <w:b w:val="1"/>
                <w:bCs w:val="1"/>
                <w:color w:val="auto"/>
                <w:w w:val="88"/>
              </w:rPr>
              <w:t>06-0854886</w:t>
            </w:r>
          </w:p>
        </w:tc>
      </w:tr>
      <w:tr>
        <w:trPr>
          <w:trHeight w:val="243"/>
        </w:trPr>
        <w:tc>
          <w:tcPr>
            <w:tcW w:w="4640" w:type="dxa"/>
            <w:vAlign w:val="bottom"/>
          </w:tcPr>
          <w:p>
            <w:pPr>
              <w:jc w:val="center"/>
              <w:ind w:right="1652"/>
              <w:spacing w:after="0" w:line="243" w:lineRule="exact"/>
              <w:rPr>
                <w:sz w:val="20"/>
                <w:szCs w:val="20"/>
                <w:color w:val="auto"/>
              </w:rPr>
            </w:pPr>
            <w:r>
              <w:rPr>
                <w:rFonts w:ascii="Arial" w:cs="Arial" w:eastAsia="Arial" w:hAnsi="Arial"/>
                <w:sz w:val="22"/>
                <w:szCs w:val="22"/>
                <w:i w:val="1"/>
                <w:iCs w:val="1"/>
                <w:color w:val="auto"/>
                <w:w w:val="92"/>
              </w:rPr>
              <w:t>(State or other jurisdiction</w:t>
            </w:r>
          </w:p>
        </w:tc>
        <w:tc>
          <w:tcPr>
            <w:tcW w:w="3760" w:type="dxa"/>
            <w:vAlign w:val="bottom"/>
          </w:tcPr>
          <w:p>
            <w:pPr>
              <w:jc w:val="center"/>
              <w:ind w:left="1652"/>
              <w:spacing w:after="0" w:line="243" w:lineRule="exact"/>
              <w:rPr>
                <w:sz w:val="20"/>
                <w:szCs w:val="20"/>
                <w:color w:val="auto"/>
              </w:rPr>
            </w:pPr>
            <w:r>
              <w:rPr>
                <w:rFonts w:ascii="Arial" w:cs="Arial" w:eastAsia="Arial" w:hAnsi="Arial"/>
                <w:sz w:val="22"/>
                <w:szCs w:val="22"/>
                <w:i w:val="1"/>
                <w:iCs w:val="1"/>
                <w:color w:val="auto"/>
                <w:w w:val="89"/>
              </w:rPr>
              <w:t>(IRS Employer</w:t>
            </w:r>
          </w:p>
        </w:tc>
      </w:tr>
      <w:tr>
        <w:trPr>
          <w:trHeight w:val="275"/>
        </w:trPr>
        <w:tc>
          <w:tcPr>
            <w:tcW w:w="4640" w:type="dxa"/>
            <w:vAlign w:val="bottom"/>
          </w:tcPr>
          <w:p>
            <w:pPr>
              <w:jc w:val="center"/>
              <w:ind w:right="1652"/>
              <w:spacing w:after="0"/>
              <w:rPr>
                <w:sz w:val="20"/>
                <w:szCs w:val="20"/>
                <w:color w:val="auto"/>
              </w:rPr>
            </w:pPr>
            <w:r>
              <w:rPr>
                <w:rFonts w:ascii="Arial" w:cs="Arial" w:eastAsia="Arial" w:hAnsi="Arial"/>
                <w:sz w:val="22"/>
                <w:szCs w:val="22"/>
                <w:i w:val="1"/>
                <w:iCs w:val="1"/>
                <w:color w:val="auto"/>
                <w:w w:val="92"/>
              </w:rPr>
              <w:t>of incorporation or organization)</w:t>
            </w:r>
          </w:p>
        </w:tc>
        <w:tc>
          <w:tcPr>
            <w:tcW w:w="3760" w:type="dxa"/>
            <w:vAlign w:val="bottom"/>
          </w:tcPr>
          <w:p>
            <w:pPr>
              <w:jc w:val="center"/>
              <w:ind w:left="1652"/>
              <w:spacing w:after="0"/>
              <w:rPr>
                <w:sz w:val="20"/>
                <w:szCs w:val="20"/>
                <w:color w:val="auto"/>
              </w:rPr>
            </w:pPr>
            <w:r>
              <w:rPr>
                <w:rFonts w:ascii="Arial" w:cs="Arial" w:eastAsia="Arial" w:hAnsi="Arial"/>
                <w:sz w:val="22"/>
                <w:szCs w:val="22"/>
                <w:i w:val="1"/>
                <w:iCs w:val="1"/>
                <w:color w:val="auto"/>
                <w:w w:val="92"/>
              </w:rPr>
              <w:t>Identification Number)</w:t>
            </w:r>
          </w:p>
        </w:tc>
      </w:tr>
    </w:tbl>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15 Secor Road, Brookfield, Connecticut 06804</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22"/>
          <w:szCs w:val="22"/>
          <w:i w:val="1"/>
          <w:iCs w:val="1"/>
          <w:color w:val="auto"/>
        </w:rPr>
        <w:t>(Address of principal executive offices and zip code)</w:t>
      </w:r>
    </w:p>
    <w:p>
      <w:pPr>
        <w:spacing w:after="0" w:line="209"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(203) 775-9000</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22"/>
          <w:szCs w:val="22"/>
          <w:i w:val="1"/>
          <w:iCs w:val="1"/>
          <w:color w:val="auto"/>
        </w:rPr>
        <w:t>(Registrant's telephone number, including area code)</w:t>
      </w:r>
    </w:p>
    <w:p>
      <w:pPr>
        <w:spacing w:after="0" w:line="200" w:lineRule="exact"/>
        <w:rPr>
          <w:sz w:val="24"/>
          <w:szCs w:val="24"/>
          <w:color w:val="auto"/>
        </w:rPr>
      </w:pPr>
    </w:p>
    <w:p>
      <w:pPr>
        <w:spacing w:after="0" w:line="231" w:lineRule="exact"/>
        <w:rPr>
          <w:sz w:val="24"/>
          <w:szCs w:val="24"/>
          <w:color w:val="auto"/>
        </w:rPr>
      </w:pPr>
    </w:p>
    <w:p>
      <w:pPr>
        <w:ind w:right="280"/>
        <w:spacing w:after="0" w:line="238" w:lineRule="auto"/>
        <w:rPr>
          <w:sz w:val="20"/>
          <w:szCs w:val="20"/>
          <w:color w:val="auto"/>
        </w:rPr>
      </w:pPr>
      <w:r>
        <w:rPr>
          <w:rFonts w:ascii="Arial" w:cs="Arial" w:eastAsia="Arial" w:hAnsi="Arial"/>
          <w:sz w:val="22"/>
          <w:szCs w:val="22"/>
          <w:color w:val="auto"/>
        </w:rPr>
        <w:t>Indicate by check mark whether the registrant (1) has filed all reports required to be filed by Section 13 or 15(d) of the Securities Exchange Act of 1934 during the preceding 12 months (or for such shorter periods that the registrant was required to file such reports), and (2) has been subject to such filing requirements for the past 90 days. Yes x No o</w:t>
      </w:r>
    </w:p>
    <w:p>
      <w:pPr>
        <w:spacing w:after="0" w:line="185" w:lineRule="exact"/>
        <w:rPr>
          <w:sz w:val="24"/>
          <w:szCs w:val="24"/>
          <w:color w:val="auto"/>
        </w:rPr>
      </w:pPr>
    </w:p>
    <w:p>
      <w:pPr>
        <w:ind w:right="840"/>
        <w:spacing w:after="0" w:line="250" w:lineRule="auto"/>
        <w:rPr>
          <w:sz w:val="20"/>
          <w:szCs w:val="20"/>
          <w:color w:val="auto"/>
        </w:rPr>
      </w:pPr>
      <w:r>
        <w:rPr>
          <w:rFonts w:ascii="Arial" w:cs="Arial" w:eastAsia="Arial" w:hAnsi="Arial"/>
          <w:sz w:val="21"/>
          <w:szCs w:val="21"/>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Large Accelerated Filer o Accelerated Filer x Non-Accelerated Filer o Smaller Reporting Company o</w:t>
      </w:r>
    </w:p>
    <w:p>
      <w:pPr>
        <w:spacing w:after="0" w:line="188" w:lineRule="exact"/>
        <w:rPr>
          <w:sz w:val="24"/>
          <w:szCs w:val="24"/>
          <w:color w:val="auto"/>
        </w:rPr>
      </w:pPr>
    </w:p>
    <w:p>
      <w:pPr>
        <w:ind w:right="1620"/>
        <w:spacing w:after="0" w:line="251" w:lineRule="auto"/>
        <w:rPr>
          <w:sz w:val="20"/>
          <w:szCs w:val="20"/>
          <w:color w:val="auto"/>
        </w:rPr>
      </w:pPr>
      <w:r>
        <w:rPr>
          <w:rFonts w:ascii="Arial" w:cs="Arial" w:eastAsia="Arial" w:hAnsi="Arial"/>
          <w:sz w:val="22"/>
          <w:szCs w:val="22"/>
          <w:color w:val="auto"/>
        </w:rPr>
        <w:t>Indicate by check mark whether the registrant is a shell company (as defined in Rule 12b-2 of the Exchange Act). Yes o No x</w:t>
      </w:r>
    </w:p>
    <w:p>
      <w:pPr>
        <w:spacing w:after="0" w:line="173" w:lineRule="exact"/>
        <w:rPr>
          <w:sz w:val="24"/>
          <w:szCs w:val="24"/>
          <w:color w:val="auto"/>
        </w:rPr>
      </w:pPr>
    </w:p>
    <w:p>
      <w:pPr>
        <w:spacing w:after="0"/>
        <w:rPr>
          <w:sz w:val="20"/>
          <w:szCs w:val="20"/>
          <w:color w:val="auto"/>
        </w:rPr>
      </w:pPr>
      <w:r>
        <w:rPr>
          <w:rFonts w:ascii="Arial" w:cs="Arial" w:eastAsia="Arial" w:hAnsi="Arial"/>
          <w:sz w:val="19"/>
          <w:szCs w:val="19"/>
          <w:color w:val="auto"/>
        </w:rPr>
        <w:t>Indicate the number of shares outstanding of each of the issuer's classes of common stock, as of the latest practicable date.</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53"/>
        </w:trPr>
        <w:tc>
          <w:tcPr>
            <w:tcW w:w="4700" w:type="dxa"/>
            <w:vAlign w:val="bottom"/>
          </w:tcPr>
          <w:p>
            <w:pPr>
              <w:jc w:val="center"/>
              <w:spacing w:after="0"/>
              <w:rPr>
                <w:sz w:val="20"/>
                <w:szCs w:val="20"/>
                <w:color w:val="auto"/>
              </w:rPr>
            </w:pPr>
            <w:r>
              <w:rPr>
                <w:rFonts w:ascii="Arial" w:cs="Arial" w:eastAsia="Arial" w:hAnsi="Arial"/>
                <w:sz w:val="22"/>
                <w:szCs w:val="22"/>
                <w:color w:val="auto"/>
                <w:w w:val="87"/>
              </w:rPr>
              <w:t>Class</w:t>
            </w:r>
          </w:p>
        </w:tc>
        <w:tc>
          <w:tcPr>
            <w:tcW w:w="6740" w:type="dxa"/>
            <w:vAlign w:val="bottom"/>
          </w:tcPr>
          <w:p>
            <w:pPr>
              <w:jc w:val="center"/>
              <w:ind w:left="2112"/>
              <w:spacing w:after="0"/>
              <w:rPr>
                <w:sz w:val="20"/>
                <w:szCs w:val="20"/>
                <w:color w:val="auto"/>
              </w:rPr>
            </w:pPr>
            <w:r>
              <w:rPr>
                <w:rFonts w:ascii="Arial" w:cs="Arial" w:eastAsia="Arial" w:hAnsi="Arial"/>
                <w:sz w:val="22"/>
                <w:szCs w:val="22"/>
                <w:color w:val="auto"/>
                <w:w w:val="89"/>
              </w:rPr>
              <w:t>Outstanding at August 28, 2008</w:t>
            </w:r>
          </w:p>
        </w:tc>
      </w:tr>
      <w:tr>
        <w:trPr>
          <w:trHeight w:val="281"/>
        </w:trPr>
        <w:tc>
          <w:tcPr>
            <w:tcW w:w="4700" w:type="dxa"/>
            <w:vAlign w:val="bottom"/>
          </w:tcPr>
          <w:p>
            <w:pPr>
              <w:jc w:val="center"/>
              <w:spacing w:after="0"/>
              <w:rPr>
                <w:sz w:val="20"/>
                <w:szCs w:val="20"/>
                <w:color w:val="auto"/>
              </w:rPr>
            </w:pPr>
            <w:r>
              <w:rPr>
                <w:rFonts w:ascii="Arial" w:cs="Arial" w:eastAsia="Arial" w:hAnsi="Arial"/>
                <w:sz w:val="22"/>
                <w:szCs w:val="22"/>
                <w:b w:val="1"/>
                <w:bCs w:val="1"/>
                <w:color w:val="auto"/>
                <w:w w:val="88"/>
              </w:rPr>
              <w:t>Common Stock, $0.01 par value</w:t>
            </w:r>
          </w:p>
        </w:tc>
        <w:tc>
          <w:tcPr>
            <w:tcW w:w="6740" w:type="dxa"/>
            <w:vAlign w:val="bottom"/>
          </w:tcPr>
          <w:p>
            <w:pPr>
              <w:jc w:val="center"/>
              <w:ind w:left="2112"/>
              <w:spacing w:after="0"/>
              <w:rPr>
                <w:sz w:val="20"/>
                <w:szCs w:val="20"/>
                <w:color w:val="auto"/>
              </w:rPr>
            </w:pPr>
            <w:r>
              <w:rPr>
                <w:rFonts w:ascii="Arial" w:cs="Arial" w:eastAsia="Arial" w:hAnsi="Arial"/>
                <w:sz w:val="22"/>
                <w:szCs w:val="22"/>
                <w:b w:val="1"/>
                <w:bCs w:val="1"/>
                <w:color w:val="auto"/>
                <w:w w:val="86"/>
              </w:rPr>
              <w:t>42,005,907 Shares</w:t>
            </w:r>
          </w:p>
        </w:tc>
      </w:tr>
      <w:tr>
        <w:trPr>
          <w:trHeight w:val="918"/>
        </w:trPr>
        <w:tc>
          <w:tcPr>
            <w:tcW w:w="4700" w:type="dxa"/>
            <w:vAlign w:val="bottom"/>
          </w:tcPr>
          <w:p>
            <w:pPr>
              <w:spacing w:after="0"/>
              <w:rPr>
                <w:sz w:val="24"/>
                <w:szCs w:val="24"/>
                <w:color w:val="auto"/>
              </w:rPr>
            </w:pPr>
          </w:p>
        </w:tc>
        <w:tc>
          <w:tcPr>
            <w:tcW w:w="6740" w:type="dxa"/>
            <w:vAlign w:val="bottom"/>
          </w:tcPr>
          <w:p>
            <w:pPr>
              <w:jc w:val="right"/>
              <w:ind w:right="5492"/>
              <w:spacing w:after="0"/>
              <w:rPr>
                <w:sz w:val="20"/>
                <w:szCs w:val="20"/>
                <w:color w:val="auto"/>
              </w:rPr>
            </w:pPr>
            <w:r>
              <w:rPr>
                <w:rFonts w:ascii="Arial" w:cs="Arial" w:eastAsia="Arial" w:hAnsi="Arial"/>
                <w:sz w:val="22"/>
                <w:szCs w:val="22"/>
                <w:color w:val="auto"/>
              </w:rPr>
              <w:t>-1-</w:t>
            </w:r>
          </w:p>
        </w:tc>
      </w:tr>
      <w:tr>
        <w:trPr>
          <w:trHeight w:val="213"/>
        </w:trPr>
        <w:tc>
          <w:tcPr>
            <w:tcW w:w="4700" w:type="dxa"/>
            <w:vAlign w:val="bottom"/>
            <w:tcBorders>
              <w:bottom w:val="single" w:sz="8" w:color="9A9A9A"/>
            </w:tcBorders>
          </w:tcPr>
          <w:p>
            <w:pPr>
              <w:spacing w:after="0"/>
              <w:rPr>
                <w:sz w:val="18"/>
                <w:szCs w:val="18"/>
                <w:color w:val="auto"/>
              </w:rPr>
            </w:pPr>
          </w:p>
        </w:tc>
        <w:tc>
          <w:tcPr>
            <w:tcW w:w="6740" w:type="dxa"/>
            <w:vAlign w:val="bottom"/>
            <w:tcBorders>
              <w:bottom w:val="single" w:sz="8" w:color="9A9A9A"/>
            </w:tcBorders>
          </w:tcPr>
          <w:p>
            <w:pPr>
              <w:spacing w:after="0"/>
              <w:rPr>
                <w:sz w:val="18"/>
                <w:szCs w:val="18"/>
                <w:color w:val="auto"/>
              </w:rPr>
            </w:pPr>
          </w:p>
        </w:tc>
      </w:tr>
      <w:tr>
        <w:trPr>
          <w:trHeight w:val="820"/>
        </w:trPr>
        <w:tc>
          <w:tcPr>
            <w:tcW w:w="4700" w:type="dxa"/>
            <w:vAlign w:val="bottom"/>
          </w:tcPr>
          <w:p>
            <w:pPr>
              <w:spacing w:after="0"/>
              <w:rPr>
                <w:sz w:val="20"/>
                <w:szCs w:val="20"/>
                <w:color w:val="auto"/>
              </w:rPr>
            </w:pPr>
            <w:r>
              <w:rPr>
                <w:rFonts w:ascii="Arial" w:cs="Arial" w:eastAsia="Arial" w:hAnsi="Arial"/>
                <w:sz w:val="22"/>
                <w:szCs w:val="22"/>
                <w:b w:val="1"/>
                <w:bCs w:val="1"/>
                <w:color w:val="auto"/>
              </w:rPr>
              <w:t>Forward-Looking Information</w:t>
            </w:r>
          </w:p>
        </w:tc>
        <w:tc>
          <w:tcPr>
            <w:tcW w:w="67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7247255</wp:posOffset>
            </wp:positionH>
            <wp:positionV relativeFrom="paragraph">
              <wp:posOffset>-549910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-549910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40" w:orient="portrait"/>
          <w:cols w:equalWidth="0" w:num="1">
            <w:col w:w="11440"/>
          </w:cols>
          <w:pgMar w:left="240" w:top="1138" w:right="219" w:bottom="0" w:gutter="0" w:footer="0" w:header="0"/>
        </w:sectPr>
      </w:pPr>
    </w:p>
    <w:bookmarkStart w:id="1" w:name="page2"/>
    <w:bookmarkEnd w:id="1"/>
    <w:p>
      <w:pPr>
        <w:ind w:firstLine="266"/>
        <w:spacing w:after="0" w:line="269" w:lineRule="auto"/>
        <w:rPr>
          <w:sz w:val="20"/>
          <w:szCs w:val="20"/>
          <w:color w:val="auto"/>
        </w:rPr>
      </w:pPr>
      <w:r>
        <w:rPr>
          <w:rFonts w:ascii="Arial" w:cs="Arial" w:eastAsia="Arial" w:hAnsi="Arial"/>
          <w:sz w:val="19"/>
          <w:szCs w:val="19"/>
          <w:color w:val="auto"/>
        </w:rPr>
        <w:t>The Private Securities Litigation Reform Act of 1995 provides a "safe harbor" for forward-looking statements made by or on behalf of Photronics, Inc. (the "Company"). These statements are based on management's beliefs, as well as assumptions made by and information currently available to management. Forward-looking statements may be identified by words like "expect", "anticipate", "believe", "plan", "projects", and similar expressions. All forward-looking statements involve risks and uncertainties that are difficult to predict. In particular, any statement contained in this quarterly report on Form 10-Q, in press releases, written statements or other documents filed with the Securities and Exchange Commission, or in the Company's communications and discussions with investors and analysts in the normal course of business through meetings, phone calls and conference calls, regarding the consummation and benefits of future acquisitions, expectations with respect to future sales, financial performance, operating efficiencies and product expansion, are subject to known and unknown risks, uncertainties and contingencies, many of which are beyond the control of the Company. These factors may cause actual results, performance or achievements to differ materially from anticipated results, performances or achievements. Factors that might affect such forward-looking statements include, but are not limited to, overall economic and business conditions; the demand and receipt of orders for the Company's products; competitive factors in the industries and geographic markets in which the Company competes; changes in federal, state and international tax requirements (including tax rate changes, new tax laws and revised tax law interpretations); the Company's ability to place new equipment in service on a timely basis; interest rate fluctuations and other capital market conditions, including foreign currency rate fluctuations; economic and political conditions in international markets; the ability to obtain additional financings; the ability to achieve anticipated synergies and other cost savings in connection with acquisitions and productivity programs; the timing, impact and other uncertainties of future acquisitions; the seasonal and cyclical nature of the semiconductor and flat panel display industries; the availability of capital; management changes; damage or destruction to the Company's facilities by natural disasters, labor strikes, political unrest or terrorist activity; the ability to fully utilize its tools; the ability of the Company to receive desired yields, pricing, product mix, and market acceptance of its products; changes in technology; and the ability of the Company to obtain necessary export licenses. Any forward-looking statements should be considered in light of these factors. Accordingly, there is no assurance that the Company's expectations will be realized. The Company does not assume responsibility for the accuracy and completeness of the forward-looking statements and does not assume an obligation to provide revisions to any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700"/>
        <w:spacing w:after="0"/>
        <w:rPr>
          <w:sz w:val="20"/>
          <w:szCs w:val="20"/>
          <w:color w:val="auto"/>
        </w:rPr>
      </w:pPr>
      <w:r>
        <w:rPr>
          <w:rFonts w:ascii="Arial" w:cs="Arial" w:eastAsia="Arial" w:hAnsi="Arial"/>
          <w:sz w:val="22"/>
          <w:szCs w:val="22"/>
          <w:b w:val="1"/>
          <w:bCs w:val="1"/>
          <w:color w:val="auto"/>
        </w:rPr>
        <w:t>PHOTRONICS, INC.</w:t>
      </w:r>
    </w:p>
    <w:p>
      <w:pPr>
        <w:spacing w:after="0" w:line="14" w:lineRule="exact"/>
        <w:rPr>
          <w:sz w:val="20"/>
          <w:szCs w:val="20"/>
          <w:color w:val="auto"/>
        </w:rPr>
      </w:pPr>
    </w:p>
    <w:p>
      <w:pPr>
        <w:ind w:left="4700"/>
        <w:spacing w:after="0"/>
        <w:rPr>
          <w:sz w:val="20"/>
          <w:szCs w:val="20"/>
          <w:color w:val="auto"/>
        </w:rPr>
      </w:pPr>
      <w:r>
        <w:rPr>
          <w:rFonts w:ascii="Arial" w:cs="Arial" w:eastAsia="Arial" w:hAnsi="Arial"/>
          <w:sz w:val="22"/>
          <w:szCs w:val="22"/>
          <w:b w:val="1"/>
          <w:bCs w:val="1"/>
          <w:color w:val="auto"/>
        </w:rPr>
        <w:t>AND SUBSIDIARIES</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INDEX</w:t>
      </w:r>
    </w:p>
    <w:p>
      <w:pPr>
        <w:spacing w:after="0" w:line="200" w:lineRule="exact"/>
        <w:rPr>
          <w:sz w:val="20"/>
          <w:szCs w:val="20"/>
          <w:color w:val="auto"/>
        </w:rPr>
      </w:pPr>
    </w:p>
    <w:p>
      <w:pPr>
        <w:spacing w:after="0" w:line="249" w:lineRule="exact"/>
        <w:rPr>
          <w:sz w:val="20"/>
          <w:szCs w:val="20"/>
          <w:color w:val="auto"/>
        </w:rPr>
      </w:pPr>
    </w:p>
    <w:tbl>
      <w:tblPr>
        <w:tblLayout w:type="fixed"/>
        <w:tblInd w:w="1880" w:type="dxa"/>
        <w:tblCellMar>
          <w:top w:w="0" w:type="dxa"/>
          <w:left w:w="0" w:type="dxa"/>
          <w:bottom w:w="0" w:type="dxa"/>
          <w:right w:w="0" w:type="dxa"/>
        </w:tblCellMar>
      </w:tblPr>
      <w:tr>
        <w:trPr>
          <w:trHeight w:val="281"/>
        </w:trPr>
        <w:tc>
          <w:tcPr>
            <w:tcW w:w="1400" w:type="dxa"/>
            <w:vAlign w:val="bottom"/>
          </w:tcPr>
          <w:p>
            <w:pPr>
              <w:spacing w:after="0"/>
              <w:rPr>
                <w:sz w:val="20"/>
                <w:szCs w:val="20"/>
                <w:color w:val="auto"/>
              </w:rPr>
            </w:pPr>
            <w:r>
              <w:rPr>
                <w:rFonts w:ascii="Arial" w:cs="Arial" w:eastAsia="Arial" w:hAnsi="Arial"/>
                <w:sz w:val="22"/>
                <w:szCs w:val="22"/>
                <w:b w:val="1"/>
                <w:bCs w:val="1"/>
                <w:color w:val="auto"/>
              </w:rPr>
              <w:t>PART I.</w:t>
            </w:r>
          </w:p>
        </w:tc>
        <w:tc>
          <w:tcPr>
            <w:tcW w:w="5840" w:type="dxa"/>
            <w:vAlign w:val="bottom"/>
            <w:gridSpan w:val="14"/>
          </w:tcPr>
          <w:p>
            <w:pPr>
              <w:spacing w:after="0"/>
              <w:rPr>
                <w:sz w:val="20"/>
                <w:szCs w:val="20"/>
                <w:color w:val="auto"/>
              </w:rPr>
            </w:pPr>
            <w:r>
              <w:rPr>
                <w:rFonts w:ascii="Arial" w:cs="Arial" w:eastAsia="Arial" w:hAnsi="Arial"/>
                <w:sz w:val="22"/>
                <w:szCs w:val="22"/>
                <w:b w:val="1"/>
                <w:bCs w:val="1"/>
                <w:color w:val="auto"/>
              </w:rPr>
              <w:t>FINANCIAL INFORMATION</w:t>
            </w:r>
          </w:p>
        </w:tc>
        <w:tc>
          <w:tcPr>
            <w:tcW w:w="440" w:type="dxa"/>
            <w:vAlign w:val="bottom"/>
          </w:tcPr>
          <w:p>
            <w:pPr>
              <w:jc w:val="right"/>
              <w:spacing w:after="0"/>
              <w:rPr>
                <w:sz w:val="20"/>
                <w:szCs w:val="20"/>
                <w:color w:val="auto"/>
              </w:rPr>
            </w:pPr>
            <w:r>
              <w:rPr>
                <w:rFonts w:ascii="Arial" w:cs="Arial" w:eastAsia="Arial" w:hAnsi="Arial"/>
                <w:sz w:val="22"/>
                <w:szCs w:val="22"/>
                <w:color w:val="auto"/>
                <w:w w:val="77"/>
              </w:rPr>
              <w:t>Page</w:t>
            </w:r>
          </w:p>
        </w:tc>
        <w:tc>
          <w:tcPr>
            <w:tcW w:w="0" w:type="dxa"/>
            <w:vAlign w:val="bottom"/>
          </w:tcPr>
          <w:p>
            <w:pPr>
              <w:spacing w:after="0"/>
              <w:rPr>
                <w:sz w:val="1"/>
                <w:szCs w:val="1"/>
                <w:color w:val="auto"/>
              </w:rPr>
            </w:pPr>
          </w:p>
        </w:tc>
      </w:tr>
      <w:tr>
        <w:trPr>
          <w:trHeight w:val="98"/>
        </w:trPr>
        <w:tc>
          <w:tcPr>
            <w:tcW w:w="1400" w:type="dxa"/>
            <w:vAlign w:val="bottom"/>
            <w:vMerge w:val="restart"/>
          </w:tcPr>
          <w:p>
            <w:pPr>
              <w:spacing w:after="0"/>
              <w:rPr>
                <w:sz w:val="20"/>
                <w:szCs w:val="20"/>
                <w:color w:val="auto"/>
              </w:rPr>
            </w:pPr>
            <w:r>
              <w:rPr>
                <w:rFonts w:ascii="Arial" w:cs="Arial" w:eastAsia="Arial" w:hAnsi="Arial"/>
                <w:sz w:val="22"/>
                <w:szCs w:val="22"/>
                <w:color w:val="auto"/>
              </w:rPr>
              <w:t>Item 1.</w:t>
            </w:r>
          </w:p>
        </w:tc>
        <w:tc>
          <w:tcPr>
            <w:tcW w:w="5840" w:type="dxa"/>
            <w:vAlign w:val="bottom"/>
            <w:gridSpan w:val="14"/>
            <w:vMerge w:val="restart"/>
          </w:tcPr>
          <w:p>
            <w:pPr>
              <w:spacing w:after="0"/>
              <w:rPr>
                <w:sz w:val="20"/>
                <w:szCs w:val="20"/>
                <w:color w:val="auto"/>
              </w:rPr>
            </w:pPr>
            <w:r>
              <w:rPr>
                <w:rFonts w:ascii="Arial" w:cs="Arial" w:eastAsia="Arial" w:hAnsi="Arial"/>
                <w:sz w:val="22"/>
                <w:szCs w:val="22"/>
                <w:color w:val="auto"/>
              </w:rPr>
              <w:t>Condensed Consolidated Financial Statements</w:t>
            </w:r>
          </w:p>
        </w:tc>
        <w:tc>
          <w:tcPr>
            <w:tcW w:w="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611"/>
        </w:trPr>
        <w:tc>
          <w:tcPr>
            <w:tcW w:w="1400" w:type="dxa"/>
            <w:vAlign w:val="bottom"/>
            <w:vMerge w:val="continue"/>
          </w:tcPr>
          <w:p>
            <w:pPr>
              <w:spacing w:after="0"/>
              <w:rPr>
                <w:sz w:val="24"/>
                <w:szCs w:val="24"/>
                <w:color w:val="auto"/>
              </w:rPr>
            </w:pPr>
          </w:p>
        </w:tc>
        <w:tc>
          <w:tcPr>
            <w:tcW w:w="5840" w:type="dxa"/>
            <w:vAlign w:val="bottom"/>
            <w:gridSpan w:val="14"/>
            <w:vMerge w:val="continue"/>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1400" w:type="dxa"/>
            <w:vAlign w:val="bottom"/>
          </w:tcPr>
          <w:p>
            <w:pPr>
              <w:spacing w:after="0"/>
              <w:rPr>
                <w:sz w:val="24"/>
                <w:szCs w:val="24"/>
                <w:color w:val="auto"/>
              </w:rPr>
            </w:pPr>
          </w:p>
        </w:tc>
        <w:tc>
          <w:tcPr>
            <w:tcW w:w="5840" w:type="dxa"/>
            <w:vAlign w:val="bottom"/>
            <w:gridSpan w:val="14"/>
          </w:tcPr>
          <w:p>
            <w:pPr>
              <w:spacing w:after="0"/>
              <w:rPr>
                <w:rFonts w:ascii="Arial" w:cs="Arial" w:eastAsia="Arial" w:hAnsi="Arial"/>
                <w:sz w:val="22"/>
                <w:szCs w:val="22"/>
                <w:color w:val="0000EE"/>
              </w:rPr>
            </w:pPr>
            <w:hyperlink w:anchor="page3">
              <w:r>
                <w:rPr>
                  <w:rFonts w:ascii="Arial" w:cs="Arial" w:eastAsia="Arial" w:hAnsi="Arial"/>
                  <w:sz w:val="22"/>
                  <w:szCs w:val="22"/>
                  <w:color w:val="0000EE"/>
                </w:rPr>
                <w:t>Condensed Consolidated Balance Sheets at</w:t>
              </w:r>
            </w:hyperlink>
          </w:p>
        </w:tc>
        <w:tc>
          <w:tcPr>
            <w:tcW w:w="440" w:type="dxa"/>
            <w:vAlign w:val="bottom"/>
            <w:vMerge w:val="restart"/>
          </w:tcPr>
          <w:p>
            <w:pPr>
              <w:jc w:val="right"/>
              <w:spacing w:after="0"/>
              <w:rPr>
                <w:sz w:val="20"/>
                <w:szCs w:val="20"/>
                <w:color w:val="auto"/>
              </w:rPr>
            </w:pPr>
            <w:r>
              <w:rPr>
                <w:rFonts w:ascii="Arial" w:cs="Arial" w:eastAsia="Arial" w:hAnsi="Arial"/>
                <w:sz w:val="22"/>
                <w:szCs w:val="22"/>
                <w:color w:val="auto"/>
              </w:rPr>
              <w:t>4</w:t>
            </w:r>
          </w:p>
        </w:tc>
        <w:tc>
          <w:tcPr>
            <w:tcW w:w="0" w:type="dxa"/>
            <w:vAlign w:val="bottom"/>
          </w:tcPr>
          <w:p>
            <w:pPr>
              <w:spacing w:after="0"/>
              <w:rPr>
                <w:sz w:val="1"/>
                <w:szCs w:val="1"/>
                <w:color w:val="auto"/>
              </w:rPr>
            </w:pPr>
          </w:p>
        </w:tc>
      </w:tr>
      <w:tr>
        <w:trPr>
          <w:trHeight w:val="223"/>
        </w:trPr>
        <w:tc>
          <w:tcPr>
            <w:tcW w:w="1400" w:type="dxa"/>
            <w:vAlign w:val="bottom"/>
          </w:tcPr>
          <w:p>
            <w:pPr>
              <w:spacing w:after="0"/>
              <w:rPr>
                <w:sz w:val="19"/>
                <w:szCs w:val="19"/>
                <w:color w:val="auto"/>
              </w:rPr>
            </w:pPr>
          </w:p>
        </w:tc>
        <w:tc>
          <w:tcPr>
            <w:tcW w:w="3100" w:type="dxa"/>
            <w:vAlign w:val="bottom"/>
            <w:tcBorders>
              <w:top w:val="single" w:sz="8" w:color="0000EE"/>
              <w:bottom w:val="single" w:sz="8" w:color="0000EE"/>
            </w:tcBorders>
            <w:gridSpan w:val="4"/>
          </w:tcPr>
          <w:p>
            <w:pPr>
              <w:spacing w:after="0" w:line="223" w:lineRule="exact"/>
              <w:rPr>
                <w:rFonts w:ascii="Arial" w:cs="Arial" w:eastAsia="Arial" w:hAnsi="Arial"/>
                <w:sz w:val="22"/>
                <w:szCs w:val="22"/>
                <w:color w:val="0000EE"/>
                <w:w w:val="88"/>
              </w:rPr>
            </w:pPr>
            <w:hyperlink w:anchor="page3">
              <w:r>
                <w:rPr>
                  <w:rFonts w:ascii="Arial" w:cs="Arial" w:eastAsia="Arial" w:hAnsi="Arial"/>
                  <w:sz w:val="22"/>
                  <w:szCs w:val="22"/>
                  <w:color w:val="0000EE"/>
                  <w:w w:val="88"/>
                </w:rPr>
                <w:t>July 27, 2008 and October 28, 2007</w:t>
              </w:r>
            </w:hyperlink>
          </w:p>
        </w:tc>
        <w:tc>
          <w:tcPr>
            <w:tcW w:w="620" w:type="dxa"/>
            <w:vAlign w:val="bottom"/>
            <w:tcBorders>
              <w:top w:val="single" w:sz="8" w:color="0000EE"/>
            </w:tcBorders>
            <w:gridSpan w:val="4"/>
          </w:tcPr>
          <w:p>
            <w:pPr>
              <w:spacing w:after="0"/>
              <w:rPr>
                <w:sz w:val="19"/>
                <w:szCs w:val="19"/>
                <w:color w:val="auto"/>
              </w:rPr>
            </w:pPr>
          </w:p>
        </w:tc>
        <w:tc>
          <w:tcPr>
            <w:tcW w:w="2120" w:type="dxa"/>
            <w:vAlign w:val="bottom"/>
            <w:gridSpan w:val="6"/>
          </w:tcPr>
          <w:p>
            <w:pPr>
              <w:spacing w:after="0"/>
              <w:rPr>
                <w:sz w:val="19"/>
                <w:szCs w:val="19"/>
                <w:color w:val="auto"/>
              </w:rPr>
            </w:pPr>
          </w:p>
        </w:tc>
        <w:tc>
          <w:tcPr>
            <w:tcW w:w="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66"/>
        </w:trPr>
        <w:tc>
          <w:tcPr>
            <w:tcW w:w="1400" w:type="dxa"/>
            <w:vAlign w:val="bottom"/>
          </w:tcPr>
          <w:p>
            <w:pPr>
              <w:spacing w:after="0"/>
              <w:rPr>
                <w:sz w:val="24"/>
                <w:szCs w:val="24"/>
                <w:color w:val="auto"/>
              </w:rPr>
            </w:pPr>
          </w:p>
        </w:tc>
        <w:tc>
          <w:tcPr>
            <w:tcW w:w="5840" w:type="dxa"/>
            <w:vAlign w:val="bottom"/>
            <w:gridSpan w:val="14"/>
          </w:tcPr>
          <w:p>
            <w:pPr>
              <w:spacing w:after="0"/>
              <w:rPr>
                <w:rFonts w:ascii="Arial" w:cs="Arial" w:eastAsia="Arial" w:hAnsi="Arial"/>
                <w:sz w:val="22"/>
                <w:szCs w:val="22"/>
                <w:color w:val="0000EE"/>
              </w:rPr>
            </w:pPr>
            <w:hyperlink w:anchor="page4">
              <w:r>
                <w:rPr>
                  <w:rFonts w:ascii="Arial" w:cs="Arial" w:eastAsia="Arial" w:hAnsi="Arial"/>
                  <w:sz w:val="22"/>
                  <w:szCs w:val="22"/>
                  <w:color w:val="0000EE"/>
                </w:rPr>
                <w:t>Condensed Consolidated Statements of Operations</w:t>
              </w:r>
            </w:hyperlink>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400" w:type="dxa"/>
            <w:vAlign w:val="bottom"/>
          </w:tcPr>
          <w:p>
            <w:pPr>
              <w:spacing w:after="0"/>
              <w:rPr>
                <w:sz w:val="19"/>
                <w:szCs w:val="19"/>
                <w:color w:val="auto"/>
              </w:rPr>
            </w:pPr>
          </w:p>
        </w:tc>
        <w:tc>
          <w:tcPr>
            <w:tcW w:w="4380" w:type="dxa"/>
            <w:vAlign w:val="bottom"/>
            <w:tcBorders>
              <w:top w:val="single" w:sz="8" w:color="0000EE"/>
            </w:tcBorders>
            <w:gridSpan w:val="10"/>
          </w:tcPr>
          <w:p>
            <w:pPr>
              <w:spacing w:after="0" w:line="223" w:lineRule="exact"/>
              <w:rPr>
                <w:rFonts w:ascii="Arial" w:cs="Arial" w:eastAsia="Arial" w:hAnsi="Arial"/>
                <w:sz w:val="22"/>
                <w:szCs w:val="22"/>
                <w:color w:val="0000EE"/>
              </w:rPr>
            </w:pPr>
            <w:hyperlink w:anchor="page4">
              <w:r>
                <w:rPr>
                  <w:rFonts w:ascii="Arial" w:cs="Arial" w:eastAsia="Arial" w:hAnsi="Arial"/>
                  <w:sz w:val="22"/>
                  <w:szCs w:val="22"/>
                  <w:color w:val="0000EE"/>
                </w:rPr>
                <w:t>for the Three and Nine Months Ended</w:t>
              </w:r>
            </w:hyperlink>
          </w:p>
        </w:tc>
        <w:tc>
          <w:tcPr>
            <w:tcW w:w="1460" w:type="dxa"/>
            <w:vAlign w:val="bottom"/>
            <w:gridSpan w:val="4"/>
          </w:tcPr>
          <w:p>
            <w:pPr>
              <w:spacing w:after="0"/>
              <w:rPr>
                <w:sz w:val="19"/>
                <w:szCs w:val="19"/>
                <w:color w:val="auto"/>
              </w:rPr>
            </w:pPr>
          </w:p>
        </w:tc>
        <w:tc>
          <w:tcPr>
            <w:tcW w:w="440" w:type="dxa"/>
            <w:vAlign w:val="bottom"/>
            <w:vMerge w:val="restart"/>
          </w:tcPr>
          <w:p>
            <w:pPr>
              <w:jc w:val="right"/>
              <w:spacing w:after="0"/>
              <w:rPr>
                <w:sz w:val="20"/>
                <w:szCs w:val="20"/>
                <w:color w:val="auto"/>
              </w:rPr>
            </w:pPr>
            <w:r>
              <w:rPr>
                <w:rFonts w:ascii="Arial" w:cs="Arial" w:eastAsia="Arial" w:hAnsi="Arial"/>
                <w:sz w:val="22"/>
                <w:szCs w:val="22"/>
                <w:color w:val="auto"/>
              </w:rPr>
              <w:t>5</w:t>
            </w:r>
          </w:p>
        </w:tc>
        <w:tc>
          <w:tcPr>
            <w:tcW w:w="0" w:type="dxa"/>
            <w:vAlign w:val="bottom"/>
          </w:tcPr>
          <w:p>
            <w:pPr>
              <w:spacing w:after="0"/>
              <w:rPr>
                <w:sz w:val="1"/>
                <w:szCs w:val="1"/>
                <w:color w:val="auto"/>
              </w:rPr>
            </w:pPr>
          </w:p>
        </w:tc>
      </w:tr>
      <w:tr>
        <w:trPr>
          <w:trHeight w:val="223"/>
        </w:trPr>
        <w:tc>
          <w:tcPr>
            <w:tcW w:w="1400" w:type="dxa"/>
            <w:vAlign w:val="bottom"/>
          </w:tcPr>
          <w:p>
            <w:pPr>
              <w:spacing w:after="0"/>
              <w:rPr>
                <w:sz w:val="19"/>
                <w:szCs w:val="19"/>
                <w:color w:val="auto"/>
              </w:rPr>
            </w:pPr>
          </w:p>
        </w:tc>
        <w:tc>
          <w:tcPr>
            <w:tcW w:w="2760" w:type="dxa"/>
            <w:vAlign w:val="bottom"/>
            <w:tcBorders>
              <w:top w:val="single" w:sz="8" w:color="0000EE"/>
              <w:bottom w:val="single" w:sz="8" w:color="0000EE"/>
            </w:tcBorders>
            <w:gridSpan w:val="3"/>
          </w:tcPr>
          <w:p>
            <w:pPr>
              <w:spacing w:after="0" w:line="223" w:lineRule="exact"/>
              <w:rPr>
                <w:rFonts w:ascii="Arial" w:cs="Arial" w:eastAsia="Arial" w:hAnsi="Arial"/>
                <w:sz w:val="22"/>
                <w:szCs w:val="22"/>
                <w:color w:val="0000EE"/>
                <w:w w:val="88"/>
              </w:rPr>
            </w:pPr>
            <w:hyperlink w:anchor="page4">
              <w:r>
                <w:rPr>
                  <w:rFonts w:ascii="Arial" w:cs="Arial" w:eastAsia="Arial" w:hAnsi="Arial"/>
                  <w:sz w:val="22"/>
                  <w:szCs w:val="22"/>
                  <w:color w:val="0000EE"/>
                  <w:w w:val="88"/>
                </w:rPr>
                <w:t>July 27, 2008 and July 29, 2007</w:t>
              </w:r>
            </w:hyperlink>
          </w:p>
        </w:tc>
        <w:tc>
          <w:tcPr>
            <w:tcW w:w="520" w:type="dxa"/>
            <w:vAlign w:val="bottom"/>
            <w:tcBorders>
              <w:top w:val="single" w:sz="8" w:color="0000EE"/>
            </w:tcBorders>
            <w:gridSpan w:val="2"/>
          </w:tcPr>
          <w:p>
            <w:pPr>
              <w:spacing w:after="0"/>
              <w:rPr>
                <w:sz w:val="19"/>
                <w:szCs w:val="19"/>
                <w:color w:val="auto"/>
              </w:rPr>
            </w:pPr>
          </w:p>
        </w:tc>
        <w:tc>
          <w:tcPr>
            <w:tcW w:w="2560" w:type="dxa"/>
            <w:vAlign w:val="bottom"/>
            <w:gridSpan w:val="9"/>
          </w:tcPr>
          <w:p>
            <w:pPr>
              <w:spacing w:after="0"/>
              <w:rPr>
                <w:sz w:val="19"/>
                <w:szCs w:val="19"/>
                <w:color w:val="auto"/>
              </w:rPr>
            </w:pPr>
          </w:p>
        </w:tc>
        <w:tc>
          <w:tcPr>
            <w:tcW w:w="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66"/>
        </w:trPr>
        <w:tc>
          <w:tcPr>
            <w:tcW w:w="1400" w:type="dxa"/>
            <w:vAlign w:val="bottom"/>
          </w:tcPr>
          <w:p>
            <w:pPr>
              <w:spacing w:after="0"/>
              <w:rPr>
                <w:sz w:val="24"/>
                <w:szCs w:val="24"/>
                <w:color w:val="auto"/>
              </w:rPr>
            </w:pPr>
          </w:p>
        </w:tc>
        <w:tc>
          <w:tcPr>
            <w:tcW w:w="4460" w:type="dxa"/>
            <w:vAlign w:val="bottom"/>
            <w:tcBorders>
              <w:bottom w:val="single" w:sz="8" w:color="0000EE"/>
            </w:tcBorders>
            <w:gridSpan w:val="11"/>
          </w:tcPr>
          <w:p>
            <w:pPr>
              <w:spacing w:after="0"/>
              <w:rPr>
                <w:rFonts w:ascii="Arial" w:cs="Arial" w:eastAsia="Arial" w:hAnsi="Arial"/>
                <w:sz w:val="22"/>
                <w:szCs w:val="22"/>
                <w:color w:val="0000EE"/>
                <w:w w:val="87"/>
              </w:rPr>
            </w:pPr>
            <w:hyperlink w:anchor="page5">
              <w:r>
                <w:rPr>
                  <w:rFonts w:ascii="Arial" w:cs="Arial" w:eastAsia="Arial" w:hAnsi="Arial"/>
                  <w:sz w:val="22"/>
                  <w:szCs w:val="22"/>
                  <w:color w:val="0000EE"/>
                  <w:w w:val="87"/>
                </w:rPr>
                <w:t>Condensed Consolidated Statements of Cash Flows</w:t>
              </w:r>
            </w:hyperlink>
          </w:p>
        </w:tc>
        <w:tc>
          <w:tcPr>
            <w:tcW w:w="1380" w:type="dxa"/>
            <w:vAlign w:val="bottom"/>
            <w:gridSpan w:val="3"/>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400" w:type="dxa"/>
            <w:vAlign w:val="bottom"/>
          </w:tcPr>
          <w:p>
            <w:pPr>
              <w:spacing w:after="0"/>
              <w:rPr>
                <w:sz w:val="19"/>
                <w:szCs w:val="19"/>
                <w:color w:val="auto"/>
              </w:rPr>
            </w:pPr>
          </w:p>
        </w:tc>
        <w:tc>
          <w:tcPr>
            <w:tcW w:w="5840" w:type="dxa"/>
            <w:vAlign w:val="bottom"/>
            <w:gridSpan w:val="14"/>
          </w:tcPr>
          <w:p>
            <w:pPr>
              <w:spacing w:after="0" w:line="223" w:lineRule="exact"/>
              <w:rPr>
                <w:rFonts w:ascii="Arial" w:cs="Arial" w:eastAsia="Arial" w:hAnsi="Arial"/>
                <w:sz w:val="22"/>
                <w:szCs w:val="22"/>
                <w:color w:val="0000EE"/>
              </w:rPr>
            </w:pPr>
            <w:hyperlink w:anchor="page5">
              <w:r>
                <w:rPr>
                  <w:rFonts w:ascii="Arial" w:cs="Arial" w:eastAsia="Arial" w:hAnsi="Arial"/>
                  <w:sz w:val="22"/>
                  <w:szCs w:val="22"/>
                  <w:color w:val="0000EE"/>
                </w:rPr>
                <w:t>for the Nine Months Ended</w:t>
              </w:r>
            </w:hyperlink>
          </w:p>
        </w:tc>
        <w:tc>
          <w:tcPr>
            <w:tcW w:w="440" w:type="dxa"/>
            <w:vAlign w:val="bottom"/>
            <w:vMerge w:val="restart"/>
          </w:tcPr>
          <w:p>
            <w:pPr>
              <w:jc w:val="right"/>
              <w:spacing w:after="0"/>
              <w:rPr>
                <w:sz w:val="20"/>
                <w:szCs w:val="20"/>
                <w:color w:val="auto"/>
              </w:rPr>
            </w:pPr>
            <w:r>
              <w:rPr>
                <w:rFonts w:ascii="Arial" w:cs="Arial" w:eastAsia="Arial" w:hAnsi="Arial"/>
                <w:sz w:val="22"/>
                <w:szCs w:val="22"/>
                <w:color w:val="auto"/>
              </w:rPr>
              <w:t>6</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400" w:type="dxa"/>
            <w:vAlign w:val="bottom"/>
          </w:tcPr>
          <w:p>
            <w:pPr>
              <w:spacing w:after="0"/>
              <w:rPr>
                <w:sz w:val="19"/>
                <w:szCs w:val="19"/>
                <w:color w:val="auto"/>
              </w:rPr>
            </w:pPr>
          </w:p>
        </w:tc>
        <w:tc>
          <w:tcPr>
            <w:tcW w:w="2760" w:type="dxa"/>
            <w:vAlign w:val="bottom"/>
            <w:tcBorders>
              <w:bottom w:val="single" w:sz="8" w:color="0000EE"/>
            </w:tcBorders>
            <w:gridSpan w:val="3"/>
          </w:tcPr>
          <w:p>
            <w:pPr>
              <w:spacing w:after="0" w:line="223" w:lineRule="exact"/>
              <w:rPr>
                <w:rFonts w:ascii="Arial" w:cs="Arial" w:eastAsia="Arial" w:hAnsi="Arial"/>
                <w:sz w:val="22"/>
                <w:szCs w:val="22"/>
                <w:color w:val="0000EE"/>
                <w:w w:val="88"/>
              </w:rPr>
            </w:pPr>
            <w:hyperlink w:anchor="page5">
              <w:r>
                <w:rPr>
                  <w:rFonts w:ascii="Arial" w:cs="Arial" w:eastAsia="Arial" w:hAnsi="Arial"/>
                  <w:sz w:val="22"/>
                  <w:szCs w:val="22"/>
                  <w:color w:val="0000EE"/>
                  <w:w w:val="88"/>
                </w:rPr>
                <w:t>July 27, 2008 and July 29, 2007</w:t>
              </w:r>
            </w:hyperlink>
          </w:p>
        </w:tc>
        <w:tc>
          <w:tcPr>
            <w:tcW w:w="3080" w:type="dxa"/>
            <w:vAlign w:val="bottom"/>
            <w:gridSpan w:val="11"/>
          </w:tcPr>
          <w:p>
            <w:pPr>
              <w:spacing w:after="0"/>
              <w:rPr>
                <w:sz w:val="19"/>
                <w:szCs w:val="19"/>
                <w:color w:val="auto"/>
              </w:rPr>
            </w:pPr>
          </w:p>
        </w:tc>
        <w:tc>
          <w:tcPr>
            <w:tcW w:w="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66"/>
        </w:trPr>
        <w:tc>
          <w:tcPr>
            <w:tcW w:w="1400" w:type="dxa"/>
            <w:vAlign w:val="bottom"/>
          </w:tcPr>
          <w:p>
            <w:pPr>
              <w:spacing w:after="0"/>
              <w:rPr>
                <w:sz w:val="24"/>
                <w:szCs w:val="24"/>
                <w:color w:val="auto"/>
              </w:rPr>
            </w:pPr>
          </w:p>
        </w:tc>
        <w:tc>
          <w:tcPr>
            <w:tcW w:w="4800" w:type="dxa"/>
            <w:vAlign w:val="bottom"/>
            <w:tcBorders>
              <w:bottom w:val="single" w:sz="8" w:color="0000EE"/>
            </w:tcBorders>
            <w:gridSpan w:val="12"/>
          </w:tcPr>
          <w:p>
            <w:pPr>
              <w:spacing w:after="0"/>
              <w:rPr>
                <w:rFonts w:ascii="Arial" w:cs="Arial" w:eastAsia="Arial" w:hAnsi="Arial"/>
                <w:sz w:val="22"/>
                <w:szCs w:val="22"/>
                <w:color w:val="0000EE"/>
                <w:w w:val="87"/>
              </w:rPr>
            </w:pPr>
            <w:hyperlink w:anchor="page6">
              <w:r>
                <w:rPr>
                  <w:rFonts w:ascii="Arial" w:cs="Arial" w:eastAsia="Arial" w:hAnsi="Arial"/>
                  <w:sz w:val="22"/>
                  <w:szCs w:val="22"/>
                  <w:color w:val="0000EE"/>
                  <w:w w:val="87"/>
                </w:rPr>
                <w:t>Notes to Condensed Consolidated Financial Statements</w:t>
              </w:r>
            </w:hyperlink>
          </w:p>
        </w:tc>
        <w:tc>
          <w:tcPr>
            <w:tcW w:w="1040" w:type="dxa"/>
            <w:vAlign w:val="bottom"/>
            <w:gridSpan w:val="2"/>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22"/>
                <w:szCs w:val="22"/>
                <w:color w:val="auto"/>
              </w:rPr>
              <w:t>7</w:t>
            </w:r>
          </w:p>
        </w:tc>
        <w:tc>
          <w:tcPr>
            <w:tcW w:w="0" w:type="dxa"/>
            <w:vAlign w:val="bottom"/>
          </w:tcPr>
          <w:p>
            <w:pPr>
              <w:spacing w:after="0"/>
              <w:rPr>
                <w:sz w:val="1"/>
                <w:szCs w:val="1"/>
                <w:color w:val="auto"/>
              </w:rPr>
            </w:pPr>
          </w:p>
        </w:tc>
      </w:tr>
      <w:tr>
        <w:trPr>
          <w:trHeight w:val="466"/>
        </w:trPr>
        <w:tc>
          <w:tcPr>
            <w:tcW w:w="1400" w:type="dxa"/>
            <w:vAlign w:val="bottom"/>
          </w:tcPr>
          <w:p>
            <w:pPr>
              <w:spacing w:after="0"/>
              <w:rPr>
                <w:sz w:val="20"/>
                <w:szCs w:val="20"/>
                <w:color w:val="auto"/>
              </w:rPr>
            </w:pPr>
            <w:r>
              <w:rPr>
                <w:rFonts w:ascii="Arial" w:cs="Arial" w:eastAsia="Arial" w:hAnsi="Arial"/>
                <w:sz w:val="22"/>
                <w:szCs w:val="22"/>
                <w:color w:val="auto"/>
              </w:rPr>
              <w:t>Item 2.</w:t>
            </w:r>
          </w:p>
        </w:tc>
        <w:tc>
          <w:tcPr>
            <w:tcW w:w="5840" w:type="dxa"/>
            <w:vAlign w:val="bottom"/>
            <w:gridSpan w:val="14"/>
          </w:tcPr>
          <w:p>
            <w:pPr>
              <w:spacing w:after="0"/>
              <w:rPr>
                <w:rFonts w:ascii="Arial" w:cs="Arial" w:eastAsia="Arial" w:hAnsi="Arial"/>
                <w:sz w:val="22"/>
                <w:szCs w:val="22"/>
                <w:color w:val="0000EE"/>
              </w:rPr>
            </w:pPr>
            <w:hyperlink w:anchor="page13">
              <w:r>
                <w:rPr>
                  <w:rFonts w:ascii="Arial" w:cs="Arial" w:eastAsia="Arial" w:hAnsi="Arial"/>
                  <w:sz w:val="22"/>
                  <w:szCs w:val="22"/>
                  <w:color w:val="0000EE"/>
                </w:rPr>
                <w:t>Management's Discussion and Analysis</w:t>
              </w:r>
            </w:hyperlink>
          </w:p>
        </w:tc>
        <w:tc>
          <w:tcPr>
            <w:tcW w:w="440" w:type="dxa"/>
            <w:vAlign w:val="bottom"/>
            <w:vMerge w:val="restart"/>
          </w:tcPr>
          <w:p>
            <w:pPr>
              <w:jc w:val="right"/>
              <w:spacing w:after="0"/>
              <w:rPr>
                <w:sz w:val="20"/>
                <w:szCs w:val="20"/>
                <w:color w:val="auto"/>
              </w:rPr>
            </w:pPr>
            <w:r>
              <w:rPr>
                <w:rFonts w:ascii="Arial" w:cs="Arial" w:eastAsia="Arial" w:hAnsi="Arial"/>
                <w:sz w:val="22"/>
                <w:szCs w:val="22"/>
                <w:color w:val="auto"/>
              </w:rPr>
              <w:t>16</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400" w:type="dxa"/>
            <w:vAlign w:val="bottom"/>
          </w:tcPr>
          <w:p>
            <w:pPr>
              <w:spacing w:after="0"/>
              <w:rPr>
                <w:sz w:val="19"/>
                <w:szCs w:val="19"/>
                <w:color w:val="auto"/>
              </w:rPr>
            </w:pPr>
          </w:p>
        </w:tc>
        <w:tc>
          <w:tcPr>
            <w:tcW w:w="5840" w:type="dxa"/>
            <w:vAlign w:val="bottom"/>
            <w:gridSpan w:val="14"/>
          </w:tcPr>
          <w:p>
            <w:pPr>
              <w:spacing w:after="0" w:line="223" w:lineRule="exact"/>
              <w:rPr>
                <w:rFonts w:ascii="Arial" w:cs="Arial" w:eastAsia="Arial" w:hAnsi="Arial"/>
                <w:sz w:val="22"/>
                <w:szCs w:val="22"/>
                <w:color w:val="0000EE"/>
              </w:rPr>
            </w:pPr>
            <w:hyperlink w:anchor="page13">
              <w:r>
                <w:rPr>
                  <w:rFonts w:ascii="Arial" w:cs="Arial" w:eastAsia="Arial" w:hAnsi="Arial"/>
                  <w:sz w:val="22"/>
                  <w:szCs w:val="22"/>
                  <w:color w:val="0000EE"/>
                </w:rPr>
                <w:t>of Results of Operations and Financial Condition</w:t>
              </w:r>
            </w:hyperlink>
          </w:p>
        </w:tc>
        <w:tc>
          <w:tcPr>
            <w:tcW w:w="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1520" w:type="dxa"/>
            <w:vAlign w:val="bottom"/>
            <w:gridSpan w:val="6"/>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400" w:type="dxa"/>
            <w:vAlign w:val="bottom"/>
          </w:tcPr>
          <w:p>
            <w:pPr>
              <w:spacing w:after="0"/>
              <w:rPr>
                <w:sz w:val="20"/>
                <w:szCs w:val="20"/>
                <w:color w:val="auto"/>
              </w:rPr>
            </w:pPr>
            <w:r>
              <w:rPr>
                <w:rFonts w:ascii="Arial" w:cs="Arial" w:eastAsia="Arial" w:hAnsi="Arial"/>
                <w:sz w:val="22"/>
                <w:szCs w:val="22"/>
                <w:color w:val="auto"/>
              </w:rPr>
              <w:t>Item 3.</w:t>
            </w:r>
          </w:p>
        </w:tc>
        <w:tc>
          <w:tcPr>
            <w:tcW w:w="5840" w:type="dxa"/>
            <w:vAlign w:val="bottom"/>
            <w:gridSpan w:val="14"/>
          </w:tcPr>
          <w:p>
            <w:pPr>
              <w:spacing w:after="0"/>
              <w:rPr>
                <w:rFonts w:ascii="Arial" w:cs="Arial" w:eastAsia="Arial" w:hAnsi="Arial"/>
                <w:sz w:val="22"/>
                <w:szCs w:val="22"/>
                <w:color w:val="0000EE"/>
              </w:rPr>
            </w:pPr>
            <w:hyperlink w:anchor="page22">
              <w:r>
                <w:rPr>
                  <w:rFonts w:ascii="Arial" w:cs="Arial" w:eastAsia="Arial" w:hAnsi="Arial"/>
                  <w:sz w:val="22"/>
                  <w:szCs w:val="22"/>
                  <w:color w:val="0000EE"/>
                </w:rPr>
                <w:t>Quantitative and Qualitative Disclosures about Market Risk</w:t>
              </w:r>
            </w:hyperlink>
          </w:p>
        </w:tc>
        <w:tc>
          <w:tcPr>
            <w:tcW w:w="440" w:type="dxa"/>
            <w:vAlign w:val="bottom"/>
          </w:tcPr>
          <w:p>
            <w:pPr>
              <w:jc w:val="right"/>
              <w:spacing w:after="0"/>
              <w:rPr>
                <w:sz w:val="20"/>
                <w:szCs w:val="20"/>
                <w:color w:val="auto"/>
              </w:rPr>
            </w:pPr>
            <w:r>
              <w:rPr>
                <w:rFonts w:ascii="Arial" w:cs="Arial" w:eastAsia="Arial" w:hAnsi="Arial"/>
                <w:sz w:val="22"/>
                <w:szCs w:val="22"/>
                <w:color w:val="auto"/>
              </w:rPr>
              <w:t>25</w:t>
            </w:r>
          </w:p>
        </w:tc>
        <w:tc>
          <w:tcPr>
            <w:tcW w:w="0" w:type="dxa"/>
            <w:vAlign w:val="bottom"/>
          </w:tcPr>
          <w:p>
            <w:pPr>
              <w:spacing w:after="0"/>
              <w:rPr>
                <w:sz w:val="1"/>
                <w:szCs w:val="1"/>
                <w:color w:val="auto"/>
              </w:rPr>
            </w:pPr>
          </w:p>
        </w:tc>
      </w:tr>
      <w:tr>
        <w:trPr>
          <w:trHeight w:val="466"/>
        </w:trPr>
        <w:tc>
          <w:tcPr>
            <w:tcW w:w="1400" w:type="dxa"/>
            <w:vAlign w:val="bottom"/>
          </w:tcPr>
          <w:p>
            <w:pPr>
              <w:spacing w:after="0"/>
              <w:rPr>
                <w:sz w:val="20"/>
                <w:szCs w:val="20"/>
                <w:color w:val="auto"/>
              </w:rPr>
            </w:pPr>
            <w:r>
              <w:rPr>
                <w:rFonts w:ascii="Arial" w:cs="Arial" w:eastAsia="Arial" w:hAnsi="Arial"/>
                <w:sz w:val="22"/>
                <w:szCs w:val="22"/>
                <w:color w:val="auto"/>
              </w:rPr>
              <w:t>Item 4.</w:t>
            </w:r>
          </w:p>
        </w:tc>
        <w:tc>
          <w:tcPr>
            <w:tcW w:w="5160" w:type="dxa"/>
            <w:vAlign w:val="bottom"/>
            <w:tcBorders>
              <w:top w:val="single" w:sz="8" w:color="0000EE"/>
            </w:tcBorders>
            <w:gridSpan w:val="13"/>
          </w:tcPr>
          <w:p>
            <w:pPr>
              <w:spacing w:after="0"/>
              <w:rPr>
                <w:rFonts w:ascii="Arial" w:cs="Arial" w:eastAsia="Arial" w:hAnsi="Arial"/>
                <w:sz w:val="22"/>
                <w:szCs w:val="22"/>
                <w:color w:val="0000EE"/>
              </w:rPr>
            </w:pPr>
            <w:hyperlink w:anchor="page23">
              <w:r>
                <w:rPr>
                  <w:rFonts w:ascii="Arial" w:cs="Arial" w:eastAsia="Arial" w:hAnsi="Arial"/>
                  <w:sz w:val="22"/>
                  <w:szCs w:val="22"/>
                  <w:color w:val="0000EE"/>
                </w:rPr>
                <w:t>Controls and Procedures</w:t>
              </w:r>
            </w:hyperlink>
          </w:p>
        </w:tc>
        <w:tc>
          <w:tcPr>
            <w:tcW w:w="68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22"/>
                <w:szCs w:val="22"/>
                <w:color w:val="auto"/>
              </w:rPr>
              <w:t>26</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1520" w:type="dxa"/>
            <w:vAlign w:val="bottom"/>
            <w:gridSpan w:val="6"/>
          </w:tcPr>
          <w:p>
            <w:pPr>
              <w:spacing w:after="0" w:line="20" w:lineRule="exact"/>
              <w:rPr>
                <w:sz w:val="1"/>
                <w:szCs w:val="1"/>
                <w:color w:val="auto"/>
              </w:rPr>
            </w:pPr>
          </w:p>
        </w:tc>
        <w:tc>
          <w:tcPr>
            <w:tcW w:w="2200" w:type="dxa"/>
            <w:vAlign w:val="bottom"/>
            <w:gridSpan w:val="7"/>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0"/>
        </w:trPr>
        <w:tc>
          <w:tcPr>
            <w:tcW w:w="1400" w:type="dxa"/>
            <w:vAlign w:val="bottom"/>
          </w:tcPr>
          <w:p>
            <w:pPr>
              <w:spacing w:after="0"/>
              <w:rPr>
                <w:sz w:val="20"/>
                <w:szCs w:val="20"/>
                <w:color w:val="auto"/>
              </w:rPr>
            </w:pPr>
            <w:r>
              <w:rPr>
                <w:rFonts w:ascii="Arial" w:cs="Arial" w:eastAsia="Arial" w:hAnsi="Arial"/>
                <w:sz w:val="22"/>
                <w:szCs w:val="22"/>
                <w:b w:val="1"/>
                <w:bCs w:val="1"/>
                <w:color w:val="auto"/>
              </w:rPr>
              <w:t>PART II.</w:t>
            </w:r>
          </w:p>
        </w:tc>
        <w:tc>
          <w:tcPr>
            <w:tcW w:w="5840" w:type="dxa"/>
            <w:vAlign w:val="bottom"/>
            <w:gridSpan w:val="14"/>
          </w:tcPr>
          <w:p>
            <w:pPr>
              <w:spacing w:after="0"/>
              <w:rPr>
                <w:sz w:val="20"/>
                <w:szCs w:val="20"/>
                <w:color w:val="auto"/>
              </w:rPr>
            </w:pPr>
            <w:r>
              <w:rPr>
                <w:rFonts w:ascii="Arial" w:cs="Arial" w:eastAsia="Arial" w:hAnsi="Arial"/>
                <w:sz w:val="22"/>
                <w:szCs w:val="22"/>
                <w:b w:val="1"/>
                <w:bCs w:val="1"/>
                <w:color w:val="auto"/>
              </w:rPr>
              <w:t>OTHER INFORMATION</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1400" w:type="dxa"/>
            <w:vAlign w:val="bottom"/>
          </w:tcPr>
          <w:p>
            <w:pPr>
              <w:spacing w:after="0"/>
              <w:rPr>
                <w:sz w:val="20"/>
                <w:szCs w:val="20"/>
                <w:color w:val="auto"/>
              </w:rPr>
            </w:pPr>
            <w:r>
              <w:rPr>
                <w:rFonts w:ascii="Arial" w:cs="Arial" w:eastAsia="Arial" w:hAnsi="Arial"/>
                <w:sz w:val="22"/>
                <w:szCs w:val="22"/>
                <w:color w:val="auto"/>
              </w:rPr>
              <w:t>Item 1A.</w:t>
            </w:r>
          </w:p>
        </w:tc>
        <w:tc>
          <w:tcPr>
            <w:tcW w:w="5840" w:type="dxa"/>
            <w:vAlign w:val="bottom"/>
            <w:gridSpan w:val="14"/>
          </w:tcPr>
          <w:p>
            <w:pPr>
              <w:spacing w:after="0"/>
              <w:rPr>
                <w:rFonts w:ascii="Arial" w:cs="Arial" w:eastAsia="Arial" w:hAnsi="Arial"/>
                <w:sz w:val="22"/>
                <w:szCs w:val="22"/>
                <w:color w:val="0000EE"/>
              </w:rPr>
            </w:pPr>
            <w:hyperlink w:anchor="page23">
              <w:r>
                <w:rPr>
                  <w:rFonts w:ascii="Arial" w:cs="Arial" w:eastAsia="Arial" w:hAnsi="Arial"/>
                  <w:sz w:val="22"/>
                  <w:szCs w:val="22"/>
                  <w:color w:val="0000EE"/>
                </w:rPr>
                <w:t>Risks Relating to the Company's Business</w:t>
              </w:r>
            </w:hyperlink>
          </w:p>
        </w:tc>
        <w:tc>
          <w:tcPr>
            <w:tcW w:w="440" w:type="dxa"/>
            <w:vAlign w:val="bottom"/>
          </w:tcPr>
          <w:p>
            <w:pPr>
              <w:jc w:val="right"/>
              <w:spacing w:after="0"/>
              <w:rPr>
                <w:sz w:val="20"/>
                <w:szCs w:val="20"/>
                <w:color w:val="auto"/>
              </w:rPr>
            </w:pPr>
            <w:r>
              <w:rPr>
                <w:rFonts w:ascii="Arial" w:cs="Arial" w:eastAsia="Arial" w:hAnsi="Arial"/>
                <w:sz w:val="22"/>
                <w:szCs w:val="22"/>
                <w:color w:val="auto"/>
              </w:rPr>
              <w:t>27</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40" w:top="118" w:right="279" w:bottom="0" w:gutter="0" w:footer="0" w:header="0"/>
        </w:sectPr>
      </w:pPr>
    </w:p>
    <w:bookmarkStart w:id="2" w:name="page3"/>
    <w:bookmarkEnd w:id="2"/>
    <w:p>
      <w:pPr>
        <w:ind w:left="1880"/>
        <w:spacing w:after="0"/>
        <w:tabs>
          <w:tab w:leader="none" w:pos="3260" w:val="left"/>
          <w:tab w:leader="none" w:pos="9300" w:val="left"/>
        </w:tabs>
        <w:rPr>
          <w:sz w:val="20"/>
          <w:szCs w:val="20"/>
          <w:color w:val="auto"/>
        </w:rPr>
      </w:pPr>
      <w:r>
        <w:rPr>
          <w:rFonts w:ascii="Arial" w:cs="Arial" w:eastAsia="Arial" w:hAnsi="Arial"/>
          <w:sz w:val="22"/>
          <w:szCs w:val="22"/>
          <w:color w:val="auto"/>
        </w:rPr>
        <w:t>Item 6.</w:t>
      </w:r>
      <w:r>
        <w:rPr>
          <w:sz w:val="20"/>
          <w:szCs w:val="20"/>
          <w:color w:val="auto"/>
        </w:rPr>
        <w:tab/>
      </w:r>
      <w:r>
        <w:rPr>
          <w:rFonts w:ascii="Arial" w:cs="Arial" w:eastAsia="Arial" w:hAnsi="Arial"/>
          <w:sz w:val="22"/>
          <w:szCs w:val="22"/>
          <w:u w:val="single" w:color="auto"/>
          <w:color w:val="0000EE"/>
        </w:rPr>
        <w:t>Exhibits</w:t>
      </w:r>
      <w:r>
        <w:rPr>
          <w:sz w:val="20"/>
          <w:szCs w:val="20"/>
          <w:color w:val="auto"/>
        </w:rPr>
        <w:tab/>
      </w:r>
      <w:r>
        <w:rPr>
          <w:rFonts w:ascii="Arial" w:cs="Arial" w:eastAsia="Arial" w:hAnsi="Arial"/>
          <w:sz w:val="19"/>
          <w:szCs w:val="19"/>
          <w:color w:val="auto"/>
        </w:rPr>
        <w:t>27</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b w:val="1"/>
          <w:bCs w:val="1"/>
          <w:color w:val="auto"/>
        </w:rPr>
        <w:t>PART I.</w:t>
        <w:tab/>
        <w:t>FINANCIAL INFORMATION</w:t>
      </w:r>
    </w:p>
    <w:p>
      <w:pPr>
        <w:spacing w:after="0" w:line="206"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b w:val="1"/>
          <w:bCs w:val="1"/>
          <w:color w:val="auto"/>
        </w:rPr>
        <w:t>Item 1.</w:t>
      </w:r>
      <w:r>
        <w:rPr>
          <w:sz w:val="20"/>
          <w:szCs w:val="20"/>
          <w:color w:val="auto"/>
        </w:rPr>
        <w:tab/>
      </w:r>
      <w:r>
        <w:rPr>
          <w:rFonts w:ascii="Arial" w:cs="Arial" w:eastAsia="Arial" w:hAnsi="Arial"/>
          <w:sz w:val="21"/>
          <w:szCs w:val="21"/>
          <w:b w:val="1"/>
          <w:bCs w:val="1"/>
          <w:color w:val="auto"/>
        </w:rPr>
        <w:t>CONDENSED CONSOLIDATED FINANCIAL STATEMENTS</w:t>
      </w:r>
    </w:p>
    <w:p>
      <w:pPr>
        <w:spacing w:after="0" w:line="206" w:lineRule="exact"/>
        <w:rPr>
          <w:sz w:val="20"/>
          <w:szCs w:val="20"/>
          <w:color w:val="auto"/>
        </w:rPr>
      </w:pPr>
    </w:p>
    <w:p>
      <w:pPr>
        <w:ind w:left="3660"/>
        <w:spacing w:after="0"/>
        <w:rPr>
          <w:sz w:val="20"/>
          <w:szCs w:val="20"/>
          <w:color w:val="auto"/>
        </w:rPr>
      </w:pPr>
      <w:r>
        <w:rPr>
          <w:rFonts w:ascii="Arial" w:cs="Arial" w:eastAsia="Arial" w:hAnsi="Arial"/>
          <w:sz w:val="22"/>
          <w:szCs w:val="22"/>
          <w:b w:val="1"/>
          <w:bCs w:val="1"/>
          <w:color w:val="auto"/>
        </w:rPr>
        <w:t>PHOTRONICS, INC. AND SUBSIDIARIES</w:t>
      </w:r>
    </w:p>
    <w:p>
      <w:pPr>
        <w:spacing w:after="0" w:line="4" w:lineRule="exact"/>
        <w:rPr>
          <w:sz w:val="20"/>
          <w:szCs w:val="20"/>
          <w:color w:val="auto"/>
        </w:rPr>
      </w:pPr>
    </w:p>
    <w:p>
      <w:pPr>
        <w:ind w:left="3960"/>
        <w:spacing w:after="0"/>
        <w:rPr>
          <w:sz w:val="20"/>
          <w:szCs w:val="20"/>
          <w:color w:val="auto"/>
        </w:rPr>
      </w:pPr>
      <w:r>
        <w:rPr>
          <w:rFonts w:ascii="Arial" w:cs="Arial" w:eastAsia="Arial" w:hAnsi="Arial"/>
          <w:sz w:val="22"/>
          <w:szCs w:val="22"/>
          <w:color w:val="auto"/>
        </w:rPr>
        <w:t>Condensed Consolidated Balance Sheets</w:t>
      </w:r>
    </w:p>
    <w:p>
      <w:pPr>
        <w:ind w:left="3940"/>
        <w:spacing w:after="0" w:line="230" w:lineRule="auto"/>
        <w:rPr>
          <w:sz w:val="20"/>
          <w:szCs w:val="20"/>
          <w:color w:val="auto"/>
        </w:rPr>
      </w:pPr>
      <w:r>
        <w:rPr>
          <w:rFonts w:ascii="Arial" w:cs="Arial" w:eastAsia="Arial" w:hAnsi="Arial"/>
          <w:sz w:val="22"/>
          <w:szCs w:val="22"/>
          <w:i w:val="1"/>
          <w:iCs w:val="1"/>
          <w:color w:val="auto"/>
        </w:rPr>
        <w:t>(in thousands, except per share amounts)</w:t>
      </w:r>
    </w:p>
    <w:p>
      <w:pPr>
        <w:spacing w:after="0" w:line="1" w:lineRule="exact"/>
        <w:rPr>
          <w:sz w:val="20"/>
          <w:szCs w:val="20"/>
          <w:color w:val="auto"/>
        </w:rPr>
      </w:pPr>
    </w:p>
    <w:p>
      <w:pPr>
        <w:ind w:left="5200"/>
        <w:spacing w:after="0"/>
        <w:rPr>
          <w:sz w:val="20"/>
          <w:szCs w:val="20"/>
          <w:color w:val="auto"/>
        </w:rPr>
      </w:pPr>
      <w:r>
        <w:rPr>
          <w:rFonts w:ascii="Arial" w:cs="Arial" w:eastAsia="Arial" w:hAnsi="Arial"/>
          <w:sz w:val="22"/>
          <w:szCs w:val="22"/>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520" w:type="dxa"/>
        <w:tblCellMar>
          <w:top w:w="0" w:type="dxa"/>
          <w:left w:w="0" w:type="dxa"/>
          <w:bottom w:w="0" w:type="dxa"/>
          <w:right w:w="0" w:type="dxa"/>
        </w:tblCellMar>
      </w:tblPr>
      <w:tr>
        <w:trPr>
          <w:trHeight w:val="253"/>
        </w:trPr>
        <w:tc>
          <w:tcPr>
            <w:tcW w:w="5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22"/>
                <w:szCs w:val="22"/>
                <w:b w:val="1"/>
                <w:bCs w:val="1"/>
                <w:color w:val="auto"/>
                <w:w w:val="91"/>
              </w:rPr>
              <w:t>July 27,</w:t>
            </w:r>
          </w:p>
        </w:tc>
        <w:tc>
          <w:tcPr>
            <w:tcW w:w="1500" w:type="dxa"/>
            <w:vAlign w:val="bottom"/>
            <w:gridSpan w:val="3"/>
          </w:tcPr>
          <w:p>
            <w:pPr>
              <w:jc w:val="right"/>
              <w:spacing w:after="0"/>
              <w:rPr>
                <w:sz w:val="20"/>
                <w:szCs w:val="20"/>
                <w:color w:val="auto"/>
              </w:rPr>
            </w:pPr>
            <w:r>
              <w:rPr>
                <w:rFonts w:ascii="Arial" w:cs="Arial" w:eastAsia="Arial" w:hAnsi="Arial"/>
                <w:sz w:val="22"/>
                <w:szCs w:val="22"/>
                <w:b w:val="1"/>
                <w:bCs w:val="1"/>
                <w:color w:val="auto"/>
              </w:rPr>
              <w:t>October 28,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5880" w:type="dxa"/>
            <w:vAlign w:val="bottom"/>
          </w:tcPr>
          <w:p>
            <w:pPr>
              <w:spacing w:after="0"/>
              <w:rPr>
                <w:sz w:val="24"/>
                <w:szCs w:val="24"/>
                <w:color w:val="auto"/>
              </w:rPr>
            </w:pPr>
          </w:p>
        </w:tc>
        <w:tc>
          <w:tcPr>
            <w:tcW w:w="1040" w:type="dxa"/>
            <w:vAlign w:val="bottom"/>
            <w:gridSpan w:val="3"/>
          </w:tcPr>
          <w:p>
            <w:pPr>
              <w:jc w:val="right"/>
              <w:ind w:right="152"/>
              <w:spacing w:after="0"/>
              <w:rPr>
                <w:sz w:val="20"/>
                <w:szCs w:val="20"/>
                <w:color w:val="auto"/>
              </w:rPr>
            </w:pPr>
            <w:r>
              <w:rPr>
                <w:rFonts w:ascii="Arial" w:cs="Arial" w:eastAsia="Arial" w:hAnsi="Arial"/>
                <w:sz w:val="22"/>
                <w:szCs w:val="22"/>
                <w:b w:val="1"/>
                <w:bCs w:val="1"/>
                <w:color w:val="auto"/>
              </w:rPr>
              <w:t>2008</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ind w:right="232"/>
              <w:spacing w:after="0"/>
              <w:rPr>
                <w:sz w:val="20"/>
                <w:szCs w:val="20"/>
                <w:color w:val="auto"/>
              </w:rPr>
            </w:pPr>
            <w:r>
              <w:rPr>
                <w:rFonts w:ascii="Arial" w:cs="Arial" w:eastAsia="Arial" w:hAnsi="Arial"/>
                <w:sz w:val="22"/>
                <w:szCs w:val="22"/>
                <w:b w:val="1"/>
                <w:bCs w:val="1"/>
                <w:color w:val="auto"/>
                <w:w w:val="98"/>
              </w:rPr>
              <w:t>2007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5880" w:type="dxa"/>
            <w:vAlign w:val="bottom"/>
            <w:vMerge w:val="restart"/>
          </w:tcPr>
          <w:p>
            <w:pPr>
              <w:spacing w:after="0"/>
              <w:rPr>
                <w:sz w:val="20"/>
                <w:szCs w:val="20"/>
                <w:color w:val="auto"/>
              </w:rPr>
            </w:pPr>
            <w:r>
              <w:rPr>
                <w:rFonts w:ascii="Arial" w:cs="Arial" w:eastAsia="Arial" w:hAnsi="Arial"/>
                <w:sz w:val="22"/>
                <w:szCs w:val="22"/>
                <w:b w:val="1"/>
                <w:bCs w:val="1"/>
                <w:color w:val="auto"/>
              </w:rPr>
              <w:t>ASSETS</w:t>
            </w: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8"/>
        </w:trPr>
        <w:tc>
          <w:tcPr>
            <w:tcW w:w="58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5880" w:type="dxa"/>
            <w:vAlign w:val="bottom"/>
          </w:tcPr>
          <w:p>
            <w:pPr>
              <w:spacing w:after="0"/>
              <w:rPr>
                <w:sz w:val="20"/>
                <w:szCs w:val="20"/>
                <w:color w:val="auto"/>
              </w:rPr>
            </w:pPr>
            <w:r>
              <w:rPr>
                <w:rFonts w:ascii="Arial" w:cs="Arial" w:eastAsia="Arial" w:hAnsi="Arial"/>
                <w:sz w:val="22"/>
                <w:szCs w:val="22"/>
                <w:color w:val="auto"/>
              </w:rPr>
              <w:t>Current assets:</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880" w:type="dxa"/>
            <w:vAlign w:val="bottom"/>
          </w:tcPr>
          <w:p>
            <w:pPr>
              <w:ind w:left="100"/>
              <w:spacing w:after="0" w:line="243" w:lineRule="exact"/>
              <w:rPr>
                <w:sz w:val="20"/>
                <w:szCs w:val="20"/>
                <w:color w:val="auto"/>
              </w:rPr>
            </w:pPr>
            <w:r>
              <w:rPr>
                <w:rFonts w:ascii="Arial" w:cs="Arial" w:eastAsia="Arial" w:hAnsi="Arial"/>
                <w:sz w:val="22"/>
                <w:szCs w:val="22"/>
                <w:color w:val="auto"/>
              </w:rPr>
              <w:t>Cash and cash equivalents</w:t>
            </w:r>
          </w:p>
        </w:tc>
        <w:tc>
          <w:tcPr>
            <w:tcW w:w="104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$ 77,170</w:t>
            </w:r>
          </w:p>
        </w:tc>
        <w:tc>
          <w:tcPr>
            <w:tcW w:w="66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w:t>
            </w:r>
          </w:p>
        </w:tc>
        <w:tc>
          <w:tcPr>
            <w:tcW w:w="840" w:type="dxa"/>
            <w:vAlign w:val="bottom"/>
          </w:tcPr>
          <w:p>
            <w:pPr>
              <w:jc w:val="right"/>
              <w:spacing w:after="0" w:line="243" w:lineRule="exact"/>
              <w:rPr>
                <w:sz w:val="20"/>
                <w:szCs w:val="20"/>
                <w:color w:val="auto"/>
              </w:rPr>
            </w:pPr>
            <w:r>
              <w:rPr>
                <w:rFonts w:ascii="Arial" w:cs="Arial" w:eastAsia="Arial" w:hAnsi="Arial"/>
                <w:sz w:val="22"/>
                <w:szCs w:val="22"/>
                <w:color w:val="auto"/>
                <w:w w:val="93"/>
              </w:rPr>
              <w:t>146,049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80" w:type="dxa"/>
            <w:vAlign w:val="bottom"/>
          </w:tcPr>
          <w:p>
            <w:pPr>
              <w:ind w:left="100"/>
              <w:spacing w:after="0" w:line="243" w:lineRule="exact"/>
              <w:rPr>
                <w:sz w:val="20"/>
                <w:szCs w:val="20"/>
                <w:color w:val="auto"/>
              </w:rPr>
            </w:pPr>
            <w:r>
              <w:rPr>
                <w:rFonts w:ascii="Arial" w:cs="Arial" w:eastAsia="Arial" w:hAnsi="Arial"/>
                <w:sz w:val="22"/>
                <w:szCs w:val="22"/>
                <w:color w:val="auto"/>
              </w:rPr>
              <w:t>Short-term investments</w:t>
            </w:r>
          </w:p>
        </w:tc>
        <w:tc>
          <w:tcPr>
            <w:tcW w:w="104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2,458</w:t>
            </w: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line="243" w:lineRule="exact"/>
              <w:rPr>
                <w:sz w:val="20"/>
                <w:szCs w:val="20"/>
                <w:color w:val="auto"/>
              </w:rPr>
            </w:pPr>
            <w:r>
              <w:rPr>
                <w:rFonts w:ascii="Arial" w:cs="Arial" w:eastAsia="Arial" w:hAnsi="Arial"/>
                <w:sz w:val="22"/>
                <w:szCs w:val="22"/>
                <w:color w:val="auto"/>
              </w:rPr>
              <w:t>5,657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80" w:type="dxa"/>
            <w:vAlign w:val="bottom"/>
          </w:tcPr>
          <w:p>
            <w:pPr>
              <w:ind w:left="100"/>
              <w:spacing w:after="0" w:line="243" w:lineRule="exact"/>
              <w:rPr>
                <w:sz w:val="20"/>
                <w:szCs w:val="20"/>
                <w:color w:val="auto"/>
              </w:rPr>
            </w:pPr>
            <w:r>
              <w:rPr>
                <w:rFonts w:ascii="Arial" w:cs="Arial" w:eastAsia="Arial" w:hAnsi="Arial"/>
                <w:sz w:val="22"/>
                <w:szCs w:val="22"/>
                <w:color w:val="auto"/>
              </w:rPr>
              <w:t>Accounts receivable, net of allowance of $2,865 in 2008</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80" w:type="dxa"/>
            <w:vAlign w:val="bottom"/>
          </w:tcPr>
          <w:p>
            <w:pPr>
              <w:ind w:left="220"/>
              <w:spacing w:after="0" w:line="243" w:lineRule="exact"/>
              <w:rPr>
                <w:sz w:val="20"/>
                <w:szCs w:val="20"/>
                <w:color w:val="auto"/>
              </w:rPr>
            </w:pPr>
            <w:r>
              <w:rPr>
                <w:rFonts w:ascii="Arial" w:cs="Arial" w:eastAsia="Arial" w:hAnsi="Arial"/>
                <w:sz w:val="22"/>
                <w:szCs w:val="22"/>
                <w:color w:val="auto"/>
              </w:rPr>
              <w:t>and $3,721 in 2007</w:t>
            </w:r>
          </w:p>
        </w:tc>
        <w:tc>
          <w:tcPr>
            <w:tcW w:w="104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71,595</w:t>
            </w: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line="243" w:lineRule="exact"/>
              <w:rPr>
                <w:sz w:val="20"/>
                <w:szCs w:val="20"/>
                <w:color w:val="auto"/>
              </w:rPr>
            </w:pPr>
            <w:r>
              <w:rPr>
                <w:rFonts w:ascii="Arial" w:cs="Arial" w:eastAsia="Arial" w:hAnsi="Arial"/>
                <w:sz w:val="22"/>
                <w:szCs w:val="22"/>
                <w:color w:val="auto"/>
              </w:rPr>
              <w:t>68,248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80" w:type="dxa"/>
            <w:vAlign w:val="bottom"/>
          </w:tcPr>
          <w:p>
            <w:pPr>
              <w:ind w:left="100"/>
              <w:spacing w:after="0" w:line="243" w:lineRule="exact"/>
              <w:rPr>
                <w:sz w:val="20"/>
                <w:szCs w:val="20"/>
                <w:color w:val="auto"/>
              </w:rPr>
            </w:pPr>
            <w:r>
              <w:rPr>
                <w:rFonts w:ascii="Arial" w:cs="Arial" w:eastAsia="Arial" w:hAnsi="Arial"/>
                <w:sz w:val="22"/>
                <w:szCs w:val="22"/>
                <w:color w:val="auto"/>
              </w:rPr>
              <w:t>Inventories</w:t>
            </w:r>
          </w:p>
        </w:tc>
        <w:tc>
          <w:tcPr>
            <w:tcW w:w="104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18,201</w:t>
            </w: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line="243" w:lineRule="exact"/>
              <w:rPr>
                <w:sz w:val="20"/>
                <w:szCs w:val="20"/>
                <w:color w:val="auto"/>
              </w:rPr>
            </w:pPr>
            <w:r>
              <w:rPr>
                <w:rFonts w:ascii="Arial" w:cs="Arial" w:eastAsia="Arial" w:hAnsi="Arial"/>
                <w:sz w:val="22"/>
                <w:szCs w:val="22"/>
                <w:color w:val="auto"/>
              </w:rPr>
              <w:t>17,716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80" w:type="dxa"/>
            <w:vAlign w:val="bottom"/>
          </w:tcPr>
          <w:p>
            <w:pPr>
              <w:ind w:left="100"/>
              <w:spacing w:after="0" w:line="243" w:lineRule="exact"/>
              <w:rPr>
                <w:sz w:val="20"/>
                <w:szCs w:val="20"/>
                <w:color w:val="auto"/>
              </w:rPr>
            </w:pPr>
            <w:r>
              <w:rPr>
                <w:rFonts w:ascii="Arial" w:cs="Arial" w:eastAsia="Arial" w:hAnsi="Arial"/>
                <w:sz w:val="22"/>
                <w:szCs w:val="22"/>
                <w:color w:val="auto"/>
              </w:rPr>
              <w:t>Deferred income taxes</w:t>
            </w:r>
          </w:p>
        </w:tc>
        <w:tc>
          <w:tcPr>
            <w:tcW w:w="104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4,021</w:t>
            </w: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line="243" w:lineRule="exact"/>
              <w:rPr>
                <w:sz w:val="20"/>
                <w:szCs w:val="20"/>
                <w:color w:val="auto"/>
              </w:rPr>
            </w:pPr>
            <w:r>
              <w:rPr>
                <w:rFonts w:ascii="Arial" w:cs="Arial" w:eastAsia="Arial" w:hAnsi="Arial"/>
                <w:sz w:val="22"/>
                <w:szCs w:val="22"/>
                <w:color w:val="auto"/>
              </w:rPr>
              <w:t>3,071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5880" w:type="dxa"/>
            <w:vAlign w:val="bottom"/>
          </w:tcPr>
          <w:p>
            <w:pPr>
              <w:ind w:left="100"/>
              <w:spacing w:after="0"/>
              <w:rPr>
                <w:sz w:val="20"/>
                <w:szCs w:val="20"/>
                <w:color w:val="auto"/>
              </w:rPr>
            </w:pPr>
            <w:r>
              <w:rPr>
                <w:rFonts w:ascii="Arial" w:cs="Arial" w:eastAsia="Arial" w:hAnsi="Arial"/>
                <w:sz w:val="22"/>
                <w:szCs w:val="22"/>
                <w:color w:val="auto"/>
              </w:rPr>
              <w:t>Other current assets</w:t>
            </w:r>
          </w:p>
        </w:tc>
        <w:tc>
          <w:tcPr>
            <w:tcW w:w="1040" w:type="dxa"/>
            <w:vAlign w:val="bottom"/>
            <w:gridSpan w:val="3"/>
          </w:tcPr>
          <w:p>
            <w:pPr>
              <w:jc w:val="right"/>
              <w:spacing w:after="0"/>
              <w:rPr>
                <w:sz w:val="20"/>
                <w:szCs w:val="20"/>
                <w:color w:val="auto"/>
              </w:rPr>
            </w:pPr>
            <w:r>
              <w:rPr>
                <w:rFonts w:ascii="Arial" w:cs="Arial" w:eastAsia="Arial" w:hAnsi="Arial"/>
                <w:sz w:val="22"/>
                <w:szCs w:val="22"/>
                <w:color w:val="auto"/>
              </w:rPr>
              <w:t>10,265</w:t>
            </w:r>
          </w:p>
        </w:tc>
        <w:tc>
          <w:tcPr>
            <w:tcW w:w="4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2"/>
                <w:szCs w:val="22"/>
                <w:color w:val="auto"/>
              </w:rPr>
              <w:t>6,244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5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Borders>
              <w:bottom w:val="single" w:sz="8" w:color="336699"/>
            </w:tcBorders>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Borders>
              <w:bottom w:val="single" w:sz="8" w:color="336699"/>
            </w:tcBorders>
          </w:tcPr>
          <w:p>
            <w:pPr>
              <w:spacing w:after="0"/>
              <w:rPr>
                <w:sz w:val="8"/>
                <w:szCs w:val="8"/>
                <w:color w:val="auto"/>
              </w:rPr>
            </w:pPr>
          </w:p>
        </w:tc>
        <w:tc>
          <w:tcPr>
            <w:tcW w:w="84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8"/>
        </w:trPr>
        <w:tc>
          <w:tcPr>
            <w:tcW w:w="5880" w:type="dxa"/>
            <w:vAlign w:val="bottom"/>
          </w:tcPr>
          <w:p>
            <w:pPr>
              <w:ind w:left="100"/>
              <w:spacing w:after="0"/>
              <w:rPr>
                <w:sz w:val="20"/>
                <w:szCs w:val="20"/>
                <w:color w:val="auto"/>
              </w:rPr>
            </w:pPr>
            <w:r>
              <w:rPr>
                <w:rFonts w:ascii="Arial" w:cs="Arial" w:eastAsia="Arial" w:hAnsi="Arial"/>
                <w:sz w:val="22"/>
                <w:szCs w:val="22"/>
                <w:color w:val="auto"/>
              </w:rPr>
              <w:t>Total current assets</w:t>
            </w:r>
          </w:p>
        </w:tc>
        <w:tc>
          <w:tcPr>
            <w:tcW w:w="1040" w:type="dxa"/>
            <w:vAlign w:val="bottom"/>
            <w:gridSpan w:val="3"/>
          </w:tcPr>
          <w:p>
            <w:pPr>
              <w:jc w:val="right"/>
              <w:spacing w:after="0"/>
              <w:rPr>
                <w:sz w:val="20"/>
                <w:szCs w:val="20"/>
                <w:color w:val="auto"/>
              </w:rPr>
            </w:pPr>
            <w:r>
              <w:rPr>
                <w:rFonts w:ascii="Arial" w:cs="Arial" w:eastAsia="Arial" w:hAnsi="Arial"/>
                <w:sz w:val="22"/>
                <w:szCs w:val="22"/>
                <w:color w:val="auto"/>
              </w:rPr>
              <w:t>183,710</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2"/>
                <w:szCs w:val="22"/>
                <w:color w:val="auto"/>
                <w:w w:val="93"/>
              </w:rPr>
              <w:t>246,985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5880" w:type="dxa"/>
            <w:vAlign w:val="bottom"/>
          </w:tcPr>
          <w:p>
            <w:pPr>
              <w:spacing w:after="0"/>
              <w:rPr>
                <w:sz w:val="20"/>
                <w:szCs w:val="20"/>
                <w:color w:val="auto"/>
              </w:rPr>
            </w:pPr>
            <w:r>
              <w:rPr>
                <w:rFonts w:ascii="Arial" w:cs="Arial" w:eastAsia="Arial" w:hAnsi="Arial"/>
                <w:sz w:val="22"/>
                <w:szCs w:val="22"/>
                <w:color w:val="auto"/>
              </w:rPr>
              <w:t>Property, plant and equipment, net</w:t>
            </w:r>
          </w:p>
        </w:tc>
        <w:tc>
          <w:tcPr>
            <w:tcW w:w="1040" w:type="dxa"/>
            <w:vAlign w:val="bottom"/>
            <w:gridSpan w:val="3"/>
          </w:tcPr>
          <w:p>
            <w:pPr>
              <w:jc w:val="right"/>
              <w:spacing w:after="0"/>
              <w:rPr>
                <w:sz w:val="20"/>
                <w:szCs w:val="20"/>
                <w:color w:val="auto"/>
              </w:rPr>
            </w:pPr>
            <w:r>
              <w:rPr>
                <w:rFonts w:ascii="Arial" w:cs="Arial" w:eastAsia="Arial" w:hAnsi="Arial"/>
                <w:sz w:val="22"/>
                <w:szCs w:val="22"/>
                <w:color w:val="auto"/>
              </w:rPr>
              <w:t>500,403</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2"/>
                <w:szCs w:val="22"/>
                <w:color w:val="auto"/>
                <w:w w:val="93"/>
              </w:rPr>
              <w:t>531,578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880" w:type="dxa"/>
            <w:vAlign w:val="bottom"/>
          </w:tcPr>
          <w:p>
            <w:pPr>
              <w:spacing w:after="0" w:line="243" w:lineRule="exact"/>
              <w:rPr>
                <w:sz w:val="20"/>
                <w:szCs w:val="20"/>
                <w:color w:val="auto"/>
              </w:rPr>
            </w:pPr>
            <w:r>
              <w:rPr>
                <w:rFonts w:ascii="Arial" w:cs="Arial" w:eastAsia="Arial" w:hAnsi="Arial"/>
                <w:sz w:val="22"/>
                <w:szCs w:val="22"/>
                <w:color w:val="auto"/>
              </w:rPr>
              <w:t>Goodwill</w:t>
            </w:r>
          </w:p>
        </w:tc>
        <w:tc>
          <w:tcPr>
            <w:tcW w:w="104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w:t>
            </w: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line="243" w:lineRule="exact"/>
              <w:rPr>
                <w:sz w:val="20"/>
                <w:szCs w:val="20"/>
                <w:color w:val="auto"/>
              </w:rPr>
            </w:pPr>
            <w:r>
              <w:rPr>
                <w:rFonts w:ascii="Arial" w:cs="Arial" w:eastAsia="Arial" w:hAnsi="Arial"/>
                <w:sz w:val="22"/>
                <w:szCs w:val="22"/>
                <w:color w:val="auto"/>
                <w:w w:val="93"/>
              </w:rPr>
              <w:t>138,534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80" w:type="dxa"/>
            <w:vAlign w:val="bottom"/>
          </w:tcPr>
          <w:p>
            <w:pPr>
              <w:spacing w:after="0" w:line="243" w:lineRule="exact"/>
              <w:rPr>
                <w:sz w:val="20"/>
                <w:szCs w:val="20"/>
                <w:color w:val="auto"/>
              </w:rPr>
            </w:pPr>
            <w:r>
              <w:rPr>
                <w:rFonts w:ascii="Arial" w:cs="Arial" w:eastAsia="Arial" w:hAnsi="Arial"/>
                <w:sz w:val="22"/>
                <w:szCs w:val="22"/>
                <w:color w:val="auto"/>
              </w:rPr>
              <w:t>Investment in joint venture</w:t>
            </w:r>
          </w:p>
        </w:tc>
        <w:tc>
          <w:tcPr>
            <w:tcW w:w="104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70,595</w:t>
            </w: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line="243" w:lineRule="exact"/>
              <w:rPr>
                <w:sz w:val="20"/>
                <w:szCs w:val="20"/>
                <w:color w:val="auto"/>
              </w:rPr>
            </w:pPr>
            <w:r>
              <w:rPr>
                <w:rFonts w:ascii="Arial" w:cs="Arial" w:eastAsia="Arial" w:hAnsi="Arial"/>
                <w:sz w:val="22"/>
                <w:szCs w:val="22"/>
                <w:color w:val="auto"/>
              </w:rPr>
              <w:t>67,900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80" w:type="dxa"/>
            <w:vAlign w:val="bottom"/>
          </w:tcPr>
          <w:p>
            <w:pPr>
              <w:spacing w:after="0" w:line="243" w:lineRule="exact"/>
              <w:rPr>
                <w:sz w:val="20"/>
                <w:szCs w:val="20"/>
                <w:color w:val="auto"/>
              </w:rPr>
            </w:pPr>
            <w:r>
              <w:rPr>
                <w:rFonts w:ascii="Arial" w:cs="Arial" w:eastAsia="Arial" w:hAnsi="Arial"/>
                <w:sz w:val="22"/>
                <w:szCs w:val="22"/>
                <w:color w:val="auto"/>
              </w:rPr>
              <w:t>Other intangibles, net</w:t>
            </w:r>
          </w:p>
        </w:tc>
        <w:tc>
          <w:tcPr>
            <w:tcW w:w="104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63,937</w:t>
            </w: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line="243" w:lineRule="exact"/>
              <w:rPr>
                <w:sz w:val="20"/>
                <w:szCs w:val="20"/>
                <w:color w:val="auto"/>
              </w:rPr>
            </w:pPr>
            <w:r>
              <w:rPr>
                <w:rFonts w:ascii="Arial" w:cs="Arial" w:eastAsia="Arial" w:hAnsi="Arial"/>
                <w:sz w:val="22"/>
                <w:szCs w:val="22"/>
                <w:color w:val="auto"/>
              </w:rPr>
              <w:t>68,835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5880" w:type="dxa"/>
            <w:vAlign w:val="bottom"/>
          </w:tcPr>
          <w:p>
            <w:pPr>
              <w:spacing w:after="0"/>
              <w:rPr>
                <w:sz w:val="20"/>
                <w:szCs w:val="20"/>
                <w:color w:val="auto"/>
              </w:rPr>
            </w:pPr>
            <w:r>
              <w:rPr>
                <w:rFonts w:ascii="Arial" w:cs="Arial" w:eastAsia="Arial" w:hAnsi="Arial"/>
                <w:sz w:val="22"/>
                <w:szCs w:val="22"/>
                <w:color w:val="auto"/>
              </w:rPr>
              <w:t>Other assets</w:t>
            </w:r>
          </w:p>
        </w:tc>
        <w:tc>
          <w:tcPr>
            <w:tcW w:w="1040" w:type="dxa"/>
            <w:vAlign w:val="bottom"/>
            <w:gridSpan w:val="3"/>
          </w:tcPr>
          <w:p>
            <w:pPr>
              <w:jc w:val="right"/>
              <w:spacing w:after="0"/>
              <w:rPr>
                <w:sz w:val="20"/>
                <w:szCs w:val="20"/>
                <w:color w:val="auto"/>
              </w:rPr>
            </w:pPr>
            <w:r>
              <w:rPr>
                <w:rFonts w:ascii="Arial" w:cs="Arial" w:eastAsia="Arial" w:hAnsi="Arial"/>
                <w:sz w:val="22"/>
                <w:szCs w:val="22"/>
                <w:color w:val="auto"/>
              </w:rPr>
              <w:t>5,680</w:t>
            </w:r>
          </w:p>
        </w:tc>
        <w:tc>
          <w:tcPr>
            <w:tcW w:w="4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2"/>
                <w:szCs w:val="22"/>
                <w:color w:val="auto"/>
              </w:rPr>
              <w:t>5,948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5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Borders>
              <w:bottom w:val="single" w:sz="8" w:color="336699"/>
            </w:tcBorders>
          </w:tcPr>
          <w:p>
            <w:pPr>
              <w:spacing w:after="0"/>
              <w:rPr>
                <w:sz w:val="8"/>
                <w:szCs w:val="8"/>
                <w:color w:val="auto"/>
              </w:rPr>
            </w:pPr>
          </w:p>
        </w:tc>
        <w:tc>
          <w:tcPr>
            <w:tcW w:w="400" w:type="dxa"/>
            <w:vAlign w:val="bottom"/>
          </w:tcPr>
          <w:p>
            <w:pPr>
              <w:spacing w:after="0"/>
              <w:rPr>
                <w:sz w:val="8"/>
                <w:szCs w:val="8"/>
                <w:color w:val="auto"/>
              </w:rPr>
            </w:pPr>
          </w:p>
        </w:tc>
        <w:tc>
          <w:tcPr>
            <w:tcW w:w="1100" w:type="dxa"/>
            <w:vAlign w:val="bottom"/>
            <w:tcBorders>
              <w:bottom w:val="single" w:sz="8" w:color="336699"/>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8"/>
        </w:trPr>
        <w:tc>
          <w:tcPr>
            <w:tcW w:w="5880" w:type="dxa"/>
            <w:vAlign w:val="bottom"/>
          </w:tcPr>
          <w:p>
            <w:pPr>
              <w:spacing w:after="0"/>
              <w:rPr>
                <w:sz w:val="24"/>
                <w:szCs w:val="24"/>
                <w:color w:val="auto"/>
              </w:rPr>
            </w:pPr>
          </w:p>
        </w:tc>
        <w:tc>
          <w:tcPr>
            <w:tcW w:w="1040" w:type="dxa"/>
            <w:vAlign w:val="bottom"/>
            <w:gridSpan w:val="3"/>
          </w:tcPr>
          <w:p>
            <w:pPr>
              <w:jc w:val="right"/>
              <w:spacing w:after="0"/>
              <w:rPr>
                <w:sz w:val="20"/>
                <w:szCs w:val="20"/>
                <w:color w:val="auto"/>
              </w:rPr>
            </w:pPr>
            <w:r>
              <w:rPr>
                <w:rFonts w:ascii="Arial" w:cs="Arial" w:eastAsia="Arial" w:hAnsi="Arial"/>
                <w:sz w:val="22"/>
                <w:szCs w:val="22"/>
                <w:color w:val="auto"/>
              </w:rPr>
              <w:t>$824,325</w:t>
            </w:r>
          </w:p>
        </w:tc>
        <w:tc>
          <w:tcPr>
            <w:tcW w:w="1500" w:type="dxa"/>
            <w:vAlign w:val="bottom"/>
            <w:gridSpan w:val="3"/>
          </w:tcPr>
          <w:p>
            <w:pPr>
              <w:jc w:val="right"/>
              <w:spacing w:after="0"/>
              <w:rPr>
                <w:sz w:val="20"/>
                <w:szCs w:val="20"/>
                <w:color w:val="auto"/>
              </w:rPr>
            </w:pPr>
            <w:r>
              <w:rPr>
                <w:rFonts w:ascii="Arial" w:cs="Arial" w:eastAsia="Arial" w:hAnsi="Arial"/>
                <w:sz w:val="22"/>
                <w:szCs w:val="22"/>
                <w:color w:val="auto"/>
              </w:rPr>
              <w:t>$1,059,780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5880" w:type="dxa"/>
            <w:vAlign w:val="bottom"/>
            <w:vMerge w:val="restart"/>
          </w:tcPr>
          <w:p>
            <w:pPr>
              <w:spacing w:after="0"/>
              <w:rPr>
                <w:sz w:val="20"/>
                <w:szCs w:val="20"/>
                <w:color w:val="auto"/>
              </w:rPr>
            </w:pPr>
            <w:r>
              <w:rPr>
                <w:rFonts w:ascii="Arial" w:cs="Arial" w:eastAsia="Arial" w:hAnsi="Arial"/>
                <w:sz w:val="22"/>
                <w:szCs w:val="22"/>
                <w:b w:val="1"/>
                <w:bCs w:val="1"/>
                <w:color w:val="auto"/>
              </w:rPr>
              <w:t>LIABILITIES AND SHAREHOLDERS' EQUITY</w:t>
            </w:r>
          </w:p>
        </w:tc>
        <w:tc>
          <w:tcPr>
            <w:tcW w:w="14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880" w:type="dxa"/>
            <w:vAlign w:val="bottom"/>
            <w:tcBorders>
              <w:bottom w:val="single" w:sz="8" w:color="336699"/>
            </w:tcBorders>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Borders>
              <w:bottom w:val="single" w:sz="8" w:color="336699"/>
            </w:tcBorders>
          </w:tcPr>
          <w:p>
            <w:pPr>
              <w:spacing w:after="0"/>
              <w:rPr>
                <w:sz w:val="10"/>
                <w:szCs w:val="10"/>
                <w:color w:val="auto"/>
              </w:rPr>
            </w:pPr>
          </w:p>
        </w:tc>
        <w:tc>
          <w:tcPr>
            <w:tcW w:w="840" w:type="dxa"/>
            <w:vAlign w:val="bottom"/>
            <w:tcBorders>
              <w:bottom w:val="single" w:sz="8" w:color="336699"/>
            </w:tcBorders>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0" w:type="dxa"/>
            <w:vAlign w:val="bottom"/>
          </w:tcPr>
          <w:p>
            <w:pPr>
              <w:spacing w:after="0"/>
              <w:rPr>
                <w:sz w:val="1"/>
                <w:szCs w:val="1"/>
                <w:color w:val="auto"/>
              </w:rPr>
            </w:pPr>
          </w:p>
        </w:tc>
      </w:tr>
      <w:tr>
        <w:trPr>
          <w:trHeight w:val="601"/>
        </w:trPr>
        <w:tc>
          <w:tcPr>
            <w:tcW w:w="58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5880" w:type="dxa"/>
            <w:vAlign w:val="bottom"/>
          </w:tcPr>
          <w:p>
            <w:pPr>
              <w:spacing w:after="0"/>
              <w:rPr>
                <w:sz w:val="20"/>
                <w:szCs w:val="20"/>
                <w:color w:val="auto"/>
              </w:rPr>
            </w:pPr>
            <w:r>
              <w:rPr>
                <w:rFonts w:ascii="Arial" w:cs="Arial" w:eastAsia="Arial" w:hAnsi="Arial"/>
                <w:sz w:val="22"/>
                <w:szCs w:val="22"/>
                <w:color w:val="auto"/>
              </w:rPr>
              <w:t>Current liabilities:</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880" w:type="dxa"/>
            <w:vAlign w:val="bottom"/>
          </w:tcPr>
          <w:p>
            <w:pPr>
              <w:ind w:left="100"/>
              <w:spacing w:after="0" w:line="243" w:lineRule="exact"/>
              <w:rPr>
                <w:sz w:val="20"/>
                <w:szCs w:val="20"/>
                <w:color w:val="auto"/>
              </w:rPr>
            </w:pPr>
            <w:r>
              <w:rPr>
                <w:rFonts w:ascii="Arial" w:cs="Arial" w:eastAsia="Arial" w:hAnsi="Arial"/>
                <w:sz w:val="22"/>
                <w:szCs w:val="22"/>
                <w:color w:val="auto"/>
              </w:rPr>
              <w:t>Current portion of long-term borrowings</w:t>
            </w:r>
          </w:p>
        </w:tc>
        <w:tc>
          <w:tcPr>
            <w:tcW w:w="104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$19,213</w:t>
            </w:r>
          </w:p>
        </w:tc>
        <w:tc>
          <w:tcPr>
            <w:tcW w:w="66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w:t>
            </w:r>
          </w:p>
        </w:tc>
        <w:tc>
          <w:tcPr>
            <w:tcW w:w="840" w:type="dxa"/>
            <w:vAlign w:val="bottom"/>
          </w:tcPr>
          <w:p>
            <w:pPr>
              <w:jc w:val="right"/>
              <w:spacing w:after="0" w:line="243" w:lineRule="exact"/>
              <w:rPr>
                <w:sz w:val="20"/>
                <w:szCs w:val="20"/>
                <w:color w:val="auto"/>
              </w:rPr>
            </w:pPr>
            <w:r>
              <w:rPr>
                <w:rFonts w:ascii="Arial" w:cs="Arial" w:eastAsia="Arial" w:hAnsi="Arial"/>
                <w:sz w:val="22"/>
                <w:szCs w:val="22"/>
                <w:color w:val="auto"/>
              </w:rPr>
              <w:t>4,482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80" w:type="dxa"/>
            <w:vAlign w:val="bottom"/>
          </w:tcPr>
          <w:p>
            <w:pPr>
              <w:ind w:left="100"/>
              <w:spacing w:after="0" w:line="243" w:lineRule="exact"/>
              <w:rPr>
                <w:sz w:val="20"/>
                <w:szCs w:val="20"/>
                <w:color w:val="auto"/>
              </w:rPr>
            </w:pPr>
            <w:r>
              <w:rPr>
                <w:rFonts w:ascii="Arial" w:cs="Arial" w:eastAsia="Arial" w:hAnsi="Arial"/>
                <w:sz w:val="22"/>
                <w:szCs w:val="22"/>
                <w:color w:val="auto"/>
              </w:rPr>
              <w:t>Accounts payable</w:t>
            </w:r>
          </w:p>
        </w:tc>
        <w:tc>
          <w:tcPr>
            <w:tcW w:w="104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73,785</w:t>
            </w: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line="243" w:lineRule="exact"/>
              <w:rPr>
                <w:sz w:val="20"/>
                <w:szCs w:val="20"/>
                <w:color w:val="auto"/>
              </w:rPr>
            </w:pPr>
            <w:r>
              <w:rPr>
                <w:rFonts w:ascii="Arial" w:cs="Arial" w:eastAsia="Arial" w:hAnsi="Arial"/>
                <w:sz w:val="22"/>
                <w:szCs w:val="22"/>
                <w:color w:val="auto"/>
                <w:w w:val="93"/>
              </w:rPr>
              <w:t>114,221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5880" w:type="dxa"/>
            <w:vAlign w:val="bottom"/>
          </w:tcPr>
          <w:p>
            <w:pPr>
              <w:ind w:left="100"/>
              <w:spacing w:after="0"/>
              <w:rPr>
                <w:sz w:val="20"/>
                <w:szCs w:val="20"/>
                <w:color w:val="auto"/>
              </w:rPr>
            </w:pPr>
            <w:r>
              <w:rPr>
                <w:rFonts w:ascii="Arial" w:cs="Arial" w:eastAsia="Arial" w:hAnsi="Arial"/>
                <w:sz w:val="22"/>
                <w:szCs w:val="22"/>
                <w:color w:val="auto"/>
              </w:rPr>
              <w:t>Accrued liabilities</w:t>
            </w:r>
          </w:p>
        </w:tc>
        <w:tc>
          <w:tcPr>
            <w:tcW w:w="1040" w:type="dxa"/>
            <w:vAlign w:val="bottom"/>
            <w:gridSpan w:val="3"/>
          </w:tcPr>
          <w:p>
            <w:pPr>
              <w:jc w:val="right"/>
              <w:spacing w:after="0"/>
              <w:rPr>
                <w:sz w:val="20"/>
                <w:szCs w:val="20"/>
                <w:color w:val="auto"/>
              </w:rPr>
            </w:pPr>
            <w:r>
              <w:rPr>
                <w:rFonts w:ascii="Arial" w:cs="Arial" w:eastAsia="Arial" w:hAnsi="Arial"/>
                <w:sz w:val="22"/>
                <w:szCs w:val="22"/>
                <w:color w:val="auto"/>
              </w:rPr>
              <w:t>25,461</w:t>
            </w:r>
          </w:p>
        </w:tc>
        <w:tc>
          <w:tcPr>
            <w:tcW w:w="4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2"/>
                <w:szCs w:val="22"/>
                <w:color w:val="auto"/>
              </w:rPr>
              <w:t>31,676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5880" w:type="dxa"/>
            <w:vAlign w:val="bottom"/>
          </w:tcPr>
          <w:p>
            <w:pPr>
              <w:spacing w:after="0"/>
              <w:rPr>
                <w:sz w:val="8"/>
                <w:szCs w:val="8"/>
                <w:color w:val="auto"/>
              </w:rPr>
            </w:pPr>
          </w:p>
        </w:tc>
        <w:tc>
          <w:tcPr>
            <w:tcW w:w="160" w:type="dxa"/>
            <w:vAlign w:val="bottom"/>
            <w:gridSpan w:val="2"/>
          </w:tcPr>
          <w:p>
            <w:pPr>
              <w:spacing w:after="0"/>
              <w:rPr>
                <w:sz w:val="8"/>
                <w:szCs w:val="8"/>
                <w:color w:val="auto"/>
              </w:rPr>
            </w:pPr>
          </w:p>
        </w:tc>
        <w:tc>
          <w:tcPr>
            <w:tcW w:w="880" w:type="dxa"/>
            <w:vAlign w:val="bottom"/>
            <w:tcBorders>
              <w:bottom w:val="single" w:sz="8" w:color="336699"/>
            </w:tcBorders>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Borders>
              <w:bottom w:val="single" w:sz="8" w:color="336699"/>
            </w:tcBorders>
          </w:tcPr>
          <w:p>
            <w:pPr>
              <w:spacing w:after="0"/>
              <w:rPr>
                <w:sz w:val="8"/>
                <w:szCs w:val="8"/>
                <w:color w:val="auto"/>
              </w:rPr>
            </w:pPr>
          </w:p>
        </w:tc>
        <w:tc>
          <w:tcPr>
            <w:tcW w:w="84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8"/>
        </w:trPr>
        <w:tc>
          <w:tcPr>
            <w:tcW w:w="5880" w:type="dxa"/>
            <w:vAlign w:val="bottom"/>
          </w:tcPr>
          <w:p>
            <w:pPr>
              <w:ind w:left="100"/>
              <w:spacing w:after="0"/>
              <w:rPr>
                <w:sz w:val="20"/>
                <w:szCs w:val="20"/>
                <w:color w:val="auto"/>
              </w:rPr>
            </w:pPr>
            <w:r>
              <w:rPr>
                <w:rFonts w:ascii="Arial" w:cs="Arial" w:eastAsia="Arial" w:hAnsi="Arial"/>
                <w:sz w:val="22"/>
                <w:szCs w:val="22"/>
                <w:color w:val="auto"/>
              </w:rPr>
              <w:t>Total current liabilities</w:t>
            </w:r>
          </w:p>
        </w:tc>
        <w:tc>
          <w:tcPr>
            <w:tcW w:w="1040" w:type="dxa"/>
            <w:vAlign w:val="bottom"/>
            <w:gridSpan w:val="3"/>
          </w:tcPr>
          <w:p>
            <w:pPr>
              <w:jc w:val="right"/>
              <w:spacing w:after="0"/>
              <w:rPr>
                <w:sz w:val="20"/>
                <w:szCs w:val="20"/>
                <w:color w:val="auto"/>
              </w:rPr>
            </w:pPr>
            <w:r>
              <w:rPr>
                <w:rFonts w:ascii="Arial" w:cs="Arial" w:eastAsia="Arial" w:hAnsi="Arial"/>
                <w:sz w:val="22"/>
                <w:szCs w:val="22"/>
                <w:color w:val="auto"/>
              </w:rPr>
              <w:t>118,459</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2"/>
                <w:szCs w:val="22"/>
                <w:color w:val="auto"/>
                <w:w w:val="93"/>
              </w:rPr>
              <w:t>150,379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5880" w:type="dxa"/>
            <w:vAlign w:val="bottom"/>
          </w:tcPr>
          <w:p>
            <w:pPr>
              <w:spacing w:after="0"/>
              <w:rPr>
                <w:sz w:val="20"/>
                <w:szCs w:val="20"/>
                <w:color w:val="auto"/>
              </w:rPr>
            </w:pPr>
            <w:r>
              <w:rPr>
                <w:rFonts w:ascii="Arial" w:cs="Arial" w:eastAsia="Arial" w:hAnsi="Arial"/>
                <w:sz w:val="22"/>
                <w:szCs w:val="22"/>
                <w:color w:val="auto"/>
              </w:rPr>
              <w:t>Long-term borrowings</w:t>
            </w:r>
          </w:p>
        </w:tc>
        <w:tc>
          <w:tcPr>
            <w:tcW w:w="1040" w:type="dxa"/>
            <w:vAlign w:val="bottom"/>
            <w:gridSpan w:val="3"/>
          </w:tcPr>
          <w:p>
            <w:pPr>
              <w:jc w:val="right"/>
              <w:spacing w:after="0"/>
              <w:rPr>
                <w:sz w:val="20"/>
                <w:szCs w:val="20"/>
                <w:color w:val="auto"/>
              </w:rPr>
            </w:pPr>
            <w:r>
              <w:rPr>
                <w:rFonts w:ascii="Arial" w:cs="Arial" w:eastAsia="Arial" w:hAnsi="Arial"/>
                <w:sz w:val="22"/>
                <w:szCs w:val="22"/>
                <w:color w:val="auto"/>
              </w:rPr>
              <w:t>209,328</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2"/>
                <w:szCs w:val="22"/>
                <w:color w:val="auto"/>
                <w:w w:val="93"/>
              </w:rPr>
              <w:t>191,253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880" w:type="dxa"/>
            <w:vAlign w:val="bottom"/>
          </w:tcPr>
          <w:p>
            <w:pPr>
              <w:spacing w:after="0" w:line="243" w:lineRule="exact"/>
              <w:rPr>
                <w:sz w:val="20"/>
                <w:szCs w:val="20"/>
                <w:color w:val="auto"/>
              </w:rPr>
            </w:pPr>
            <w:r>
              <w:rPr>
                <w:rFonts w:ascii="Arial" w:cs="Arial" w:eastAsia="Arial" w:hAnsi="Arial"/>
                <w:sz w:val="22"/>
                <w:szCs w:val="22"/>
                <w:color w:val="auto"/>
              </w:rPr>
              <w:t>Deferred income taxes</w:t>
            </w:r>
          </w:p>
        </w:tc>
        <w:tc>
          <w:tcPr>
            <w:tcW w:w="104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2,097</w:t>
            </w: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line="243" w:lineRule="exact"/>
              <w:rPr>
                <w:sz w:val="20"/>
                <w:szCs w:val="20"/>
                <w:color w:val="auto"/>
              </w:rPr>
            </w:pPr>
            <w:r>
              <w:rPr>
                <w:rFonts w:ascii="Arial" w:cs="Arial" w:eastAsia="Arial" w:hAnsi="Arial"/>
                <w:sz w:val="22"/>
                <w:szCs w:val="22"/>
                <w:color w:val="auto"/>
              </w:rPr>
              <w:t>8,143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5880" w:type="dxa"/>
            <w:vAlign w:val="bottom"/>
          </w:tcPr>
          <w:p>
            <w:pPr>
              <w:spacing w:after="0"/>
              <w:rPr>
                <w:sz w:val="20"/>
                <w:szCs w:val="20"/>
                <w:color w:val="auto"/>
              </w:rPr>
            </w:pPr>
            <w:r>
              <w:rPr>
                <w:rFonts w:ascii="Arial" w:cs="Arial" w:eastAsia="Arial" w:hAnsi="Arial"/>
                <w:sz w:val="22"/>
                <w:szCs w:val="22"/>
                <w:color w:val="auto"/>
              </w:rPr>
              <w:t>Other liabilities</w:t>
            </w:r>
          </w:p>
        </w:tc>
        <w:tc>
          <w:tcPr>
            <w:tcW w:w="1040" w:type="dxa"/>
            <w:vAlign w:val="bottom"/>
            <w:gridSpan w:val="3"/>
          </w:tcPr>
          <w:p>
            <w:pPr>
              <w:jc w:val="right"/>
              <w:spacing w:after="0"/>
              <w:rPr>
                <w:sz w:val="20"/>
                <w:szCs w:val="20"/>
                <w:color w:val="auto"/>
              </w:rPr>
            </w:pPr>
            <w:r>
              <w:rPr>
                <w:rFonts w:ascii="Arial" w:cs="Arial" w:eastAsia="Arial" w:hAnsi="Arial"/>
                <w:sz w:val="22"/>
                <w:szCs w:val="22"/>
                <w:color w:val="auto"/>
              </w:rPr>
              <w:t>5,859</w:t>
            </w:r>
          </w:p>
        </w:tc>
        <w:tc>
          <w:tcPr>
            <w:tcW w:w="4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2"/>
                <w:szCs w:val="22"/>
                <w:color w:val="auto"/>
              </w:rPr>
              <w:t>6,256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5880" w:type="dxa"/>
            <w:vAlign w:val="bottom"/>
          </w:tcPr>
          <w:p>
            <w:pPr>
              <w:spacing w:after="0"/>
              <w:rPr>
                <w:sz w:val="8"/>
                <w:szCs w:val="8"/>
                <w:color w:val="auto"/>
              </w:rPr>
            </w:pPr>
          </w:p>
        </w:tc>
        <w:tc>
          <w:tcPr>
            <w:tcW w:w="160" w:type="dxa"/>
            <w:vAlign w:val="bottom"/>
            <w:gridSpan w:val="2"/>
          </w:tcPr>
          <w:p>
            <w:pPr>
              <w:spacing w:after="0"/>
              <w:rPr>
                <w:sz w:val="8"/>
                <w:szCs w:val="8"/>
                <w:color w:val="auto"/>
              </w:rPr>
            </w:pPr>
          </w:p>
        </w:tc>
        <w:tc>
          <w:tcPr>
            <w:tcW w:w="880" w:type="dxa"/>
            <w:vAlign w:val="bottom"/>
            <w:tcBorders>
              <w:bottom w:val="single" w:sz="8" w:color="336699"/>
            </w:tcBorders>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Borders>
              <w:bottom w:val="single" w:sz="8" w:color="336699"/>
            </w:tcBorders>
          </w:tcPr>
          <w:p>
            <w:pPr>
              <w:spacing w:after="0"/>
              <w:rPr>
                <w:sz w:val="8"/>
                <w:szCs w:val="8"/>
                <w:color w:val="auto"/>
              </w:rPr>
            </w:pPr>
          </w:p>
        </w:tc>
        <w:tc>
          <w:tcPr>
            <w:tcW w:w="84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8"/>
        </w:trPr>
        <w:tc>
          <w:tcPr>
            <w:tcW w:w="5880" w:type="dxa"/>
            <w:vAlign w:val="bottom"/>
          </w:tcPr>
          <w:p>
            <w:pPr>
              <w:ind w:left="100"/>
              <w:spacing w:after="0"/>
              <w:rPr>
                <w:sz w:val="20"/>
                <w:szCs w:val="20"/>
                <w:color w:val="auto"/>
              </w:rPr>
            </w:pPr>
            <w:r>
              <w:rPr>
                <w:rFonts w:ascii="Arial" w:cs="Arial" w:eastAsia="Arial" w:hAnsi="Arial"/>
                <w:sz w:val="22"/>
                <w:szCs w:val="22"/>
                <w:color w:val="auto"/>
              </w:rPr>
              <w:t>Total liabilities</w:t>
            </w:r>
          </w:p>
        </w:tc>
        <w:tc>
          <w:tcPr>
            <w:tcW w:w="1040" w:type="dxa"/>
            <w:vAlign w:val="bottom"/>
            <w:gridSpan w:val="3"/>
          </w:tcPr>
          <w:p>
            <w:pPr>
              <w:jc w:val="right"/>
              <w:spacing w:after="0"/>
              <w:rPr>
                <w:sz w:val="20"/>
                <w:szCs w:val="20"/>
                <w:color w:val="auto"/>
              </w:rPr>
            </w:pPr>
            <w:r>
              <w:rPr>
                <w:rFonts w:ascii="Arial" w:cs="Arial" w:eastAsia="Arial" w:hAnsi="Arial"/>
                <w:sz w:val="22"/>
                <w:szCs w:val="22"/>
                <w:color w:val="auto"/>
              </w:rPr>
              <w:t>335,743</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2"/>
                <w:szCs w:val="22"/>
                <w:color w:val="auto"/>
                <w:w w:val="93"/>
              </w:rPr>
              <w:t>356,031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5880" w:type="dxa"/>
            <w:vAlign w:val="bottom"/>
          </w:tcPr>
          <w:p>
            <w:pPr>
              <w:spacing w:after="0"/>
              <w:rPr>
                <w:sz w:val="20"/>
                <w:szCs w:val="20"/>
                <w:color w:val="auto"/>
              </w:rPr>
            </w:pPr>
            <w:r>
              <w:rPr>
                <w:rFonts w:ascii="Arial" w:cs="Arial" w:eastAsia="Arial" w:hAnsi="Arial"/>
                <w:sz w:val="22"/>
                <w:szCs w:val="22"/>
                <w:color w:val="auto"/>
              </w:rPr>
              <w:t>Minority interest</w:t>
            </w:r>
          </w:p>
        </w:tc>
        <w:tc>
          <w:tcPr>
            <w:tcW w:w="1040" w:type="dxa"/>
            <w:vAlign w:val="bottom"/>
            <w:gridSpan w:val="3"/>
          </w:tcPr>
          <w:p>
            <w:pPr>
              <w:jc w:val="right"/>
              <w:spacing w:after="0"/>
              <w:rPr>
                <w:sz w:val="20"/>
                <w:szCs w:val="20"/>
                <w:color w:val="auto"/>
              </w:rPr>
            </w:pPr>
            <w:r>
              <w:rPr>
                <w:rFonts w:ascii="Arial" w:cs="Arial" w:eastAsia="Arial" w:hAnsi="Arial"/>
                <w:sz w:val="22"/>
                <w:szCs w:val="22"/>
                <w:color w:val="auto"/>
              </w:rPr>
              <w:t>53,710</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2"/>
                <w:szCs w:val="22"/>
                <w:color w:val="auto"/>
              </w:rPr>
              <w:t>49,465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5880" w:type="dxa"/>
            <w:vAlign w:val="bottom"/>
          </w:tcPr>
          <w:p>
            <w:pPr>
              <w:spacing w:after="0"/>
              <w:rPr>
                <w:sz w:val="20"/>
                <w:szCs w:val="20"/>
                <w:color w:val="auto"/>
              </w:rPr>
            </w:pPr>
            <w:r>
              <w:rPr>
                <w:rFonts w:ascii="Arial" w:cs="Arial" w:eastAsia="Arial" w:hAnsi="Arial"/>
                <w:sz w:val="22"/>
                <w:szCs w:val="22"/>
                <w:color w:val="auto"/>
              </w:rPr>
              <w:t>Shareholders' equity:</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880" w:type="dxa"/>
            <w:vAlign w:val="bottom"/>
          </w:tcPr>
          <w:p>
            <w:pPr>
              <w:ind w:left="100"/>
              <w:spacing w:after="0" w:line="243" w:lineRule="exact"/>
              <w:rPr>
                <w:sz w:val="20"/>
                <w:szCs w:val="20"/>
                <w:color w:val="auto"/>
              </w:rPr>
            </w:pPr>
            <w:r>
              <w:rPr>
                <w:rFonts w:ascii="Arial" w:cs="Arial" w:eastAsia="Arial" w:hAnsi="Arial"/>
                <w:sz w:val="22"/>
                <w:szCs w:val="22"/>
                <w:color w:val="auto"/>
              </w:rPr>
              <w:t>Preferred stock, $0.01 par value,</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80" w:type="dxa"/>
            <w:vAlign w:val="bottom"/>
          </w:tcPr>
          <w:p>
            <w:pPr>
              <w:ind w:left="160"/>
              <w:spacing w:after="0" w:line="243" w:lineRule="exact"/>
              <w:rPr>
                <w:sz w:val="20"/>
                <w:szCs w:val="20"/>
                <w:color w:val="auto"/>
              </w:rPr>
            </w:pPr>
            <w:r>
              <w:rPr>
                <w:rFonts w:ascii="Arial" w:cs="Arial" w:eastAsia="Arial" w:hAnsi="Arial"/>
                <w:sz w:val="22"/>
                <w:szCs w:val="22"/>
                <w:color w:val="auto"/>
              </w:rPr>
              <w:t>2,000 shares authorized, none issued and outstanding</w:t>
            </w:r>
          </w:p>
        </w:tc>
        <w:tc>
          <w:tcPr>
            <w:tcW w:w="104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w:t>
            </w: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80" w:type="dxa"/>
            <w:vAlign w:val="bottom"/>
          </w:tcPr>
          <w:p>
            <w:pPr>
              <w:ind w:left="100"/>
              <w:spacing w:after="0" w:line="243" w:lineRule="exact"/>
              <w:rPr>
                <w:sz w:val="20"/>
                <w:szCs w:val="20"/>
                <w:color w:val="auto"/>
              </w:rPr>
            </w:pPr>
            <w:r>
              <w:rPr>
                <w:rFonts w:ascii="Arial" w:cs="Arial" w:eastAsia="Arial" w:hAnsi="Arial"/>
                <w:sz w:val="22"/>
                <w:szCs w:val="22"/>
                <w:color w:val="auto"/>
              </w:rPr>
              <w:t>Common stock, $0.01 par value,</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80" w:type="dxa"/>
            <w:vAlign w:val="bottom"/>
          </w:tcPr>
          <w:p>
            <w:pPr>
              <w:ind w:left="160"/>
              <w:spacing w:after="0" w:line="243" w:lineRule="exact"/>
              <w:rPr>
                <w:sz w:val="20"/>
                <w:szCs w:val="20"/>
                <w:color w:val="auto"/>
              </w:rPr>
            </w:pPr>
            <w:r>
              <w:rPr>
                <w:rFonts w:ascii="Arial" w:cs="Arial" w:eastAsia="Arial" w:hAnsi="Arial"/>
                <w:sz w:val="22"/>
                <w:szCs w:val="22"/>
                <w:color w:val="auto"/>
                <w:w w:val="88"/>
              </w:rPr>
              <w:t>150,000 shares authorized, 41,676 shares issued and outstanding</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80" w:type="dxa"/>
            <w:vAlign w:val="bottom"/>
          </w:tcPr>
          <w:p>
            <w:pPr>
              <w:ind w:left="220"/>
              <w:spacing w:after="0" w:line="243" w:lineRule="exact"/>
              <w:rPr>
                <w:sz w:val="20"/>
                <w:szCs w:val="20"/>
                <w:color w:val="auto"/>
              </w:rPr>
            </w:pPr>
            <w:r>
              <w:rPr>
                <w:rFonts w:ascii="Arial" w:cs="Arial" w:eastAsia="Arial" w:hAnsi="Arial"/>
                <w:sz w:val="22"/>
                <w:szCs w:val="22"/>
                <w:color w:val="auto"/>
              </w:rPr>
              <w:t>at July 27, 2008 and 41,635 issued and outstanding at</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5880" w:type="dxa"/>
            <w:vAlign w:val="bottom"/>
          </w:tcPr>
          <w:p>
            <w:pPr>
              <w:ind w:left="220"/>
              <w:spacing w:after="0"/>
              <w:rPr>
                <w:sz w:val="20"/>
                <w:szCs w:val="20"/>
                <w:color w:val="auto"/>
              </w:rPr>
            </w:pPr>
            <w:r>
              <w:rPr>
                <w:rFonts w:ascii="Arial" w:cs="Arial" w:eastAsia="Arial" w:hAnsi="Arial"/>
                <w:sz w:val="22"/>
                <w:szCs w:val="22"/>
                <w:color w:val="auto"/>
              </w:rPr>
              <w:t>October 28, 2007</w:t>
            </w:r>
          </w:p>
        </w:tc>
        <w:tc>
          <w:tcPr>
            <w:tcW w:w="1040" w:type="dxa"/>
            <w:vAlign w:val="bottom"/>
            <w:gridSpan w:val="3"/>
          </w:tcPr>
          <w:p>
            <w:pPr>
              <w:jc w:val="right"/>
              <w:spacing w:after="0"/>
              <w:rPr>
                <w:sz w:val="20"/>
                <w:szCs w:val="20"/>
                <w:color w:val="auto"/>
              </w:rPr>
            </w:pPr>
            <w:r>
              <w:rPr>
                <w:rFonts w:ascii="Arial" w:cs="Arial" w:eastAsia="Arial" w:hAnsi="Arial"/>
                <w:sz w:val="22"/>
                <w:szCs w:val="22"/>
                <w:color w:val="auto"/>
              </w:rPr>
              <w:t>417</w:t>
            </w:r>
          </w:p>
        </w:tc>
        <w:tc>
          <w:tcPr>
            <w:tcW w:w="4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2"/>
                <w:szCs w:val="22"/>
                <w:color w:val="auto"/>
              </w:rPr>
              <w:t>416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5346065</wp:posOffset>
            </wp:positionH>
            <wp:positionV relativeFrom="paragraph">
              <wp:posOffset>-3961130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-3961130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-3961130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-3961130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0219"/>
          </w:cols>
          <w:pgMar w:left="240" w:top="118" w:right="1440" w:bottom="0" w:gutter="0" w:footer="0" w:header="0"/>
        </w:sectPr>
      </w:pPr>
    </w:p>
    <w:bookmarkStart w:id="3" w:name="page4"/>
    <w:bookmarkEnd w:id="3"/>
    <w:p>
      <w:pPr>
        <w:spacing w:after="0" w:line="49" w:lineRule="exact"/>
        <w:rPr>
          <w:sz w:val="20"/>
          <w:szCs w:val="20"/>
          <w:color w:val="auto"/>
        </w:rPr>
      </w:pPr>
    </w:p>
    <w:tbl>
      <w:tblPr>
        <w:tblLayout w:type="fixed"/>
        <w:tblInd w:w="420" w:type="dxa"/>
        <w:tblCellMar>
          <w:top w:w="0" w:type="dxa"/>
          <w:left w:w="0" w:type="dxa"/>
          <w:bottom w:w="0" w:type="dxa"/>
          <w:right w:w="0" w:type="dxa"/>
        </w:tblCellMar>
      </w:tblPr>
      <w:tr>
        <w:trPr>
          <w:trHeight w:val="253"/>
        </w:trPr>
        <w:tc>
          <w:tcPr>
            <w:tcW w:w="5920" w:type="dxa"/>
            <w:vAlign w:val="bottom"/>
          </w:tcPr>
          <w:p>
            <w:pPr>
              <w:spacing w:after="0"/>
              <w:rPr>
                <w:sz w:val="20"/>
                <w:szCs w:val="20"/>
                <w:color w:val="auto"/>
              </w:rPr>
            </w:pPr>
            <w:r>
              <w:rPr>
                <w:rFonts w:ascii="Arial" w:cs="Arial" w:eastAsia="Arial" w:hAnsi="Arial"/>
                <w:sz w:val="22"/>
                <w:szCs w:val="22"/>
                <w:color w:val="auto"/>
              </w:rPr>
              <w:t>Additional paid-in capital</w:t>
            </w:r>
          </w:p>
        </w:tc>
        <w:tc>
          <w:tcPr>
            <w:tcW w:w="900" w:type="dxa"/>
            <w:vAlign w:val="bottom"/>
          </w:tcPr>
          <w:p>
            <w:pPr>
              <w:jc w:val="right"/>
              <w:spacing w:after="0"/>
              <w:rPr>
                <w:sz w:val="20"/>
                <w:szCs w:val="20"/>
                <w:color w:val="auto"/>
              </w:rPr>
            </w:pPr>
            <w:r>
              <w:rPr>
                <w:rFonts w:ascii="Arial" w:cs="Arial" w:eastAsia="Arial" w:hAnsi="Arial"/>
                <w:sz w:val="22"/>
                <w:szCs w:val="22"/>
                <w:color w:val="auto"/>
                <w:w w:val="98"/>
              </w:rPr>
              <w:t>383,762</w:t>
            </w:r>
          </w:p>
        </w:tc>
        <w:tc>
          <w:tcPr>
            <w:tcW w:w="1500" w:type="dxa"/>
            <w:vAlign w:val="bottom"/>
            <w:gridSpan w:val="2"/>
          </w:tcPr>
          <w:p>
            <w:pPr>
              <w:jc w:val="right"/>
              <w:ind w:right="80"/>
              <w:spacing w:after="0"/>
              <w:rPr>
                <w:sz w:val="20"/>
                <w:szCs w:val="20"/>
                <w:color w:val="auto"/>
              </w:rPr>
            </w:pPr>
            <w:r>
              <w:rPr>
                <w:rFonts w:ascii="Arial" w:cs="Arial" w:eastAsia="Arial" w:hAnsi="Arial"/>
                <w:sz w:val="22"/>
                <w:szCs w:val="22"/>
                <w:color w:val="auto"/>
              </w:rPr>
              <w:t>381,876</w:t>
            </w:r>
          </w:p>
        </w:tc>
        <w:tc>
          <w:tcPr>
            <w:tcW w:w="20" w:type="dxa"/>
            <w:vAlign w:val="bottom"/>
          </w:tcPr>
          <w:p>
            <w:pPr>
              <w:spacing w:after="0"/>
              <w:rPr>
                <w:sz w:val="21"/>
                <w:szCs w:val="21"/>
                <w:color w:val="auto"/>
              </w:rPr>
            </w:pPr>
          </w:p>
        </w:tc>
      </w:tr>
      <w:tr>
        <w:trPr>
          <w:trHeight w:val="243"/>
        </w:trPr>
        <w:tc>
          <w:tcPr>
            <w:tcW w:w="5920" w:type="dxa"/>
            <w:vAlign w:val="bottom"/>
          </w:tcPr>
          <w:p>
            <w:pPr>
              <w:spacing w:after="0" w:line="243" w:lineRule="exact"/>
              <w:rPr>
                <w:sz w:val="20"/>
                <w:szCs w:val="20"/>
                <w:color w:val="auto"/>
              </w:rPr>
            </w:pPr>
            <w:r>
              <w:rPr>
                <w:rFonts w:ascii="Arial" w:cs="Arial" w:eastAsia="Arial" w:hAnsi="Arial"/>
                <w:sz w:val="22"/>
                <w:szCs w:val="22"/>
                <w:color w:val="auto"/>
              </w:rPr>
              <w:t>Retained earnings</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15,130</w:t>
            </w:r>
          </w:p>
        </w:tc>
        <w:tc>
          <w:tcPr>
            <w:tcW w:w="150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227,175</w:t>
            </w:r>
          </w:p>
        </w:tc>
        <w:tc>
          <w:tcPr>
            <w:tcW w:w="20" w:type="dxa"/>
            <w:vAlign w:val="bottom"/>
          </w:tcPr>
          <w:p>
            <w:pPr>
              <w:spacing w:after="0"/>
              <w:rPr>
                <w:sz w:val="21"/>
                <w:szCs w:val="21"/>
                <w:color w:val="auto"/>
              </w:rPr>
            </w:pPr>
          </w:p>
        </w:tc>
      </w:tr>
      <w:tr>
        <w:trPr>
          <w:trHeight w:val="275"/>
        </w:trPr>
        <w:tc>
          <w:tcPr>
            <w:tcW w:w="5920" w:type="dxa"/>
            <w:vAlign w:val="bottom"/>
          </w:tcPr>
          <w:p>
            <w:pPr>
              <w:spacing w:after="0"/>
              <w:rPr>
                <w:sz w:val="20"/>
                <w:szCs w:val="20"/>
                <w:color w:val="auto"/>
              </w:rPr>
            </w:pPr>
            <w:r>
              <w:rPr>
                <w:rFonts w:ascii="Arial" w:cs="Arial" w:eastAsia="Arial" w:hAnsi="Arial"/>
                <w:sz w:val="22"/>
                <w:szCs w:val="22"/>
                <w:color w:val="auto"/>
              </w:rPr>
              <w:t>Accumulated other comprehensive income</w:t>
            </w:r>
          </w:p>
        </w:tc>
        <w:tc>
          <w:tcPr>
            <w:tcW w:w="900" w:type="dxa"/>
            <w:vAlign w:val="bottom"/>
          </w:tcPr>
          <w:p>
            <w:pPr>
              <w:jc w:val="right"/>
              <w:spacing w:after="0"/>
              <w:rPr>
                <w:sz w:val="20"/>
                <w:szCs w:val="20"/>
                <w:color w:val="auto"/>
              </w:rPr>
            </w:pPr>
            <w:r>
              <w:rPr>
                <w:rFonts w:ascii="Arial" w:cs="Arial" w:eastAsia="Arial" w:hAnsi="Arial"/>
                <w:sz w:val="22"/>
                <w:szCs w:val="22"/>
                <w:color w:val="auto"/>
              </w:rPr>
              <w:t>35,563</w:t>
            </w:r>
          </w:p>
        </w:tc>
        <w:tc>
          <w:tcPr>
            <w:tcW w:w="1500" w:type="dxa"/>
            <w:vAlign w:val="bottom"/>
            <w:gridSpan w:val="2"/>
          </w:tcPr>
          <w:p>
            <w:pPr>
              <w:jc w:val="right"/>
              <w:ind w:right="80"/>
              <w:spacing w:after="0"/>
              <w:rPr>
                <w:sz w:val="20"/>
                <w:szCs w:val="20"/>
                <w:color w:val="auto"/>
              </w:rPr>
            </w:pPr>
            <w:r>
              <w:rPr>
                <w:rFonts w:ascii="Arial" w:cs="Arial" w:eastAsia="Arial" w:hAnsi="Arial"/>
                <w:sz w:val="22"/>
                <w:szCs w:val="22"/>
                <w:color w:val="auto"/>
              </w:rPr>
              <w:t>44,817</w:t>
            </w:r>
          </w:p>
        </w:tc>
        <w:tc>
          <w:tcPr>
            <w:tcW w:w="20" w:type="dxa"/>
            <w:vAlign w:val="bottom"/>
          </w:tcPr>
          <w:p>
            <w:pPr>
              <w:spacing w:after="0"/>
              <w:rPr>
                <w:sz w:val="23"/>
                <w:szCs w:val="23"/>
                <w:color w:val="auto"/>
              </w:rPr>
            </w:pPr>
          </w:p>
        </w:tc>
      </w:tr>
      <w:tr>
        <w:trPr>
          <w:trHeight w:val="98"/>
        </w:trPr>
        <w:tc>
          <w:tcPr>
            <w:tcW w:w="5920" w:type="dxa"/>
            <w:vAlign w:val="bottom"/>
          </w:tcPr>
          <w:p>
            <w:pPr>
              <w:spacing w:after="0"/>
              <w:rPr>
                <w:sz w:val="8"/>
                <w:szCs w:val="8"/>
                <w:color w:val="auto"/>
              </w:rPr>
            </w:pPr>
          </w:p>
        </w:tc>
        <w:tc>
          <w:tcPr>
            <w:tcW w:w="900" w:type="dxa"/>
            <w:vAlign w:val="bottom"/>
            <w:tcBorders>
              <w:bottom w:val="single" w:sz="8" w:color="336699"/>
            </w:tcBorders>
          </w:tcPr>
          <w:p>
            <w:pPr>
              <w:spacing w:after="0"/>
              <w:rPr>
                <w:sz w:val="8"/>
                <w:szCs w:val="8"/>
                <w:color w:val="auto"/>
              </w:rPr>
            </w:pPr>
          </w:p>
        </w:tc>
        <w:tc>
          <w:tcPr>
            <w:tcW w:w="400" w:type="dxa"/>
            <w:vAlign w:val="bottom"/>
          </w:tcPr>
          <w:p>
            <w:pPr>
              <w:spacing w:after="0"/>
              <w:rPr>
                <w:sz w:val="8"/>
                <w:szCs w:val="8"/>
                <w:color w:val="auto"/>
              </w:rPr>
            </w:pPr>
          </w:p>
        </w:tc>
        <w:tc>
          <w:tcPr>
            <w:tcW w:w="110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r>
      <w:tr>
        <w:trPr>
          <w:trHeight w:val="368"/>
        </w:trPr>
        <w:tc>
          <w:tcPr>
            <w:tcW w:w="5920" w:type="dxa"/>
            <w:vAlign w:val="bottom"/>
          </w:tcPr>
          <w:p>
            <w:pPr>
              <w:ind w:left="100"/>
              <w:spacing w:after="0"/>
              <w:rPr>
                <w:sz w:val="20"/>
                <w:szCs w:val="20"/>
                <w:color w:val="auto"/>
              </w:rPr>
            </w:pPr>
            <w:r>
              <w:rPr>
                <w:rFonts w:ascii="Arial" w:cs="Arial" w:eastAsia="Arial" w:hAnsi="Arial"/>
                <w:sz w:val="22"/>
                <w:szCs w:val="22"/>
                <w:color w:val="auto"/>
              </w:rPr>
              <w:t>Total shareholders' equity</w:t>
            </w:r>
          </w:p>
        </w:tc>
        <w:tc>
          <w:tcPr>
            <w:tcW w:w="900" w:type="dxa"/>
            <w:vAlign w:val="bottom"/>
          </w:tcPr>
          <w:p>
            <w:pPr>
              <w:jc w:val="right"/>
              <w:spacing w:after="0"/>
              <w:rPr>
                <w:sz w:val="20"/>
                <w:szCs w:val="20"/>
                <w:color w:val="auto"/>
              </w:rPr>
            </w:pPr>
            <w:r>
              <w:rPr>
                <w:rFonts w:ascii="Arial" w:cs="Arial" w:eastAsia="Arial" w:hAnsi="Arial"/>
                <w:sz w:val="22"/>
                <w:szCs w:val="22"/>
                <w:color w:val="auto"/>
                <w:w w:val="98"/>
              </w:rPr>
              <w:t>434,872</w:t>
            </w:r>
          </w:p>
        </w:tc>
        <w:tc>
          <w:tcPr>
            <w:tcW w:w="1500" w:type="dxa"/>
            <w:vAlign w:val="bottom"/>
            <w:gridSpan w:val="2"/>
          </w:tcPr>
          <w:p>
            <w:pPr>
              <w:jc w:val="right"/>
              <w:ind w:right="80"/>
              <w:spacing w:after="0"/>
              <w:rPr>
                <w:sz w:val="20"/>
                <w:szCs w:val="20"/>
                <w:color w:val="auto"/>
              </w:rPr>
            </w:pPr>
            <w:r>
              <w:rPr>
                <w:rFonts w:ascii="Arial" w:cs="Arial" w:eastAsia="Arial" w:hAnsi="Arial"/>
                <w:sz w:val="22"/>
                <w:szCs w:val="22"/>
                <w:color w:val="auto"/>
              </w:rPr>
              <w:t>654,284</w:t>
            </w:r>
          </w:p>
        </w:tc>
        <w:tc>
          <w:tcPr>
            <w:tcW w:w="20" w:type="dxa"/>
            <w:vAlign w:val="bottom"/>
          </w:tcPr>
          <w:p>
            <w:pPr>
              <w:spacing w:after="0"/>
              <w:rPr>
                <w:sz w:val="24"/>
                <w:szCs w:val="24"/>
                <w:color w:val="auto"/>
              </w:rPr>
            </w:pPr>
          </w:p>
        </w:tc>
      </w:tr>
      <w:tr>
        <w:trPr>
          <w:trHeight w:val="98"/>
        </w:trPr>
        <w:tc>
          <w:tcPr>
            <w:tcW w:w="5920" w:type="dxa"/>
            <w:vAlign w:val="bottom"/>
          </w:tcPr>
          <w:p>
            <w:pPr>
              <w:spacing w:after="0"/>
              <w:rPr>
                <w:sz w:val="8"/>
                <w:szCs w:val="8"/>
                <w:color w:val="auto"/>
              </w:rPr>
            </w:pPr>
          </w:p>
        </w:tc>
        <w:tc>
          <w:tcPr>
            <w:tcW w:w="900" w:type="dxa"/>
            <w:vAlign w:val="bottom"/>
            <w:tcBorders>
              <w:bottom w:val="single" w:sz="8" w:color="336699"/>
            </w:tcBorders>
          </w:tcPr>
          <w:p>
            <w:pPr>
              <w:spacing w:after="0"/>
              <w:rPr>
                <w:sz w:val="8"/>
                <w:szCs w:val="8"/>
                <w:color w:val="auto"/>
              </w:rPr>
            </w:pPr>
          </w:p>
        </w:tc>
        <w:tc>
          <w:tcPr>
            <w:tcW w:w="400" w:type="dxa"/>
            <w:vAlign w:val="bottom"/>
          </w:tcPr>
          <w:p>
            <w:pPr>
              <w:spacing w:after="0"/>
              <w:rPr>
                <w:sz w:val="8"/>
                <w:szCs w:val="8"/>
                <w:color w:val="auto"/>
              </w:rPr>
            </w:pPr>
          </w:p>
        </w:tc>
        <w:tc>
          <w:tcPr>
            <w:tcW w:w="110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r>
      <w:tr>
        <w:trPr>
          <w:trHeight w:val="368"/>
        </w:trPr>
        <w:tc>
          <w:tcPr>
            <w:tcW w:w="59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w w:val="84"/>
              </w:rPr>
              <w:t>$824,325</w:t>
            </w:r>
          </w:p>
        </w:tc>
        <w:tc>
          <w:tcPr>
            <w:tcW w:w="1500" w:type="dxa"/>
            <w:vAlign w:val="bottom"/>
            <w:gridSpan w:val="2"/>
          </w:tcPr>
          <w:p>
            <w:pPr>
              <w:jc w:val="right"/>
              <w:ind w:right="80"/>
              <w:spacing w:after="0"/>
              <w:rPr>
                <w:sz w:val="20"/>
                <w:szCs w:val="20"/>
                <w:color w:val="auto"/>
              </w:rPr>
            </w:pPr>
            <w:r>
              <w:rPr>
                <w:rFonts w:ascii="Arial" w:cs="Arial" w:eastAsia="Arial" w:hAnsi="Arial"/>
                <w:sz w:val="22"/>
                <w:szCs w:val="22"/>
                <w:color w:val="auto"/>
              </w:rPr>
              <w:t>$1,059,780</w:t>
            </w:r>
          </w:p>
        </w:tc>
        <w:tc>
          <w:tcPr>
            <w:tcW w:w="20" w:type="dxa"/>
            <w:vAlign w:val="bottom"/>
          </w:tcPr>
          <w:p>
            <w:pPr>
              <w:spacing w:after="0"/>
              <w:rPr>
                <w:sz w:val="24"/>
                <w:szCs w:val="24"/>
                <w:color w:val="auto"/>
              </w:rPr>
            </w:pPr>
          </w:p>
        </w:tc>
      </w:tr>
      <w:tr>
        <w:trPr>
          <w:trHeight w:val="122"/>
        </w:trPr>
        <w:tc>
          <w:tcPr>
            <w:tcW w:w="5920" w:type="dxa"/>
            <w:vAlign w:val="bottom"/>
          </w:tcPr>
          <w:p>
            <w:pPr>
              <w:spacing w:after="0"/>
              <w:rPr>
                <w:sz w:val="10"/>
                <w:szCs w:val="10"/>
                <w:color w:val="auto"/>
              </w:rPr>
            </w:pPr>
          </w:p>
        </w:tc>
        <w:tc>
          <w:tcPr>
            <w:tcW w:w="900" w:type="dxa"/>
            <w:vAlign w:val="bottom"/>
            <w:tcBorders>
              <w:bottom w:val="single" w:sz="8" w:color="336699"/>
            </w:tcBorders>
          </w:tcPr>
          <w:p>
            <w:pPr>
              <w:spacing w:after="0"/>
              <w:rPr>
                <w:sz w:val="10"/>
                <w:szCs w:val="10"/>
                <w:color w:val="auto"/>
              </w:rPr>
            </w:pPr>
          </w:p>
        </w:tc>
        <w:tc>
          <w:tcPr>
            <w:tcW w:w="400" w:type="dxa"/>
            <w:vAlign w:val="bottom"/>
          </w:tcPr>
          <w:p>
            <w:pPr>
              <w:spacing w:after="0"/>
              <w:rPr>
                <w:sz w:val="10"/>
                <w:szCs w:val="10"/>
                <w:color w:val="auto"/>
              </w:rPr>
            </w:pPr>
          </w:p>
        </w:tc>
        <w:tc>
          <w:tcPr>
            <w:tcW w:w="1100" w:type="dxa"/>
            <w:vAlign w:val="bottom"/>
            <w:tcBorders>
              <w:bottom w:val="single" w:sz="8" w:color="336699"/>
            </w:tcBorders>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4584065</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4026535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5544185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4849495</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06" w:lineRule="exact"/>
        <w:rPr>
          <w:sz w:val="20"/>
          <w:szCs w:val="20"/>
          <w:color w:val="auto"/>
        </w:rPr>
      </w:pPr>
    </w:p>
    <w:p>
      <w:pPr>
        <w:ind w:left="320"/>
        <w:spacing w:after="0"/>
        <w:rPr>
          <w:sz w:val="20"/>
          <w:szCs w:val="20"/>
          <w:color w:val="auto"/>
        </w:rPr>
      </w:pPr>
      <w:r>
        <w:rPr>
          <w:rFonts w:ascii="Arial" w:cs="Arial" w:eastAsia="Arial" w:hAnsi="Arial"/>
          <w:sz w:val="22"/>
          <w:szCs w:val="22"/>
          <w:i w:val="1"/>
          <w:iCs w:val="1"/>
          <w:color w:val="auto"/>
        </w:rPr>
        <w:t>See accompanying notes to condensed consolidated financial statements.</w:t>
      </w:r>
    </w:p>
    <w:p>
      <w:pPr>
        <w:spacing w:after="0" w:line="200" w:lineRule="exact"/>
        <w:rPr>
          <w:sz w:val="20"/>
          <w:szCs w:val="20"/>
          <w:color w:val="auto"/>
        </w:rPr>
      </w:pPr>
    </w:p>
    <w:p>
      <w:pPr>
        <w:spacing w:after="0" w:line="24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132080</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PHOTRONICS, INC. AND SUBSIDIARIES</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Condensed Consolidated Statements of Operations</w:t>
      </w:r>
    </w:p>
    <w:p>
      <w:pPr>
        <w:jc w:val="center"/>
        <w:ind w:right="-20"/>
        <w:spacing w:after="0" w:line="230" w:lineRule="auto"/>
        <w:rPr>
          <w:sz w:val="20"/>
          <w:szCs w:val="20"/>
          <w:color w:val="auto"/>
        </w:rPr>
      </w:pPr>
      <w:r>
        <w:rPr>
          <w:rFonts w:ascii="Arial" w:cs="Arial" w:eastAsia="Arial" w:hAnsi="Arial"/>
          <w:sz w:val="22"/>
          <w:szCs w:val="22"/>
          <w:i w:val="1"/>
          <w:iCs w:val="1"/>
          <w:color w:val="auto"/>
        </w:rPr>
        <w:t>(in thousands, except per share amounts)</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22"/>
          <w:szCs w:val="22"/>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500" w:type="dxa"/>
        <w:tblCellMar>
          <w:top w:w="0" w:type="dxa"/>
          <w:left w:w="0" w:type="dxa"/>
          <w:bottom w:w="0" w:type="dxa"/>
          <w:right w:w="0" w:type="dxa"/>
        </w:tblCellMar>
      </w:tblPr>
      <w:tr>
        <w:trPr>
          <w:trHeight w:val="281"/>
        </w:trPr>
        <w:tc>
          <w:tcPr>
            <w:tcW w:w="4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00" w:type="dxa"/>
            <w:vAlign w:val="bottom"/>
            <w:gridSpan w:val="8"/>
          </w:tcPr>
          <w:p>
            <w:pPr>
              <w:jc w:val="right"/>
              <w:spacing w:after="0"/>
              <w:rPr>
                <w:sz w:val="20"/>
                <w:szCs w:val="20"/>
                <w:color w:val="auto"/>
              </w:rPr>
            </w:pPr>
            <w:r>
              <w:rPr>
                <w:rFonts w:ascii="Arial" w:cs="Arial" w:eastAsia="Arial" w:hAnsi="Arial"/>
                <w:sz w:val="22"/>
                <w:szCs w:val="22"/>
                <w:b w:val="1"/>
                <w:bCs w:val="1"/>
                <w:color w:val="auto"/>
                <w:w w:val="89"/>
              </w:rPr>
              <w:t>Three Months Ended Nine Months Ended</w:t>
            </w:r>
          </w:p>
        </w:tc>
        <w:tc>
          <w:tcPr>
            <w:tcW w:w="0" w:type="dxa"/>
            <w:vAlign w:val="bottom"/>
          </w:tcPr>
          <w:p>
            <w:pPr>
              <w:spacing w:after="0"/>
              <w:rPr>
                <w:sz w:val="1"/>
                <w:szCs w:val="1"/>
                <w:color w:val="auto"/>
              </w:rPr>
            </w:pPr>
          </w:p>
        </w:tc>
      </w:tr>
      <w:tr>
        <w:trPr>
          <w:trHeight w:val="98"/>
        </w:trPr>
        <w:tc>
          <w:tcPr>
            <w:tcW w:w="4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31"/>
        </w:trPr>
        <w:tc>
          <w:tcPr>
            <w:tcW w:w="4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jc w:val="right"/>
              <w:ind w:right="52"/>
              <w:spacing w:after="0"/>
              <w:rPr>
                <w:sz w:val="20"/>
                <w:szCs w:val="20"/>
                <w:color w:val="auto"/>
              </w:rPr>
            </w:pPr>
            <w:r>
              <w:rPr>
                <w:rFonts w:ascii="Arial" w:cs="Arial" w:eastAsia="Arial" w:hAnsi="Arial"/>
                <w:sz w:val="22"/>
                <w:szCs w:val="22"/>
                <w:b w:val="1"/>
                <w:bCs w:val="1"/>
                <w:color w:val="auto"/>
              </w:rPr>
              <w:t>July 27,</w:t>
            </w:r>
          </w:p>
        </w:tc>
        <w:tc>
          <w:tcPr>
            <w:tcW w:w="20" w:type="dxa"/>
            <w:vAlign w:val="bottom"/>
          </w:tcPr>
          <w:p>
            <w:pPr>
              <w:spacing w:after="0"/>
              <w:rPr>
                <w:sz w:val="24"/>
                <w:szCs w:val="24"/>
                <w:color w:val="auto"/>
              </w:rPr>
            </w:pPr>
          </w:p>
        </w:tc>
        <w:tc>
          <w:tcPr>
            <w:tcW w:w="960" w:type="dxa"/>
            <w:vAlign w:val="bottom"/>
          </w:tcPr>
          <w:p>
            <w:pPr>
              <w:jc w:val="right"/>
              <w:ind w:right="32"/>
              <w:spacing w:after="0"/>
              <w:rPr>
                <w:sz w:val="20"/>
                <w:szCs w:val="20"/>
                <w:color w:val="auto"/>
              </w:rPr>
            </w:pPr>
            <w:r>
              <w:rPr>
                <w:rFonts w:ascii="Arial" w:cs="Arial" w:eastAsia="Arial" w:hAnsi="Arial"/>
                <w:sz w:val="22"/>
                <w:szCs w:val="22"/>
                <w:b w:val="1"/>
                <w:bCs w:val="1"/>
                <w:color w:val="auto"/>
                <w:w w:val="99"/>
              </w:rPr>
              <w:t>July 29,</w:t>
            </w:r>
          </w:p>
        </w:tc>
        <w:tc>
          <w:tcPr>
            <w:tcW w:w="20" w:type="dxa"/>
            <w:vAlign w:val="bottom"/>
          </w:tcPr>
          <w:p>
            <w:pPr>
              <w:spacing w:after="0"/>
              <w:rPr>
                <w:sz w:val="24"/>
                <w:szCs w:val="24"/>
                <w:color w:val="auto"/>
              </w:rPr>
            </w:pPr>
          </w:p>
        </w:tc>
        <w:tc>
          <w:tcPr>
            <w:tcW w:w="980" w:type="dxa"/>
            <w:vAlign w:val="bottom"/>
          </w:tcPr>
          <w:p>
            <w:pPr>
              <w:jc w:val="right"/>
              <w:ind w:right="32"/>
              <w:spacing w:after="0"/>
              <w:rPr>
                <w:sz w:val="20"/>
                <w:szCs w:val="20"/>
                <w:color w:val="auto"/>
              </w:rPr>
            </w:pPr>
            <w:r>
              <w:rPr>
                <w:rFonts w:ascii="Arial" w:cs="Arial" w:eastAsia="Arial" w:hAnsi="Arial"/>
                <w:sz w:val="22"/>
                <w:szCs w:val="22"/>
                <w:b w:val="1"/>
                <w:bCs w:val="1"/>
                <w:color w:val="auto"/>
              </w:rPr>
              <w:t>July 27,</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2"/>
                <w:szCs w:val="22"/>
                <w:b w:val="1"/>
                <w:bCs w:val="1"/>
                <w:color w:val="auto"/>
                <w:w w:val="94"/>
              </w:rPr>
              <w:t>July 29,</w:t>
            </w:r>
          </w:p>
        </w:tc>
        <w:tc>
          <w:tcPr>
            <w:tcW w:w="0" w:type="dxa"/>
            <w:vAlign w:val="bottom"/>
          </w:tcPr>
          <w:p>
            <w:pPr>
              <w:spacing w:after="0"/>
              <w:rPr>
                <w:sz w:val="1"/>
                <w:szCs w:val="1"/>
                <w:color w:val="auto"/>
              </w:rPr>
            </w:pPr>
          </w:p>
        </w:tc>
      </w:tr>
      <w:tr>
        <w:trPr>
          <w:trHeight w:val="281"/>
        </w:trPr>
        <w:tc>
          <w:tcPr>
            <w:tcW w:w="4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jc w:val="right"/>
              <w:ind w:right="192"/>
              <w:spacing w:after="0"/>
              <w:rPr>
                <w:sz w:val="20"/>
                <w:szCs w:val="20"/>
                <w:color w:val="auto"/>
              </w:rPr>
            </w:pPr>
            <w:r>
              <w:rPr>
                <w:rFonts w:ascii="Arial" w:cs="Arial" w:eastAsia="Arial" w:hAnsi="Arial"/>
                <w:sz w:val="22"/>
                <w:szCs w:val="22"/>
                <w:b w:val="1"/>
                <w:bCs w:val="1"/>
                <w:color w:val="auto"/>
              </w:rPr>
              <w:t>2008</w:t>
            </w:r>
          </w:p>
        </w:tc>
        <w:tc>
          <w:tcPr>
            <w:tcW w:w="980" w:type="dxa"/>
            <w:vAlign w:val="bottom"/>
            <w:gridSpan w:val="2"/>
          </w:tcPr>
          <w:p>
            <w:pPr>
              <w:jc w:val="right"/>
              <w:ind w:right="172"/>
              <w:spacing w:after="0"/>
              <w:rPr>
                <w:sz w:val="20"/>
                <w:szCs w:val="20"/>
                <w:color w:val="auto"/>
              </w:rPr>
            </w:pPr>
            <w:r>
              <w:rPr>
                <w:rFonts w:ascii="Arial" w:cs="Arial" w:eastAsia="Arial" w:hAnsi="Arial"/>
                <w:sz w:val="22"/>
                <w:szCs w:val="22"/>
                <w:b w:val="1"/>
                <w:bCs w:val="1"/>
                <w:color w:val="auto"/>
              </w:rPr>
              <w:t>2007</w:t>
            </w:r>
          </w:p>
        </w:tc>
        <w:tc>
          <w:tcPr>
            <w:tcW w:w="1000" w:type="dxa"/>
            <w:vAlign w:val="bottom"/>
            <w:gridSpan w:val="2"/>
          </w:tcPr>
          <w:p>
            <w:pPr>
              <w:jc w:val="right"/>
              <w:ind w:right="172"/>
              <w:spacing w:after="0"/>
              <w:rPr>
                <w:sz w:val="20"/>
                <w:szCs w:val="20"/>
                <w:color w:val="auto"/>
              </w:rPr>
            </w:pPr>
            <w:r>
              <w:rPr>
                <w:rFonts w:ascii="Arial" w:cs="Arial" w:eastAsia="Arial" w:hAnsi="Arial"/>
                <w:sz w:val="22"/>
                <w:szCs w:val="22"/>
                <w:b w:val="1"/>
                <w:bCs w:val="1"/>
                <w:color w:val="auto"/>
              </w:rPr>
              <w:t>2008</w:t>
            </w:r>
          </w:p>
        </w:tc>
        <w:tc>
          <w:tcPr>
            <w:tcW w:w="920" w:type="dxa"/>
            <w:vAlign w:val="bottom"/>
            <w:gridSpan w:val="3"/>
          </w:tcPr>
          <w:p>
            <w:pPr>
              <w:jc w:val="right"/>
              <w:ind w:right="132"/>
              <w:spacing w:after="0"/>
              <w:rPr>
                <w:sz w:val="20"/>
                <w:szCs w:val="20"/>
                <w:color w:val="auto"/>
              </w:rPr>
            </w:pPr>
            <w:r>
              <w:rPr>
                <w:rFonts w:ascii="Arial" w:cs="Arial" w:eastAsia="Arial" w:hAnsi="Arial"/>
                <w:sz w:val="22"/>
                <w:szCs w:val="22"/>
                <w:b w:val="1"/>
                <w:bCs w:val="1"/>
                <w:color w:val="auto"/>
              </w:rPr>
              <w:t>2007</w:t>
            </w:r>
          </w:p>
        </w:tc>
        <w:tc>
          <w:tcPr>
            <w:tcW w:w="0" w:type="dxa"/>
            <w:vAlign w:val="bottom"/>
          </w:tcPr>
          <w:p>
            <w:pPr>
              <w:spacing w:after="0"/>
              <w:rPr>
                <w:sz w:val="1"/>
                <w:szCs w:val="1"/>
                <w:color w:val="auto"/>
              </w:rPr>
            </w:pPr>
          </w:p>
        </w:tc>
      </w:tr>
      <w:tr>
        <w:trPr>
          <w:trHeight w:val="98"/>
        </w:trPr>
        <w:tc>
          <w:tcPr>
            <w:tcW w:w="4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611"/>
        </w:trPr>
        <w:tc>
          <w:tcPr>
            <w:tcW w:w="4140" w:type="dxa"/>
            <w:vAlign w:val="bottom"/>
            <w:gridSpan w:val="2"/>
          </w:tcPr>
          <w:p>
            <w:pPr>
              <w:spacing w:after="0"/>
              <w:rPr>
                <w:sz w:val="20"/>
                <w:szCs w:val="20"/>
                <w:color w:val="auto"/>
              </w:rPr>
            </w:pPr>
            <w:r>
              <w:rPr>
                <w:rFonts w:ascii="Arial" w:cs="Arial" w:eastAsia="Arial" w:hAnsi="Arial"/>
                <w:sz w:val="22"/>
                <w:szCs w:val="22"/>
                <w:color w:val="auto"/>
              </w:rPr>
              <w:t>Net sales</w:t>
            </w:r>
          </w:p>
        </w:tc>
        <w:tc>
          <w:tcPr>
            <w:tcW w:w="1000" w:type="dxa"/>
            <w:vAlign w:val="bottom"/>
          </w:tcPr>
          <w:p>
            <w:pPr>
              <w:jc w:val="right"/>
              <w:spacing w:after="0"/>
              <w:rPr>
                <w:sz w:val="20"/>
                <w:szCs w:val="20"/>
                <w:color w:val="auto"/>
              </w:rPr>
            </w:pPr>
            <w:r>
              <w:rPr>
                <w:rFonts w:ascii="Arial" w:cs="Arial" w:eastAsia="Arial" w:hAnsi="Arial"/>
                <w:sz w:val="22"/>
                <w:szCs w:val="22"/>
                <w:color w:val="auto"/>
                <w:w w:val="98"/>
              </w:rPr>
              <w:t>$105,697</w:t>
            </w:r>
          </w:p>
        </w:tc>
        <w:tc>
          <w:tcPr>
            <w:tcW w:w="980" w:type="dxa"/>
            <w:vAlign w:val="bottom"/>
            <w:gridSpan w:val="2"/>
          </w:tcPr>
          <w:p>
            <w:pPr>
              <w:jc w:val="right"/>
              <w:spacing w:after="0"/>
              <w:rPr>
                <w:sz w:val="20"/>
                <w:szCs w:val="20"/>
                <w:color w:val="auto"/>
              </w:rPr>
            </w:pPr>
            <w:r>
              <w:rPr>
                <w:rFonts w:ascii="Arial" w:cs="Arial" w:eastAsia="Arial" w:hAnsi="Arial"/>
                <w:sz w:val="22"/>
                <w:szCs w:val="22"/>
                <w:color w:val="auto"/>
                <w:w w:val="95"/>
              </w:rPr>
              <w:t>$104,301</w:t>
            </w: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w w:val="98"/>
              </w:rPr>
              <w:t>$319,242</w:t>
            </w:r>
          </w:p>
        </w:tc>
        <w:tc>
          <w:tcPr>
            <w:tcW w:w="920" w:type="dxa"/>
            <w:vAlign w:val="bottom"/>
            <w:gridSpan w:val="3"/>
          </w:tcPr>
          <w:p>
            <w:pPr>
              <w:jc w:val="right"/>
              <w:spacing w:after="0"/>
              <w:rPr>
                <w:sz w:val="20"/>
                <w:szCs w:val="20"/>
                <w:color w:val="auto"/>
              </w:rPr>
            </w:pPr>
            <w:r>
              <w:rPr>
                <w:rFonts w:ascii="Arial" w:cs="Arial" w:eastAsia="Arial" w:hAnsi="Arial"/>
                <w:sz w:val="22"/>
                <w:szCs w:val="22"/>
                <w:color w:val="auto"/>
                <w:w w:val="89"/>
              </w:rPr>
              <w:t>$319,908</w:t>
            </w:r>
          </w:p>
        </w:tc>
        <w:tc>
          <w:tcPr>
            <w:tcW w:w="0" w:type="dxa"/>
            <w:vAlign w:val="bottom"/>
          </w:tcPr>
          <w:p>
            <w:pPr>
              <w:spacing w:after="0"/>
              <w:rPr>
                <w:sz w:val="1"/>
                <w:szCs w:val="1"/>
                <w:color w:val="auto"/>
              </w:rPr>
            </w:pPr>
          </w:p>
        </w:tc>
      </w:tr>
      <w:tr>
        <w:trPr>
          <w:trHeight w:val="486"/>
        </w:trPr>
        <w:tc>
          <w:tcPr>
            <w:tcW w:w="4140" w:type="dxa"/>
            <w:vAlign w:val="bottom"/>
            <w:gridSpan w:val="2"/>
          </w:tcPr>
          <w:p>
            <w:pPr>
              <w:spacing w:after="0"/>
              <w:rPr>
                <w:sz w:val="20"/>
                <w:szCs w:val="20"/>
                <w:color w:val="auto"/>
              </w:rPr>
            </w:pPr>
            <w:r>
              <w:rPr>
                <w:rFonts w:ascii="Arial" w:cs="Arial" w:eastAsia="Arial" w:hAnsi="Arial"/>
                <w:sz w:val="22"/>
                <w:szCs w:val="22"/>
                <w:color w:val="auto"/>
              </w:rPr>
              <w:t>Costs and expenses:</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4140" w:type="dxa"/>
            <w:vAlign w:val="bottom"/>
            <w:gridSpan w:val="2"/>
          </w:tcPr>
          <w:p>
            <w:pPr>
              <w:ind w:left="120"/>
              <w:spacing w:after="0"/>
              <w:rPr>
                <w:sz w:val="20"/>
                <w:szCs w:val="20"/>
                <w:color w:val="auto"/>
              </w:rPr>
            </w:pPr>
            <w:r>
              <w:rPr>
                <w:rFonts w:ascii="Arial" w:cs="Arial" w:eastAsia="Arial" w:hAnsi="Arial"/>
                <w:sz w:val="22"/>
                <w:szCs w:val="22"/>
                <w:color w:val="auto"/>
              </w:rPr>
              <w:t>Cost of sales</w:t>
            </w:r>
          </w:p>
        </w:tc>
        <w:tc>
          <w:tcPr>
            <w:tcW w:w="1000" w:type="dxa"/>
            <w:vAlign w:val="bottom"/>
          </w:tcPr>
          <w:p>
            <w:pPr>
              <w:jc w:val="right"/>
              <w:spacing w:after="0"/>
              <w:rPr>
                <w:sz w:val="20"/>
                <w:szCs w:val="20"/>
                <w:color w:val="auto"/>
              </w:rPr>
            </w:pPr>
            <w:r>
              <w:rPr>
                <w:rFonts w:ascii="Arial" w:cs="Arial" w:eastAsia="Arial" w:hAnsi="Arial"/>
                <w:sz w:val="22"/>
                <w:szCs w:val="22"/>
                <w:color w:val="auto"/>
              </w:rPr>
              <w:t>(91,813)</w:t>
            </w:r>
          </w:p>
        </w:tc>
        <w:tc>
          <w:tcPr>
            <w:tcW w:w="980" w:type="dxa"/>
            <w:vAlign w:val="bottom"/>
            <w:gridSpan w:val="2"/>
          </w:tcPr>
          <w:p>
            <w:pPr>
              <w:jc w:val="right"/>
              <w:spacing w:after="0"/>
              <w:rPr>
                <w:sz w:val="20"/>
                <w:szCs w:val="20"/>
                <w:color w:val="auto"/>
              </w:rPr>
            </w:pPr>
            <w:r>
              <w:rPr>
                <w:rFonts w:ascii="Arial" w:cs="Arial" w:eastAsia="Arial" w:hAnsi="Arial"/>
                <w:sz w:val="22"/>
                <w:szCs w:val="22"/>
                <w:color w:val="auto"/>
              </w:rPr>
              <w:t>(80,595)</w:t>
            </w: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(264,487)</w:t>
            </w:r>
          </w:p>
        </w:tc>
        <w:tc>
          <w:tcPr>
            <w:tcW w:w="920" w:type="dxa"/>
            <w:vAlign w:val="bottom"/>
            <w:gridSpan w:val="3"/>
          </w:tcPr>
          <w:p>
            <w:pPr>
              <w:jc w:val="right"/>
              <w:spacing w:after="0"/>
              <w:rPr>
                <w:sz w:val="20"/>
                <w:szCs w:val="20"/>
                <w:color w:val="auto"/>
              </w:rPr>
            </w:pPr>
            <w:r>
              <w:rPr>
                <w:rFonts w:ascii="Arial" w:cs="Arial" w:eastAsia="Arial" w:hAnsi="Arial"/>
                <w:sz w:val="22"/>
                <w:szCs w:val="22"/>
                <w:color w:val="auto"/>
                <w:w w:val="93"/>
              </w:rPr>
              <w:t>(240,344)</w:t>
            </w:r>
          </w:p>
        </w:tc>
        <w:tc>
          <w:tcPr>
            <w:tcW w:w="0" w:type="dxa"/>
            <w:vAlign w:val="bottom"/>
          </w:tcPr>
          <w:p>
            <w:pPr>
              <w:spacing w:after="0"/>
              <w:rPr>
                <w:sz w:val="1"/>
                <w:szCs w:val="1"/>
                <w:color w:val="auto"/>
              </w:rPr>
            </w:pPr>
          </w:p>
        </w:tc>
      </w:tr>
      <w:tr>
        <w:trPr>
          <w:trHeight w:val="486"/>
        </w:trPr>
        <w:tc>
          <w:tcPr>
            <w:tcW w:w="4140" w:type="dxa"/>
            <w:vAlign w:val="bottom"/>
            <w:gridSpan w:val="2"/>
          </w:tcPr>
          <w:p>
            <w:pPr>
              <w:ind w:left="120"/>
              <w:spacing w:after="0"/>
              <w:rPr>
                <w:sz w:val="20"/>
                <w:szCs w:val="20"/>
                <w:color w:val="auto"/>
              </w:rPr>
            </w:pPr>
            <w:r>
              <w:rPr>
                <w:rFonts w:ascii="Arial" w:cs="Arial" w:eastAsia="Arial" w:hAnsi="Arial"/>
                <w:sz w:val="22"/>
                <w:szCs w:val="22"/>
                <w:color w:val="auto"/>
              </w:rPr>
              <w:t>Selling, general and administrative</w:t>
            </w:r>
          </w:p>
        </w:tc>
        <w:tc>
          <w:tcPr>
            <w:tcW w:w="1000" w:type="dxa"/>
            <w:vAlign w:val="bottom"/>
          </w:tcPr>
          <w:p>
            <w:pPr>
              <w:jc w:val="right"/>
              <w:spacing w:after="0"/>
              <w:rPr>
                <w:sz w:val="20"/>
                <w:szCs w:val="20"/>
                <w:color w:val="auto"/>
              </w:rPr>
            </w:pPr>
            <w:r>
              <w:rPr>
                <w:rFonts w:ascii="Arial" w:cs="Arial" w:eastAsia="Arial" w:hAnsi="Arial"/>
                <w:sz w:val="22"/>
                <w:szCs w:val="22"/>
                <w:color w:val="auto"/>
              </w:rPr>
              <w:t>(13,741)</w:t>
            </w:r>
          </w:p>
        </w:tc>
        <w:tc>
          <w:tcPr>
            <w:tcW w:w="980" w:type="dxa"/>
            <w:vAlign w:val="bottom"/>
            <w:gridSpan w:val="2"/>
          </w:tcPr>
          <w:p>
            <w:pPr>
              <w:jc w:val="right"/>
              <w:spacing w:after="0"/>
              <w:rPr>
                <w:sz w:val="20"/>
                <w:szCs w:val="20"/>
                <w:color w:val="auto"/>
              </w:rPr>
            </w:pPr>
            <w:r>
              <w:rPr>
                <w:rFonts w:ascii="Arial" w:cs="Arial" w:eastAsia="Arial" w:hAnsi="Arial"/>
                <w:sz w:val="22"/>
                <w:szCs w:val="22"/>
                <w:color w:val="auto"/>
              </w:rPr>
              <w:t>(16,039)</w:t>
            </w: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(43,620)</w:t>
            </w:r>
          </w:p>
        </w:tc>
        <w:tc>
          <w:tcPr>
            <w:tcW w:w="920" w:type="dxa"/>
            <w:vAlign w:val="bottom"/>
            <w:gridSpan w:val="3"/>
          </w:tcPr>
          <w:p>
            <w:pPr>
              <w:jc w:val="right"/>
              <w:spacing w:after="0"/>
              <w:rPr>
                <w:sz w:val="20"/>
                <w:szCs w:val="20"/>
                <w:color w:val="auto"/>
              </w:rPr>
            </w:pPr>
            <w:r>
              <w:rPr>
                <w:rFonts w:ascii="Arial" w:cs="Arial" w:eastAsia="Arial" w:hAnsi="Arial"/>
                <w:sz w:val="22"/>
                <w:szCs w:val="22"/>
                <w:color w:val="auto"/>
              </w:rPr>
              <w:t>(46,922)</w:t>
            </w:r>
          </w:p>
        </w:tc>
        <w:tc>
          <w:tcPr>
            <w:tcW w:w="0" w:type="dxa"/>
            <w:vAlign w:val="bottom"/>
          </w:tcPr>
          <w:p>
            <w:pPr>
              <w:spacing w:after="0"/>
              <w:rPr>
                <w:sz w:val="1"/>
                <w:szCs w:val="1"/>
                <w:color w:val="auto"/>
              </w:rPr>
            </w:pPr>
          </w:p>
        </w:tc>
      </w:tr>
      <w:tr>
        <w:trPr>
          <w:trHeight w:val="486"/>
        </w:trPr>
        <w:tc>
          <w:tcPr>
            <w:tcW w:w="4140" w:type="dxa"/>
            <w:vAlign w:val="bottom"/>
            <w:gridSpan w:val="2"/>
          </w:tcPr>
          <w:p>
            <w:pPr>
              <w:ind w:left="120"/>
              <w:spacing w:after="0"/>
              <w:rPr>
                <w:sz w:val="20"/>
                <w:szCs w:val="20"/>
                <w:color w:val="auto"/>
              </w:rPr>
            </w:pPr>
            <w:r>
              <w:rPr>
                <w:rFonts w:ascii="Arial" w:cs="Arial" w:eastAsia="Arial" w:hAnsi="Arial"/>
                <w:sz w:val="22"/>
                <w:szCs w:val="22"/>
                <w:color w:val="auto"/>
              </w:rPr>
              <w:t>Research and development</w:t>
            </w:r>
          </w:p>
        </w:tc>
        <w:tc>
          <w:tcPr>
            <w:tcW w:w="1000" w:type="dxa"/>
            <w:vAlign w:val="bottom"/>
          </w:tcPr>
          <w:p>
            <w:pPr>
              <w:jc w:val="right"/>
              <w:spacing w:after="0"/>
              <w:rPr>
                <w:sz w:val="20"/>
                <w:szCs w:val="20"/>
                <w:color w:val="auto"/>
              </w:rPr>
            </w:pPr>
            <w:r>
              <w:rPr>
                <w:rFonts w:ascii="Arial" w:cs="Arial" w:eastAsia="Arial" w:hAnsi="Arial"/>
                <w:sz w:val="22"/>
                <w:szCs w:val="22"/>
                <w:color w:val="auto"/>
              </w:rPr>
              <w:t>(4,298)</w:t>
            </w:r>
          </w:p>
        </w:tc>
        <w:tc>
          <w:tcPr>
            <w:tcW w:w="980" w:type="dxa"/>
            <w:vAlign w:val="bottom"/>
            <w:gridSpan w:val="2"/>
          </w:tcPr>
          <w:p>
            <w:pPr>
              <w:jc w:val="right"/>
              <w:spacing w:after="0"/>
              <w:rPr>
                <w:sz w:val="20"/>
                <w:szCs w:val="20"/>
                <w:color w:val="auto"/>
              </w:rPr>
            </w:pPr>
            <w:r>
              <w:rPr>
                <w:rFonts w:ascii="Arial" w:cs="Arial" w:eastAsia="Arial" w:hAnsi="Arial"/>
                <w:sz w:val="22"/>
                <w:szCs w:val="22"/>
                <w:color w:val="auto"/>
              </w:rPr>
              <w:t>(4,241)</w:t>
            </w: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(13,148)</w:t>
            </w:r>
          </w:p>
        </w:tc>
        <w:tc>
          <w:tcPr>
            <w:tcW w:w="920" w:type="dxa"/>
            <w:vAlign w:val="bottom"/>
            <w:gridSpan w:val="3"/>
          </w:tcPr>
          <w:p>
            <w:pPr>
              <w:jc w:val="right"/>
              <w:spacing w:after="0"/>
              <w:rPr>
                <w:sz w:val="20"/>
                <w:szCs w:val="20"/>
                <w:color w:val="auto"/>
              </w:rPr>
            </w:pPr>
            <w:r>
              <w:rPr>
                <w:rFonts w:ascii="Arial" w:cs="Arial" w:eastAsia="Arial" w:hAnsi="Arial"/>
                <w:sz w:val="22"/>
                <w:szCs w:val="22"/>
                <w:color w:val="auto"/>
              </w:rPr>
              <w:t>(13,285)</w:t>
            </w:r>
          </w:p>
        </w:tc>
        <w:tc>
          <w:tcPr>
            <w:tcW w:w="0" w:type="dxa"/>
            <w:vAlign w:val="bottom"/>
          </w:tcPr>
          <w:p>
            <w:pPr>
              <w:spacing w:after="0"/>
              <w:rPr>
                <w:sz w:val="1"/>
                <w:szCs w:val="1"/>
                <w:color w:val="auto"/>
              </w:rPr>
            </w:pPr>
          </w:p>
        </w:tc>
      </w:tr>
      <w:tr>
        <w:trPr>
          <w:trHeight w:val="486"/>
        </w:trPr>
        <w:tc>
          <w:tcPr>
            <w:tcW w:w="4140" w:type="dxa"/>
            <w:vAlign w:val="bottom"/>
            <w:gridSpan w:val="2"/>
          </w:tcPr>
          <w:p>
            <w:pPr>
              <w:ind w:left="120"/>
              <w:spacing w:after="0"/>
              <w:rPr>
                <w:sz w:val="20"/>
                <w:szCs w:val="20"/>
                <w:color w:val="auto"/>
              </w:rPr>
            </w:pPr>
            <w:r>
              <w:rPr>
                <w:rFonts w:ascii="Arial" w:cs="Arial" w:eastAsia="Arial" w:hAnsi="Arial"/>
                <w:sz w:val="22"/>
                <w:szCs w:val="22"/>
                <w:color w:val="auto"/>
              </w:rPr>
              <w:t>Impairment of goodwill</w:t>
            </w:r>
          </w:p>
        </w:tc>
        <w:tc>
          <w:tcPr>
            <w:tcW w:w="1000" w:type="dxa"/>
            <w:vAlign w:val="bottom"/>
          </w:tcPr>
          <w:p>
            <w:pPr>
              <w:jc w:val="right"/>
              <w:spacing w:after="0"/>
              <w:rPr>
                <w:sz w:val="20"/>
                <w:szCs w:val="20"/>
                <w:color w:val="auto"/>
              </w:rPr>
            </w:pPr>
            <w:r>
              <w:rPr>
                <w:rFonts w:ascii="Arial" w:cs="Arial" w:eastAsia="Arial" w:hAnsi="Arial"/>
                <w:sz w:val="22"/>
                <w:szCs w:val="22"/>
                <w:color w:val="auto"/>
              </w:rPr>
              <w:t>(138,534)</w:t>
            </w:r>
          </w:p>
        </w:tc>
        <w:tc>
          <w:tcPr>
            <w:tcW w:w="98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(138,534)</w:t>
            </w:r>
          </w:p>
        </w:tc>
        <w:tc>
          <w:tcPr>
            <w:tcW w:w="920" w:type="dxa"/>
            <w:vAlign w:val="bottom"/>
            <w:gridSpan w:val="3"/>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486"/>
        </w:trPr>
        <w:tc>
          <w:tcPr>
            <w:tcW w:w="4140" w:type="dxa"/>
            <w:vAlign w:val="bottom"/>
            <w:gridSpan w:val="2"/>
          </w:tcPr>
          <w:p>
            <w:pPr>
              <w:ind w:left="120"/>
              <w:spacing w:after="0"/>
              <w:rPr>
                <w:sz w:val="20"/>
                <w:szCs w:val="20"/>
                <w:color w:val="auto"/>
              </w:rPr>
            </w:pPr>
            <w:r>
              <w:rPr>
                <w:rFonts w:ascii="Arial" w:cs="Arial" w:eastAsia="Arial" w:hAnsi="Arial"/>
                <w:sz w:val="22"/>
                <w:szCs w:val="22"/>
                <w:color w:val="auto"/>
              </w:rPr>
              <w:t>Impairment of long-lived assets</w:t>
            </w:r>
          </w:p>
        </w:tc>
        <w:tc>
          <w:tcPr>
            <w:tcW w:w="1000" w:type="dxa"/>
            <w:vAlign w:val="bottom"/>
          </w:tcPr>
          <w:p>
            <w:pPr>
              <w:jc w:val="right"/>
              <w:spacing w:after="0"/>
              <w:rPr>
                <w:sz w:val="20"/>
                <w:szCs w:val="20"/>
                <w:color w:val="auto"/>
              </w:rPr>
            </w:pPr>
            <w:r>
              <w:rPr>
                <w:rFonts w:ascii="Arial" w:cs="Arial" w:eastAsia="Arial" w:hAnsi="Arial"/>
                <w:sz w:val="22"/>
                <w:szCs w:val="22"/>
                <w:color w:val="auto"/>
              </w:rPr>
              <w:t>(66,874)</w:t>
            </w:r>
          </w:p>
        </w:tc>
        <w:tc>
          <w:tcPr>
            <w:tcW w:w="98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(66,874)</w:t>
            </w:r>
          </w:p>
        </w:tc>
        <w:tc>
          <w:tcPr>
            <w:tcW w:w="920" w:type="dxa"/>
            <w:vAlign w:val="bottom"/>
            <w:gridSpan w:val="3"/>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486"/>
        </w:trPr>
        <w:tc>
          <w:tcPr>
            <w:tcW w:w="4140" w:type="dxa"/>
            <w:vAlign w:val="bottom"/>
            <w:gridSpan w:val="2"/>
          </w:tcPr>
          <w:p>
            <w:pPr>
              <w:spacing w:after="0"/>
              <w:rPr>
                <w:sz w:val="20"/>
                <w:szCs w:val="20"/>
                <w:color w:val="auto"/>
              </w:rPr>
            </w:pPr>
            <w:r>
              <w:rPr>
                <w:rFonts w:ascii="Arial" w:cs="Arial" w:eastAsia="Arial" w:hAnsi="Arial"/>
                <w:sz w:val="22"/>
                <w:szCs w:val="22"/>
                <w:color w:val="auto"/>
              </w:rPr>
              <w:t>Gain on sale of facility</w:t>
            </w:r>
          </w:p>
        </w:tc>
        <w:tc>
          <w:tcPr>
            <w:tcW w:w="1000" w:type="dxa"/>
            <w:vAlign w:val="bottom"/>
          </w:tcPr>
          <w:p>
            <w:pPr>
              <w:jc w:val="right"/>
              <w:spacing w:after="0"/>
              <w:rPr>
                <w:sz w:val="20"/>
                <w:szCs w:val="20"/>
                <w:color w:val="auto"/>
              </w:rPr>
            </w:pPr>
            <w:r>
              <w:rPr>
                <w:rFonts w:ascii="Arial" w:cs="Arial" w:eastAsia="Arial" w:hAnsi="Arial"/>
                <w:sz w:val="22"/>
                <w:szCs w:val="22"/>
                <w:color w:val="auto"/>
              </w:rPr>
              <w:t>-</w:t>
            </w:r>
          </w:p>
        </w:tc>
        <w:tc>
          <w:tcPr>
            <w:tcW w:w="98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920" w:type="dxa"/>
            <w:vAlign w:val="bottom"/>
            <w:gridSpan w:val="3"/>
          </w:tcPr>
          <w:p>
            <w:pPr>
              <w:jc w:val="right"/>
              <w:spacing w:after="0"/>
              <w:rPr>
                <w:sz w:val="20"/>
                <w:szCs w:val="20"/>
                <w:color w:val="auto"/>
              </w:rPr>
            </w:pPr>
            <w:r>
              <w:rPr>
                <w:rFonts w:ascii="Arial" w:cs="Arial" w:eastAsia="Arial" w:hAnsi="Arial"/>
                <w:sz w:val="22"/>
                <w:szCs w:val="22"/>
                <w:color w:val="auto"/>
              </w:rPr>
              <w:t>2,254</w:t>
            </w:r>
          </w:p>
        </w:tc>
        <w:tc>
          <w:tcPr>
            <w:tcW w:w="0" w:type="dxa"/>
            <w:vAlign w:val="bottom"/>
          </w:tcPr>
          <w:p>
            <w:pPr>
              <w:spacing w:after="0"/>
              <w:rPr>
                <w:sz w:val="1"/>
                <w:szCs w:val="1"/>
                <w:color w:val="auto"/>
              </w:rPr>
            </w:pPr>
          </w:p>
        </w:tc>
      </w:tr>
      <w:tr>
        <w:trPr>
          <w:trHeight w:val="98"/>
        </w:trPr>
        <w:tc>
          <w:tcPr>
            <w:tcW w:w="4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Borders>
              <w:bottom w:val="single" w:sz="8" w:color="336699"/>
            </w:tcBorders>
          </w:tcPr>
          <w:p>
            <w:pPr>
              <w:spacing w:after="0"/>
              <w:rPr>
                <w:sz w:val="8"/>
                <w:szCs w:val="8"/>
                <w:color w:val="auto"/>
              </w:rPr>
            </w:pPr>
          </w:p>
        </w:tc>
        <w:tc>
          <w:tcPr>
            <w:tcW w:w="0" w:type="dxa"/>
            <w:vAlign w:val="bottom"/>
          </w:tcPr>
          <w:p>
            <w:pPr>
              <w:spacing w:after="0"/>
              <w:rPr>
                <w:sz w:val="1"/>
                <w:szCs w:val="1"/>
                <w:color w:val="auto"/>
              </w:rPr>
            </w:pPr>
          </w:p>
        </w:tc>
      </w:tr>
      <w:tr>
        <w:trPr>
          <w:trHeight w:val="368"/>
        </w:trPr>
        <w:tc>
          <w:tcPr>
            <w:tcW w:w="4140" w:type="dxa"/>
            <w:vAlign w:val="bottom"/>
            <w:gridSpan w:val="2"/>
          </w:tcPr>
          <w:p>
            <w:pPr>
              <w:spacing w:after="0"/>
              <w:rPr>
                <w:sz w:val="20"/>
                <w:szCs w:val="20"/>
                <w:color w:val="auto"/>
              </w:rPr>
            </w:pPr>
            <w:r>
              <w:rPr>
                <w:rFonts w:ascii="Arial" w:cs="Arial" w:eastAsia="Arial" w:hAnsi="Arial"/>
                <w:sz w:val="22"/>
                <w:szCs w:val="22"/>
                <w:color w:val="auto"/>
              </w:rPr>
              <w:t>Operating income (loss)</w:t>
            </w:r>
          </w:p>
        </w:tc>
        <w:tc>
          <w:tcPr>
            <w:tcW w:w="1000" w:type="dxa"/>
            <w:vAlign w:val="bottom"/>
          </w:tcPr>
          <w:p>
            <w:pPr>
              <w:jc w:val="right"/>
              <w:spacing w:after="0"/>
              <w:rPr>
                <w:sz w:val="20"/>
                <w:szCs w:val="20"/>
                <w:color w:val="auto"/>
              </w:rPr>
            </w:pPr>
            <w:r>
              <w:rPr>
                <w:rFonts w:ascii="Arial" w:cs="Arial" w:eastAsia="Arial" w:hAnsi="Arial"/>
                <w:sz w:val="22"/>
                <w:szCs w:val="22"/>
                <w:color w:val="auto"/>
              </w:rPr>
              <w:t>(209,563)</w:t>
            </w:r>
          </w:p>
        </w:tc>
        <w:tc>
          <w:tcPr>
            <w:tcW w:w="980" w:type="dxa"/>
            <w:vAlign w:val="bottom"/>
            <w:gridSpan w:val="2"/>
          </w:tcPr>
          <w:p>
            <w:pPr>
              <w:jc w:val="right"/>
              <w:spacing w:after="0"/>
              <w:rPr>
                <w:sz w:val="20"/>
                <w:szCs w:val="20"/>
                <w:color w:val="auto"/>
              </w:rPr>
            </w:pPr>
            <w:r>
              <w:rPr>
                <w:rFonts w:ascii="Arial" w:cs="Arial" w:eastAsia="Arial" w:hAnsi="Arial"/>
                <w:sz w:val="22"/>
                <w:szCs w:val="22"/>
                <w:color w:val="auto"/>
              </w:rPr>
              <w:t>3,426</w:t>
            </w: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(207,421)</w:t>
            </w:r>
          </w:p>
        </w:tc>
        <w:tc>
          <w:tcPr>
            <w:tcW w:w="920" w:type="dxa"/>
            <w:vAlign w:val="bottom"/>
            <w:gridSpan w:val="3"/>
          </w:tcPr>
          <w:p>
            <w:pPr>
              <w:jc w:val="right"/>
              <w:spacing w:after="0"/>
              <w:rPr>
                <w:sz w:val="20"/>
                <w:szCs w:val="20"/>
                <w:color w:val="auto"/>
              </w:rPr>
            </w:pPr>
            <w:r>
              <w:rPr>
                <w:rFonts w:ascii="Arial" w:cs="Arial" w:eastAsia="Arial" w:hAnsi="Arial"/>
                <w:sz w:val="22"/>
                <w:szCs w:val="22"/>
                <w:color w:val="auto"/>
              </w:rPr>
              <w:t>21,611</w:t>
            </w:r>
          </w:p>
        </w:tc>
        <w:tc>
          <w:tcPr>
            <w:tcW w:w="0" w:type="dxa"/>
            <w:vAlign w:val="bottom"/>
          </w:tcPr>
          <w:p>
            <w:pPr>
              <w:spacing w:after="0"/>
              <w:rPr>
                <w:sz w:val="1"/>
                <w:szCs w:val="1"/>
                <w:color w:val="auto"/>
              </w:rPr>
            </w:pPr>
          </w:p>
        </w:tc>
      </w:tr>
      <w:tr>
        <w:trPr>
          <w:trHeight w:val="455"/>
        </w:trPr>
        <w:tc>
          <w:tcPr>
            <w:tcW w:w="4140" w:type="dxa"/>
            <w:vAlign w:val="bottom"/>
            <w:gridSpan w:val="2"/>
          </w:tcPr>
          <w:p>
            <w:pPr>
              <w:spacing w:after="0"/>
              <w:rPr>
                <w:sz w:val="20"/>
                <w:szCs w:val="20"/>
                <w:color w:val="auto"/>
              </w:rPr>
            </w:pPr>
            <w:r>
              <w:rPr>
                <w:rFonts w:ascii="Arial" w:cs="Arial" w:eastAsia="Arial" w:hAnsi="Arial"/>
                <w:sz w:val="22"/>
                <w:szCs w:val="22"/>
                <w:color w:val="auto"/>
              </w:rPr>
              <w:t>Other income (expense), net</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140" w:type="dxa"/>
            <w:vAlign w:val="bottom"/>
            <w:gridSpan w:val="2"/>
          </w:tcPr>
          <w:p>
            <w:pPr>
              <w:ind w:left="280"/>
              <w:spacing w:after="0" w:line="243" w:lineRule="exact"/>
              <w:rPr>
                <w:sz w:val="20"/>
                <w:szCs w:val="20"/>
                <w:color w:val="auto"/>
              </w:rPr>
            </w:pPr>
            <w:r>
              <w:rPr>
                <w:rFonts w:ascii="Arial" w:cs="Arial" w:eastAsia="Arial" w:hAnsi="Arial"/>
                <w:sz w:val="22"/>
                <w:szCs w:val="22"/>
                <w:color w:val="auto"/>
              </w:rPr>
              <w:t>Interest expense</w:t>
            </w: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(3,295)</w:t>
            </w:r>
          </w:p>
        </w:tc>
        <w:tc>
          <w:tcPr>
            <w:tcW w:w="9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(1,477)</w:t>
            </w:r>
          </w:p>
        </w:tc>
        <w:tc>
          <w:tcPr>
            <w:tcW w:w="10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(8,278)</w:t>
            </w:r>
          </w:p>
        </w:tc>
        <w:tc>
          <w:tcPr>
            <w:tcW w:w="92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(4,509)</w:t>
            </w:r>
          </w:p>
        </w:tc>
        <w:tc>
          <w:tcPr>
            <w:tcW w:w="0" w:type="dxa"/>
            <w:vAlign w:val="bottom"/>
          </w:tcPr>
          <w:p>
            <w:pPr>
              <w:spacing w:after="0"/>
              <w:rPr>
                <w:sz w:val="1"/>
                <w:szCs w:val="1"/>
                <w:color w:val="auto"/>
              </w:rPr>
            </w:pPr>
          </w:p>
        </w:tc>
      </w:tr>
      <w:tr>
        <w:trPr>
          <w:trHeight w:val="275"/>
        </w:trPr>
        <w:tc>
          <w:tcPr>
            <w:tcW w:w="4140" w:type="dxa"/>
            <w:vAlign w:val="bottom"/>
            <w:gridSpan w:val="2"/>
          </w:tcPr>
          <w:p>
            <w:pPr>
              <w:ind w:left="280"/>
              <w:spacing w:after="0"/>
              <w:rPr>
                <w:sz w:val="20"/>
                <w:szCs w:val="20"/>
                <w:color w:val="auto"/>
              </w:rPr>
            </w:pPr>
            <w:r>
              <w:rPr>
                <w:rFonts w:ascii="Arial" w:cs="Arial" w:eastAsia="Arial" w:hAnsi="Arial"/>
                <w:sz w:val="22"/>
                <w:szCs w:val="22"/>
                <w:color w:val="auto"/>
                <w:w w:val="89"/>
              </w:rPr>
              <w:t>Investment and other income (expense), net</w:t>
            </w:r>
          </w:p>
        </w:tc>
        <w:tc>
          <w:tcPr>
            <w:tcW w:w="1000" w:type="dxa"/>
            <w:vAlign w:val="bottom"/>
          </w:tcPr>
          <w:p>
            <w:pPr>
              <w:jc w:val="right"/>
              <w:spacing w:after="0"/>
              <w:rPr>
                <w:sz w:val="20"/>
                <w:szCs w:val="20"/>
                <w:color w:val="auto"/>
              </w:rPr>
            </w:pPr>
            <w:r>
              <w:rPr>
                <w:rFonts w:ascii="Arial" w:cs="Arial" w:eastAsia="Arial" w:hAnsi="Arial"/>
                <w:sz w:val="22"/>
                <w:szCs w:val="22"/>
                <w:color w:val="auto"/>
              </w:rPr>
              <w:t>720</w:t>
            </w:r>
          </w:p>
        </w:tc>
        <w:tc>
          <w:tcPr>
            <w:tcW w:w="980" w:type="dxa"/>
            <w:vAlign w:val="bottom"/>
            <w:gridSpan w:val="2"/>
          </w:tcPr>
          <w:p>
            <w:pPr>
              <w:jc w:val="right"/>
              <w:spacing w:after="0"/>
              <w:rPr>
                <w:sz w:val="20"/>
                <w:szCs w:val="20"/>
                <w:color w:val="auto"/>
              </w:rPr>
            </w:pPr>
            <w:r>
              <w:rPr>
                <w:rFonts w:ascii="Arial" w:cs="Arial" w:eastAsia="Arial" w:hAnsi="Arial"/>
                <w:sz w:val="22"/>
                <w:szCs w:val="22"/>
                <w:color w:val="auto"/>
              </w:rPr>
              <w:t>2,344</w:t>
            </w: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1,938</w:t>
            </w:r>
          </w:p>
        </w:tc>
        <w:tc>
          <w:tcPr>
            <w:tcW w:w="920" w:type="dxa"/>
            <w:vAlign w:val="bottom"/>
            <w:gridSpan w:val="3"/>
          </w:tcPr>
          <w:p>
            <w:pPr>
              <w:jc w:val="right"/>
              <w:spacing w:after="0"/>
              <w:rPr>
                <w:sz w:val="20"/>
                <w:szCs w:val="20"/>
                <w:color w:val="auto"/>
              </w:rPr>
            </w:pPr>
            <w:r>
              <w:rPr>
                <w:rFonts w:ascii="Arial" w:cs="Arial" w:eastAsia="Arial" w:hAnsi="Arial"/>
                <w:sz w:val="22"/>
                <w:szCs w:val="22"/>
                <w:color w:val="auto"/>
              </w:rPr>
              <w:t>5,521</w:t>
            </w:r>
          </w:p>
        </w:tc>
        <w:tc>
          <w:tcPr>
            <w:tcW w:w="0" w:type="dxa"/>
            <w:vAlign w:val="bottom"/>
          </w:tcPr>
          <w:p>
            <w:pPr>
              <w:spacing w:after="0"/>
              <w:rPr>
                <w:sz w:val="1"/>
                <w:szCs w:val="1"/>
                <w:color w:val="auto"/>
              </w:rPr>
            </w:pPr>
          </w:p>
        </w:tc>
      </w:tr>
      <w:tr>
        <w:trPr>
          <w:trHeight w:val="98"/>
        </w:trPr>
        <w:tc>
          <w:tcPr>
            <w:tcW w:w="4140" w:type="dxa"/>
            <w:vAlign w:val="bottom"/>
            <w:gridSpan w:val="2"/>
            <w:vMerge w:val="restart"/>
          </w:tcPr>
          <w:p>
            <w:pPr>
              <w:ind w:left="280"/>
              <w:spacing w:after="0"/>
              <w:rPr>
                <w:sz w:val="20"/>
                <w:szCs w:val="20"/>
                <w:color w:val="auto"/>
              </w:rPr>
            </w:pPr>
            <w:r>
              <w:rPr>
                <w:rFonts w:ascii="Arial" w:cs="Arial" w:eastAsia="Arial" w:hAnsi="Arial"/>
                <w:sz w:val="22"/>
                <w:szCs w:val="22"/>
                <w:color w:val="auto"/>
              </w:rPr>
              <w:t>Income (loss) before income taxes</w:t>
            </w:r>
          </w:p>
        </w:tc>
        <w:tc>
          <w:tcPr>
            <w:tcW w:w="100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Borders>
              <w:bottom w:val="single" w:sz="8" w:color="336699"/>
            </w:tcBorders>
          </w:tcPr>
          <w:p>
            <w:pPr>
              <w:spacing w:after="0"/>
              <w:rPr>
                <w:sz w:val="8"/>
                <w:szCs w:val="8"/>
                <w:color w:val="auto"/>
              </w:rPr>
            </w:pPr>
          </w:p>
        </w:tc>
        <w:tc>
          <w:tcPr>
            <w:tcW w:w="0" w:type="dxa"/>
            <w:vAlign w:val="bottom"/>
          </w:tcPr>
          <w:p>
            <w:pPr>
              <w:spacing w:after="0"/>
              <w:rPr>
                <w:sz w:val="1"/>
                <w:szCs w:val="1"/>
                <w:color w:val="auto"/>
              </w:rPr>
            </w:pPr>
          </w:p>
        </w:tc>
      </w:tr>
      <w:tr>
        <w:trPr>
          <w:trHeight w:val="337"/>
        </w:trPr>
        <w:tc>
          <w:tcPr>
            <w:tcW w:w="4140" w:type="dxa"/>
            <w:vAlign w:val="bottom"/>
            <w:gridSpan w:val="2"/>
            <w:vMerge w:val="continue"/>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4140" w:type="dxa"/>
            <w:vAlign w:val="bottom"/>
            <w:gridSpan w:val="2"/>
          </w:tcPr>
          <w:p>
            <w:pPr>
              <w:ind w:left="340"/>
              <w:spacing w:after="0"/>
              <w:rPr>
                <w:sz w:val="20"/>
                <w:szCs w:val="20"/>
                <w:color w:val="auto"/>
              </w:rPr>
            </w:pPr>
            <w:r>
              <w:rPr>
                <w:rFonts w:ascii="Arial" w:cs="Arial" w:eastAsia="Arial" w:hAnsi="Arial"/>
                <w:sz w:val="22"/>
                <w:szCs w:val="22"/>
                <w:color w:val="auto"/>
              </w:rPr>
              <w:t>and minority interest</w:t>
            </w:r>
          </w:p>
        </w:tc>
        <w:tc>
          <w:tcPr>
            <w:tcW w:w="1000" w:type="dxa"/>
            <w:vAlign w:val="bottom"/>
          </w:tcPr>
          <w:p>
            <w:pPr>
              <w:jc w:val="right"/>
              <w:spacing w:after="0"/>
              <w:rPr>
                <w:sz w:val="20"/>
                <w:szCs w:val="20"/>
                <w:color w:val="auto"/>
              </w:rPr>
            </w:pPr>
            <w:r>
              <w:rPr>
                <w:rFonts w:ascii="Arial" w:cs="Arial" w:eastAsia="Arial" w:hAnsi="Arial"/>
                <w:sz w:val="22"/>
                <w:szCs w:val="22"/>
                <w:color w:val="auto"/>
              </w:rPr>
              <w:t>(212,138)</w:t>
            </w:r>
          </w:p>
        </w:tc>
        <w:tc>
          <w:tcPr>
            <w:tcW w:w="980" w:type="dxa"/>
            <w:vAlign w:val="bottom"/>
            <w:gridSpan w:val="2"/>
          </w:tcPr>
          <w:p>
            <w:pPr>
              <w:jc w:val="right"/>
              <w:spacing w:after="0"/>
              <w:rPr>
                <w:sz w:val="20"/>
                <w:szCs w:val="20"/>
                <w:color w:val="auto"/>
              </w:rPr>
            </w:pPr>
            <w:r>
              <w:rPr>
                <w:rFonts w:ascii="Arial" w:cs="Arial" w:eastAsia="Arial" w:hAnsi="Arial"/>
                <w:sz w:val="22"/>
                <w:szCs w:val="22"/>
                <w:color w:val="auto"/>
              </w:rPr>
              <w:t>4,293</w:t>
            </w: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(213,761)</w:t>
            </w:r>
          </w:p>
        </w:tc>
        <w:tc>
          <w:tcPr>
            <w:tcW w:w="920" w:type="dxa"/>
            <w:vAlign w:val="bottom"/>
            <w:gridSpan w:val="3"/>
          </w:tcPr>
          <w:p>
            <w:pPr>
              <w:jc w:val="right"/>
              <w:spacing w:after="0"/>
              <w:rPr>
                <w:sz w:val="20"/>
                <w:szCs w:val="20"/>
                <w:color w:val="auto"/>
              </w:rPr>
            </w:pPr>
            <w:r>
              <w:rPr>
                <w:rFonts w:ascii="Arial" w:cs="Arial" w:eastAsia="Arial" w:hAnsi="Arial"/>
                <w:sz w:val="22"/>
                <w:szCs w:val="22"/>
                <w:color w:val="auto"/>
              </w:rPr>
              <w:t>22,623</w:t>
            </w:r>
          </w:p>
        </w:tc>
        <w:tc>
          <w:tcPr>
            <w:tcW w:w="0" w:type="dxa"/>
            <w:vAlign w:val="bottom"/>
          </w:tcPr>
          <w:p>
            <w:pPr>
              <w:spacing w:after="0"/>
              <w:rPr>
                <w:sz w:val="1"/>
                <w:szCs w:val="1"/>
                <w:color w:val="auto"/>
              </w:rPr>
            </w:pPr>
          </w:p>
        </w:tc>
      </w:tr>
      <w:tr>
        <w:trPr>
          <w:trHeight w:val="486"/>
        </w:trPr>
        <w:tc>
          <w:tcPr>
            <w:tcW w:w="4140" w:type="dxa"/>
            <w:vAlign w:val="bottom"/>
            <w:gridSpan w:val="2"/>
          </w:tcPr>
          <w:p>
            <w:pPr>
              <w:spacing w:after="0"/>
              <w:rPr>
                <w:sz w:val="20"/>
                <w:szCs w:val="20"/>
                <w:color w:val="auto"/>
              </w:rPr>
            </w:pPr>
            <w:r>
              <w:rPr>
                <w:rFonts w:ascii="Arial" w:cs="Arial" w:eastAsia="Arial" w:hAnsi="Arial"/>
                <w:sz w:val="22"/>
                <w:szCs w:val="22"/>
                <w:color w:val="auto"/>
              </w:rPr>
              <w:t>Income tax benefit (provision)</w:t>
            </w:r>
          </w:p>
        </w:tc>
        <w:tc>
          <w:tcPr>
            <w:tcW w:w="1000" w:type="dxa"/>
            <w:vAlign w:val="bottom"/>
          </w:tcPr>
          <w:p>
            <w:pPr>
              <w:jc w:val="right"/>
              <w:spacing w:after="0"/>
              <w:rPr>
                <w:sz w:val="20"/>
                <w:szCs w:val="20"/>
                <w:color w:val="auto"/>
              </w:rPr>
            </w:pPr>
            <w:r>
              <w:rPr>
                <w:rFonts w:ascii="Arial" w:cs="Arial" w:eastAsia="Arial" w:hAnsi="Arial"/>
                <w:sz w:val="22"/>
                <w:szCs w:val="22"/>
                <w:color w:val="auto"/>
              </w:rPr>
              <w:t>7,020</w:t>
            </w:r>
          </w:p>
        </w:tc>
        <w:tc>
          <w:tcPr>
            <w:tcW w:w="980" w:type="dxa"/>
            <w:vAlign w:val="bottom"/>
            <w:gridSpan w:val="2"/>
          </w:tcPr>
          <w:p>
            <w:pPr>
              <w:jc w:val="right"/>
              <w:spacing w:after="0"/>
              <w:rPr>
                <w:sz w:val="20"/>
                <w:szCs w:val="20"/>
                <w:color w:val="auto"/>
              </w:rPr>
            </w:pPr>
            <w:r>
              <w:rPr>
                <w:rFonts w:ascii="Arial" w:cs="Arial" w:eastAsia="Arial" w:hAnsi="Arial"/>
                <w:sz w:val="22"/>
                <w:szCs w:val="22"/>
                <w:color w:val="auto"/>
              </w:rPr>
              <w:t>(1,126)</w:t>
            </w: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4,216</w:t>
            </w:r>
          </w:p>
        </w:tc>
        <w:tc>
          <w:tcPr>
            <w:tcW w:w="920" w:type="dxa"/>
            <w:vAlign w:val="bottom"/>
            <w:gridSpan w:val="3"/>
          </w:tcPr>
          <w:p>
            <w:pPr>
              <w:jc w:val="right"/>
              <w:spacing w:after="0"/>
              <w:rPr>
                <w:sz w:val="20"/>
                <w:szCs w:val="20"/>
                <w:color w:val="auto"/>
              </w:rPr>
            </w:pPr>
            <w:r>
              <w:rPr>
                <w:rFonts w:ascii="Arial" w:cs="Arial" w:eastAsia="Arial" w:hAnsi="Arial"/>
                <w:sz w:val="22"/>
                <w:szCs w:val="22"/>
                <w:color w:val="auto"/>
              </w:rPr>
              <w:t>3,962</w:t>
            </w:r>
          </w:p>
        </w:tc>
        <w:tc>
          <w:tcPr>
            <w:tcW w:w="0" w:type="dxa"/>
            <w:vAlign w:val="bottom"/>
          </w:tcPr>
          <w:p>
            <w:pPr>
              <w:spacing w:after="0"/>
              <w:rPr>
                <w:sz w:val="1"/>
                <w:szCs w:val="1"/>
                <w:color w:val="auto"/>
              </w:rPr>
            </w:pPr>
          </w:p>
        </w:tc>
      </w:tr>
      <w:tr>
        <w:trPr>
          <w:trHeight w:val="98"/>
        </w:trPr>
        <w:tc>
          <w:tcPr>
            <w:tcW w:w="4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Borders>
              <w:bottom w:val="single" w:sz="8" w:color="336699"/>
            </w:tcBorders>
          </w:tcPr>
          <w:p>
            <w:pPr>
              <w:spacing w:after="0"/>
              <w:rPr>
                <w:sz w:val="8"/>
                <w:szCs w:val="8"/>
                <w:color w:val="auto"/>
              </w:rPr>
            </w:pPr>
          </w:p>
        </w:tc>
        <w:tc>
          <w:tcPr>
            <w:tcW w:w="0" w:type="dxa"/>
            <w:vAlign w:val="bottom"/>
          </w:tcPr>
          <w:p>
            <w:pPr>
              <w:spacing w:after="0"/>
              <w:rPr>
                <w:sz w:val="1"/>
                <w:szCs w:val="1"/>
                <w:color w:val="auto"/>
              </w:rPr>
            </w:pPr>
          </w:p>
        </w:tc>
      </w:tr>
      <w:tr>
        <w:trPr>
          <w:trHeight w:val="368"/>
        </w:trPr>
        <w:tc>
          <w:tcPr>
            <w:tcW w:w="4140" w:type="dxa"/>
            <w:vAlign w:val="bottom"/>
            <w:gridSpan w:val="2"/>
          </w:tcPr>
          <w:p>
            <w:pPr>
              <w:ind w:left="280"/>
              <w:spacing w:after="0"/>
              <w:rPr>
                <w:sz w:val="20"/>
                <w:szCs w:val="20"/>
                <w:color w:val="auto"/>
              </w:rPr>
            </w:pPr>
            <w:r>
              <w:rPr>
                <w:rFonts w:ascii="Arial" w:cs="Arial" w:eastAsia="Arial" w:hAnsi="Arial"/>
                <w:sz w:val="22"/>
                <w:szCs w:val="22"/>
                <w:color w:val="auto"/>
              </w:rPr>
              <w:t>Income (loss) before minority interest</w:t>
            </w:r>
          </w:p>
        </w:tc>
        <w:tc>
          <w:tcPr>
            <w:tcW w:w="1000" w:type="dxa"/>
            <w:vAlign w:val="bottom"/>
          </w:tcPr>
          <w:p>
            <w:pPr>
              <w:jc w:val="right"/>
              <w:spacing w:after="0"/>
              <w:rPr>
                <w:sz w:val="20"/>
                <w:szCs w:val="20"/>
                <w:color w:val="auto"/>
              </w:rPr>
            </w:pPr>
            <w:r>
              <w:rPr>
                <w:rFonts w:ascii="Arial" w:cs="Arial" w:eastAsia="Arial" w:hAnsi="Arial"/>
                <w:sz w:val="22"/>
                <w:szCs w:val="22"/>
                <w:color w:val="auto"/>
              </w:rPr>
              <w:t>(205,118)</w:t>
            </w:r>
          </w:p>
        </w:tc>
        <w:tc>
          <w:tcPr>
            <w:tcW w:w="980" w:type="dxa"/>
            <w:vAlign w:val="bottom"/>
            <w:gridSpan w:val="2"/>
          </w:tcPr>
          <w:p>
            <w:pPr>
              <w:jc w:val="right"/>
              <w:spacing w:after="0"/>
              <w:rPr>
                <w:sz w:val="20"/>
                <w:szCs w:val="20"/>
                <w:color w:val="auto"/>
              </w:rPr>
            </w:pPr>
            <w:r>
              <w:rPr>
                <w:rFonts w:ascii="Arial" w:cs="Arial" w:eastAsia="Arial" w:hAnsi="Arial"/>
                <w:sz w:val="22"/>
                <w:szCs w:val="22"/>
                <w:color w:val="auto"/>
              </w:rPr>
              <w:t>3,167</w:t>
            </w: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(209,545)</w:t>
            </w:r>
          </w:p>
        </w:tc>
        <w:tc>
          <w:tcPr>
            <w:tcW w:w="920" w:type="dxa"/>
            <w:vAlign w:val="bottom"/>
            <w:gridSpan w:val="3"/>
          </w:tcPr>
          <w:p>
            <w:pPr>
              <w:jc w:val="right"/>
              <w:spacing w:after="0"/>
              <w:rPr>
                <w:sz w:val="20"/>
                <w:szCs w:val="20"/>
                <w:color w:val="auto"/>
              </w:rPr>
            </w:pPr>
            <w:r>
              <w:rPr>
                <w:rFonts w:ascii="Arial" w:cs="Arial" w:eastAsia="Arial" w:hAnsi="Arial"/>
                <w:sz w:val="22"/>
                <w:szCs w:val="22"/>
                <w:color w:val="auto"/>
              </w:rPr>
              <w:t>26,585</w:t>
            </w:r>
          </w:p>
        </w:tc>
        <w:tc>
          <w:tcPr>
            <w:tcW w:w="0" w:type="dxa"/>
            <w:vAlign w:val="bottom"/>
          </w:tcPr>
          <w:p>
            <w:pPr>
              <w:spacing w:after="0"/>
              <w:rPr>
                <w:sz w:val="1"/>
                <w:szCs w:val="1"/>
                <w:color w:val="auto"/>
              </w:rPr>
            </w:pPr>
          </w:p>
        </w:tc>
      </w:tr>
      <w:tr>
        <w:trPr>
          <w:trHeight w:val="486"/>
        </w:trPr>
        <w:tc>
          <w:tcPr>
            <w:tcW w:w="4140" w:type="dxa"/>
            <w:vAlign w:val="bottom"/>
            <w:gridSpan w:val="2"/>
          </w:tcPr>
          <w:p>
            <w:pPr>
              <w:spacing w:after="0"/>
              <w:rPr>
                <w:sz w:val="20"/>
                <w:szCs w:val="20"/>
                <w:color w:val="auto"/>
              </w:rPr>
            </w:pPr>
            <w:r>
              <w:rPr>
                <w:rFonts w:ascii="Arial" w:cs="Arial" w:eastAsia="Arial" w:hAnsi="Arial"/>
                <w:sz w:val="22"/>
                <w:szCs w:val="22"/>
                <w:color w:val="auto"/>
              </w:rPr>
              <w:t>Minority interest</w:t>
            </w:r>
          </w:p>
        </w:tc>
        <w:tc>
          <w:tcPr>
            <w:tcW w:w="1000" w:type="dxa"/>
            <w:vAlign w:val="bottom"/>
          </w:tcPr>
          <w:p>
            <w:pPr>
              <w:jc w:val="right"/>
              <w:spacing w:after="0"/>
              <w:rPr>
                <w:sz w:val="20"/>
                <w:szCs w:val="20"/>
                <w:color w:val="auto"/>
              </w:rPr>
            </w:pPr>
            <w:r>
              <w:rPr>
                <w:rFonts w:ascii="Arial" w:cs="Arial" w:eastAsia="Arial" w:hAnsi="Arial"/>
                <w:sz w:val="22"/>
                <w:szCs w:val="22"/>
                <w:color w:val="auto"/>
              </w:rPr>
              <w:t>(474)</w:t>
            </w:r>
          </w:p>
        </w:tc>
        <w:tc>
          <w:tcPr>
            <w:tcW w:w="980" w:type="dxa"/>
            <w:vAlign w:val="bottom"/>
            <w:gridSpan w:val="2"/>
          </w:tcPr>
          <w:p>
            <w:pPr>
              <w:jc w:val="right"/>
              <w:spacing w:after="0"/>
              <w:rPr>
                <w:sz w:val="20"/>
                <w:szCs w:val="20"/>
                <w:color w:val="auto"/>
              </w:rPr>
            </w:pPr>
            <w:r>
              <w:rPr>
                <w:rFonts w:ascii="Arial" w:cs="Arial" w:eastAsia="Arial" w:hAnsi="Arial"/>
                <w:sz w:val="22"/>
                <w:szCs w:val="22"/>
                <w:color w:val="auto"/>
              </w:rPr>
              <w:t>(929)</w:t>
            </w: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(1,456)</w:t>
            </w:r>
          </w:p>
        </w:tc>
        <w:tc>
          <w:tcPr>
            <w:tcW w:w="920" w:type="dxa"/>
            <w:vAlign w:val="bottom"/>
            <w:gridSpan w:val="3"/>
          </w:tcPr>
          <w:p>
            <w:pPr>
              <w:jc w:val="right"/>
              <w:spacing w:after="0"/>
              <w:rPr>
                <w:sz w:val="20"/>
                <w:szCs w:val="20"/>
                <w:color w:val="auto"/>
              </w:rPr>
            </w:pPr>
            <w:r>
              <w:rPr>
                <w:rFonts w:ascii="Arial" w:cs="Arial" w:eastAsia="Arial" w:hAnsi="Arial"/>
                <w:sz w:val="22"/>
                <w:szCs w:val="22"/>
                <w:color w:val="auto"/>
              </w:rPr>
              <w:t>(2,424)</w:t>
            </w:r>
          </w:p>
        </w:tc>
        <w:tc>
          <w:tcPr>
            <w:tcW w:w="0" w:type="dxa"/>
            <w:vAlign w:val="bottom"/>
          </w:tcPr>
          <w:p>
            <w:pPr>
              <w:spacing w:after="0"/>
              <w:rPr>
                <w:sz w:val="1"/>
                <w:szCs w:val="1"/>
                <w:color w:val="auto"/>
              </w:rPr>
            </w:pPr>
          </w:p>
        </w:tc>
      </w:tr>
      <w:tr>
        <w:trPr>
          <w:trHeight w:val="98"/>
        </w:trPr>
        <w:tc>
          <w:tcPr>
            <w:tcW w:w="4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Borders>
              <w:bottom w:val="single" w:sz="8" w:color="336699"/>
            </w:tcBorders>
          </w:tcPr>
          <w:p>
            <w:pPr>
              <w:spacing w:after="0"/>
              <w:rPr>
                <w:sz w:val="8"/>
                <w:szCs w:val="8"/>
                <w:color w:val="auto"/>
              </w:rPr>
            </w:pPr>
          </w:p>
        </w:tc>
        <w:tc>
          <w:tcPr>
            <w:tcW w:w="0" w:type="dxa"/>
            <w:vAlign w:val="bottom"/>
          </w:tcPr>
          <w:p>
            <w:pPr>
              <w:spacing w:after="0"/>
              <w:rPr>
                <w:sz w:val="1"/>
                <w:szCs w:val="1"/>
                <w:color w:val="auto"/>
              </w:rPr>
            </w:pPr>
          </w:p>
        </w:tc>
      </w:tr>
      <w:tr>
        <w:trPr>
          <w:trHeight w:val="368"/>
        </w:trPr>
        <w:tc>
          <w:tcPr>
            <w:tcW w:w="4140" w:type="dxa"/>
            <w:vAlign w:val="bottom"/>
            <w:gridSpan w:val="2"/>
          </w:tcPr>
          <w:p>
            <w:pPr>
              <w:spacing w:after="0"/>
              <w:rPr>
                <w:sz w:val="20"/>
                <w:szCs w:val="20"/>
                <w:color w:val="auto"/>
              </w:rPr>
            </w:pPr>
            <w:r>
              <w:rPr>
                <w:rFonts w:ascii="Arial" w:cs="Arial" w:eastAsia="Arial" w:hAnsi="Arial"/>
                <w:sz w:val="22"/>
                <w:szCs w:val="22"/>
                <w:color w:val="auto"/>
              </w:rPr>
              <w:t>Net income (loss)</w:t>
            </w:r>
          </w:p>
        </w:tc>
        <w:tc>
          <w:tcPr>
            <w:tcW w:w="1000" w:type="dxa"/>
            <w:vAlign w:val="bottom"/>
          </w:tcPr>
          <w:p>
            <w:pPr>
              <w:jc w:val="right"/>
              <w:spacing w:after="0"/>
              <w:rPr>
                <w:sz w:val="20"/>
                <w:szCs w:val="20"/>
                <w:color w:val="auto"/>
              </w:rPr>
            </w:pPr>
            <w:r>
              <w:rPr>
                <w:rFonts w:ascii="Arial" w:cs="Arial" w:eastAsia="Arial" w:hAnsi="Arial"/>
                <w:sz w:val="22"/>
                <w:szCs w:val="22"/>
                <w:color w:val="auto"/>
                <w:w w:val="90"/>
              </w:rPr>
              <w:t>$(205,592)</w:t>
            </w:r>
          </w:p>
        </w:tc>
        <w:tc>
          <w:tcPr>
            <w:tcW w:w="980" w:type="dxa"/>
            <w:vAlign w:val="bottom"/>
            <w:gridSpan w:val="2"/>
          </w:tcPr>
          <w:p>
            <w:pPr>
              <w:jc w:val="right"/>
              <w:spacing w:after="0"/>
              <w:rPr>
                <w:sz w:val="20"/>
                <w:szCs w:val="20"/>
                <w:color w:val="auto"/>
              </w:rPr>
            </w:pPr>
            <w:r>
              <w:rPr>
                <w:rFonts w:ascii="Arial" w:cs="Arial" w:eastAsia="Arial" w:hAnsi="Arial"/>
                <w:sz w:val="22"/>
                <w:szCs w:val="22"/>
                <w:color w:val="auto"/>
              </w:rPr>
              <w:t>$2,238</w:t>
            </w: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w w:val="90"/>
              </w:rPr>
              <w:t>$(211,001)</w:t>
            </w:r>
          </w:p>
        </w:tc>
        <w:tc>
          <w:tcPr>
            <w:tcW w:w="920" w:type="dxa"/>
            <w:vAlign w:val="bottom"/>
            <w:gridSpan w:val="3"/>
          </w:tcPr>
          <w:p>
            <w:pPr>
              <w:jc w:val="right"/>
              <w:spacing w:after="0"/>
              <w:rPr>
                <w:sz w:val="20"/>
                <w:szCs w:val="20"/>
                <w:color w:val="auto"/>
              </w:rPr>
            </w:pPr>
            <w:r>
              <w:rPr>
                <w:rFonts w:ascii="Arial" w:cs="Arial" w:eastAsia="Arial" w:hAnsi="Arial"/>
                <w:sz w:val="22"/>
                <w:szCs w:val="22"/>
                <w:color w:val="auto"/>
              </w:rPr>
              <w:t>$24,161</w:t>
            </w:r>
          </w:p>
        </w:tc>
        <w:tc>
          <w:tcPr>
            <w:tcW w:w="0" w:type="dxa"/>
            <w:vAlign w:val="bottom"/>
          </w:tcPr>
          <w:p>
            <w:pPr>
              <w:spacing w:after="0"/>
              <w:rPr>
                <w:sz w:val="1"/>
                <w:szCs w:val="1"/>
                <w:color w:val="auto"/>
              </w:rPr>
            </w:pPr>
          </w:p>
        </w:tc>
      </w:tr>
      <w:tr>
        <w:trPr>
          <w:trHeight w:val="122"/>
        </w:trPr>
        <w:tc>
          <w:tcPr>
            <w:tcW w:w="412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1000" w:type="dxa"/>
            <w:vAlign w:val="bottom"/>
            <w:tcBorders>
              <w:bottom w:val="single" w:sz="8" w:color="336699"/>
            </w:tcBorders>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Borders>
              <w:bottom w:val="single" w:sz="8" w:color="336699"/>
            </w:tcBorders>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Borders>
              <w:bottom w:val="single" w:sz="8" w:color="336699"/>
            </w:tcBorders>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tcBorders>
              <w:bottom w:val="single" w:sz="8" w:color="336699"/>
            </w:tcBorders>
          </w:tcPr>
          <w:p>
            <w:pPr>
              <w:spacing w:after="0"/>
              <w:rPr>
                <w:sz w:val="10"/>
                <w:szCs w:val="10"/>
                <w:color w:val="auto"/>
              </w:rPr>
            </w:pPr>
          </w:p>
        </w:tc>
        <w:tc>
          <w:tcPr>
            <w:tcW w:w="0" w:type="dxa"/>
            <w:vAlign w:val="bottom"/>
          </w:tcPr>
          <w:p>
            <w:pPr>
              <w:spacing w:after="0"/>
              <w:rPr>
                <w:sz w:val="1"/>
                <w:szCs w:val="1"/>
                <w:color w:val="auto"/>
              </w:rPr>
            </w:pPr>
          </w:p>
        </w:tc>
      </w:tr>
      <w:tr>
        <w:trPr>
          <w:trHeight w:val="358"/>
        </w:trPr>
        <w:tc>
          <w:tcPr>
            <w:tcW w:w="4140" w:type="dxa"/>
            <w:vAlign w:val="bottom"/>
            <w:gridSpan w:val="2"/>
          </w:tcPr>
          <w:p>
            <w:pPr>
              <w:spacing w:after="0"/>
              <w:rPr>
                <w:sz w:val="20"/>
                <w:szCs w:val="20"/>
                <w:color w:val="auto"/>
              </w:rPr>
            </w:pPr>
            <w:r>
              <w:rPr>
                <w:rFonts w:ascii="Arial" w:cs="Arial" w:eastAsia="Arial" w:hAnsi="Arial"/>
                <w:sz w:val="22"/>
                <w:szCs w:val="22"/>
                <w:color w:val="auto"/>
              </w:rPr>
              <w:t>Earnings (loss) per share:</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4140" w:type="dxa"/>
            <w:vAlign w:val="bottom"/>
            <w:gridSpan w:val="2"/>
          </w:tcPr>
          <w:p>
            <w:pPr>
              <w:ind w:left="280"/>
              <w:spacing w:after="0"/>
              <w:rPr>
                <w:sz w:val="20"/>
                <w:szCs w:val="20"/>
                <w:color w:val="auto"/>
              </w:rPr>
            </w:pPr>
            <w:r>
              <w:rPr>
                <w:rFonts w:ascii="Arial" w:cs="Arial" w:eastAsia="Arial" w:hAnsi="Arial"/>
                <w:sz w:val="22"/>
                <w:szCs w:val="22"/>
                <w:color w:val="auto"/>
              </w:rPr>
              <w:t>Basic</w:t>
            </w:r>
          </w:p>
        </w:tc>
        <w:tc>
          <w:tcPr>
            <w:tcW w:w="1000" w:type="dxa"/>
            <w:vAlign w:val="bottom"/>
          </w:tcPr>
          <w:p>
            <w:pPr>
              <w:jc w:val="right"/>
              <w:spacing w:after="0"/>
              <w:rPr>
                <w:sz w:val="20"/>
                <w:szCs w:val="20"/>
                <w:color w:val="auto"/>
              </w:rPr>
            </w:pPr>
            <w:r>
              <w:rPr>
                <w:rFonts w:ascii="Arial" w:cs="Arial" w:eastAsia="Arial" w:hAnsi="Arial"/>
                <w:sz w:val="22"/>
                <w:szCs w:val="22"/>
                <w:color w:val="auto"/>
              </w:rPr>
              <w:t>$(4.93)</w:t>
            </w:r>
          </w:p>
        </w:tc>
        <w:tc>
          <w:tcPr>
            <w:tcW w:w="980" w:type="dxa"/>
            <w:vAlign w:val="bottom"/>
            <w:gridSpan w:val="2"/>
          </w:tcPr>
          <w:p>
            <w:pPr>
              <w:jc w:val="right"/>
              <w:spacing w:after="0"/>
              <w:rPr>
                <w:sz w:val="20"/>
                <w:szCs w:val="20"/>
                <w:color w:val="auto"/>
              </w:rPr>
            </w:pPr>
            <w:r>
              <w:rPr>
                <w:rFonts w:ascii="Arial" w:cs="Arial" w:eastAsia="Arial" w:hAnsi="Arial"/>
                <w:sz w:val="22"/>
                <w:szCs w:val="22"/>
                <w:color w:val="auto"/>
              </w:rPr>
              <w:t>$0.05</w:t>
            </w: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$(5.07)</w:t>
            </w:r>
          </w:p>
        </w:tc>
        <w:tc>
          <w:tcPr>
            <w:tcW w:w="920" w:type="dxa"/>
            <w:vAlign w:val="bottom"/>
            <w:gridSpan w:val="3"/>
          </w:tcPr>
          <w:p>
            <w:pPr>
              <w:jc w:val="right"/>
              <w:spacing w:after="0"/>
              <w:rPr>
                <w:sz w:val="20"/>
                <w:szCs w:val="20"/>
                <w:color w:val="auto"/>
              </w:rPr>
            </w:pPr>
            <w:r>
              <w:rPr>
                <w:rFonts w:ascii="Arial" w:cs="Arial" w:eastAsia="Arial" w:hAnsi="Arial"/>
                <w:sz w:val="22"/>
                <w:szCs w:val="22"/>
                <w:color w:val="auto"/>
              </w:rPr>
              <w:t>$0.58</w:t>
            </w:r>
          </w:p>
        </w:tc>
        <w:tc>
          <w:tcPr>
            <w:tcW w:w="0" w:type="dxa"/>
            <w:vAlign w:val="bottom"/>
          </w:tcPr>
          <w:p>
            <w:pPr>
              <w:spacing w:after="0"/>
              <w:rPr>
                <w:sz w:val="1"/>
                <w:szCs w:val="1"/>
                <w:color w:val="auto"/>
              </w:rPr>
            </w:pPr>
          </w:p>
        </w:tc>
      </w:tr>
      <w:tr>
        <w:trPr>
          <w:trHeight w:val="122"/>
        </w:trPr>
        <w:tc>
          <w:tcPr>
            <w:tcW w:w="412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1000" w:type="dxa"/>
            <w:vAlign w:val="bottom"/>
            <w:tcBorders>
              <w:bottom w:val="single" w:sz="8" w:color="336699"/>
            </w:tcBorders>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Borders>
              <w:bottom w:val="single" w:sz="8" w:color="336699"/>
            </w:tcBorders>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Borders>
              <w:bottom w:val="single" w:sz="8" w:color="336699"/>
            </w:tcBorders>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tcBorders>
              <w:bottom w:val="single" w:sz="8" w:color="336699"/>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-655320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-655320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4189095</wp:posOffset>
            </wp:positionH>
            <wp:positionV relativeFrom="paragraph">
              <wp:posOffset>-655320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3597275</wp:posOffset>
            </wp:positionH>
            <wp:positionV relativeFrom="paragraph">
              <wp:posOffset>-655320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4832350</wp:posOffset>
            </wp:positionH>
            <wp:positionV relativeFrom="paragraph">
              <wp:posOffset>-655320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4215130</wp:posOffset>
            </wp:positionH>
            <wp:positionV relativeFrom="paragraph">
              <wp:posOffset>-655320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5415915</wp:posOffset>
            </wp:positionH>
            <wp:positionV relativeFrom="paragraph">
              <wp:posOffset>-655320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-655320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3571875</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4189095</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3597275</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4832350</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4215130</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5415915</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87" w:orient="portrait"/>
          <w:cols w:equalWidth="0" w:num="1">
            <w:col w:w="9019"/>
          </w:cols>
          <w:pgMar w:left="1440" w:top="108" w:right="1440" w:bottom="0" w:gutter="0" w:footer="0" w:header="0"/>
        </w:sectPr>
      </w:pPr>
    </w:p>
    <w:bookmarkStart w:id="4" w:name="page5"/>
    <w:bookmarkEnd w:id="4"/>
    <w:tbl>
      <w:tblPr>
        <w:tblLayout w:type="fixed"/>
        <w:tblInd w:w="500" w:type="dxa"/>
        <w:tblCellMar>
          <w:top w:w="0" w:type="dxa"/>
          <w:left w:w="0" w:type="dxa"/>
          <w:bottom w:w="0" w:type="dxa"/>
          <w:right w:w="0" w:type="dxa"/>
        </w:tblCellMar>
      </w:tblPr>
      <w:tr>
        <w:trPr>
          <w:trHeight w:val="275"/>
        </w:trPr>
        <w:tc>
          <w:tcPr>
            <w:tcW w:w="4120" w:type="dxa"/>
            <w:vAlign w:val="bottom"/>
          </w:tcPr>
          <w:p>
            <w:pPr>
              <w:ind w:left="280"/>
              <w:spacing w:after="0"/>
              <w:rPr>
                <w:sz w:val="20"/>
                <w:szCs w:val="20"/>
                <w:color w:val="auto"/>
              </w:rPr>
            </w:pPr>
            <w:r>
              <w:rPr>
                <w:rFonts w:ascii="Arial" w:cs="Arial" w:eastAsia="Arial" w:hAnsi="Arial"/>
                <w:sz w:val="22"/>
                <w:szCs w:val="22"/>
                <w:color w:val="auto"/>
              </w:rPr>
              <w:t>Diluted</w:t>
            </w:r>
          </w:p>
        </w:tc>
        <w:tc>
          <w:tcPr>
            <w:tcW w:w="1020" w:type="dxa"/>
            <w:vAlign w:val="bottom"/>
          </w:tcPr>
          <w:p>
            <w:pPr>
              <w:ind w:left="360"/>
              <w:spacing w:after="0"/>
              <w:rPr>
                <w:sz w:val="20"/>
                <w:szCs w:val="20"/>
                <w:color w:val="auto"/>
              </w:rPr>
            </w:pPr>
            <w:r>
              <w:rPr>
                <w:rFonts w:ascii="Arial" w:cs="Arial" w:eastAsia="Arial" w:hAnsi="Arial"/>
                <w:sz w:val="22"/>
                <w:szCs w:val="22"/>
                <w:color w:val="auto"/>
                <w:w w:val="91"/>
              </w:rPr>
              <w:t>$(4.93)</w:t>
            </w:r>
          </w:p>
        </w:tc>
        <w:tc>
          <w:tcPr>
            <w:tcW w:w="980" w:type="dxa"/>
            <w:vAlign w:val="bottom"/>
            <w:gridSpan w:val="2"/>
          </w:tcPr>
          <w:p>
            <w:pPr>
              <w:jc w:val="right"/>
              <w:ind w:right="40"/>
              <w:spacing w:after="0"/>
              <w:rPr>
                <w:sz w:val="20"/>
                <w:szCs w:val="20"/>
                <w:color w:val="auto"/>
              </w:rPr>
            </w:pPr>
            <w:r>
              <w:rPr>
                <w:rFonts w:ascii="Arial" w:cs="Arial" w:eastAsia="Arial" w:hAnsi="Arial"/>
                <w:sz w:val="22"/>
                <w:szCs w:val="22"/>
                <w:color w:val="auto"/>
              </w:rPr>
              <w:t>$0.05</w:t>
            </w:r>
          </w:p>
        </w:tc>
        <w:tc>
          <w:tcPr>
            <w:tcW w:w="1020" w:type="dxa"/>
            <w:vAlign w:val="bottom"/>
            <w:gridSpan w:val="2"/>
          </w:tcPr>
          <w:p>
            <w:pPr>
              <w:ind w:left="340"/>
              <w:spacing w:after="0"/>
              <w:rPr>
                <w:sz w:val="20"/>
                <w:szCs w:val="20"/>
                <w:color w:val="auto"/>
              </w:rPr>
            </w:pPr>
            <w:r>
              <w:rPr>
                <w:rFonts w:ascii="Arial" w:cs="Arial" w:eastAsia="Arial" w:hAnsi="Arial"/>
                <w:sz w:val="22"/>
                <w:szCs w:val="22"/>
                <w:color w:val="auto"/>
                <w:w w:val="94"/>
              </w:rPr>
              <w:t>$(5.07)</w:t>
            </w:r>
          </w:p>
        </w:tc>
        <w:tc>
          <w:tcPr>
            <w:tcW w:w="900" w:type="dxa"/>
            <w:vAlign w:val="bottom"/>
            <w:gridSpan w:val="2"/>
          </w:tcPr>
          <w:p>
            <w:pPr>
              <w:jc w:val="right"/>
              <w:ind w:right="80"/>
              <w:spacing w:after="0"/>
              <w:rPr>
                <w:sz w:val="20"/>
                <w:szCs w:val="20"/>
                <w:color w:val="auto"/>
              </w:rPr>
            </w:pPr>
            <w:r>
              <w:rPr>
                <w:rFonts w:ascii="Arial" w:cs="Arial" w:eastAsia="Arial" w:hAnsi="Arial"/>
                <w:sz w:val="22"/>
                <w:szCs w:val="22"/>
                <w:color w:val="auto"/>
              </w:rPr>
              <w:t>$0.53</w:t>
            </w:r>
          </w:p>
        </w:tc>
        <w:tc>
          <w:tcPr>
            <w:tcW w:w="0" w:type="dxa"/>
            <w:vAlign w:val="bottom"/>
          </w:tcPr>
          <w:p>
            <w:pPr>
              <w:spacing w:after="0"/>
              <w:rPr>
                <w:sz w:val="1"/>
                <w:szCs w:val="1"/>
                <w:color w:val="auto"/>
              </w:rPr>
            </w:pPr>
          </w:p>
        </w:tc>
      </w:tr>
      <w:tr>
        <w:trPr>
          <w:trHeight w:val="122"/>
        </w:trPr>
        <w:tc>
          <w:tcPr>
            <w:tcW w:w="4120" w:type="dxa"/>
            <w:vAlign w:val="bottom"/>
            <w:vMerge w:val="restart"/>
          </w:tcPr>
          <w:p>
            <w:pPr>
              <w:spacing w:after="0"/>
              <w:rPr>
                <w:sz w:val="20"/>
                <w:szCs w:val="20"/>
                <w:color w:val="auto"/>
              </w:rPr>
            </w:pPr>
            <w:r>
              <w:rPr>
                <w:rFonts w:ascii="Arial" w:cs="Arial" w:eastAsia="Arial" w:hAnsi="Arial"/>
                <w:sz w:val="22"/>
                <w:szCs w:val="22"/>
                <w:color w:val="auto"/>
                <w:w w:val="91"/>
              </w:rPr>
              <w:t>Weighted average number of common shares</w:t>
            </w:r>
          </w:p>
        </w:tc>
        <w:tc>
          <w:tcPr>
            <w:tcW w:w="1020" w:type="dxa"/>
            <w:vAlign w:val="bottom"/>
            <w:tcBorders>
              <w:bottom w:val="single" w:sz="8" w:color="336699"/>
            </w:tcBorders>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Borders>
              <w:bottom w:val="single" w:sz="8" w:color="336699"/>
            </w:tcBorders>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Borders>
              <w:bottom w:val="single" w:sz="8" w:color="336699"/>
            </w:tcBorders>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tcBorders>
              <w:bottom w:val="single" w:sz="8" w:color="336699"/>
            </w:tcBorders>
          </w:tcPr>
          <w:p>
            <w:pPr>
              <w:spacing w:after="0"/>
              <w:rPr>
                <w:sz w:val="10"/>
                <w:szCs w:val="10"/>
                <w:color w:val="auto"/>
              </w:rPr>
            </w:pPr>
          </w:p>
        </w:tc>
        <w:tc>
          <w:tcPr>
            <w:tcW w:w="0" w:type="dxa"/>
            <w:vAlign w:val="bottom"/>
          </w:tcPr>
          <w:p>
            <w:pPr>
              <w:spacing w:after="0"/>
              <w:rPr>
                <w:sz w:val="1"/>
                <w:szCs w:val="1"/>
                <w:color w:val="auto"/>
              </w:rPr>
            </w:pPr>
          </w:p>
        </w:tc>
      </w:tr>
      <w:tr>
        <w:trPr>
          <w:trHeight w:val="326"/>
        </w:trPr>
        <w:tc>
          <w:tcPr>
            <w:tcW w:w="412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4120" w:type="dxa"/>
            <w:vAlign w:val="bottom"/>
          </w:tcPr>
          <w:p>
            <w:pPr>
              <w:ind w:left="180"/>
              <w:spacing w:after="0"/>
              <w:rPr>
                <w:sz w:val="20"/>
                <w:szCs w:val="20"/>
                <w:color w:val="auto"/>
              </w:rPr>
            </w:pPr>
            <w:r>
              <w:rPr>
                <w:rFonts w:ascii="Arial" w:cs="Arial" w:eastAsia="Arial" w:hAnsi="Arial"/>
                <w:sz w:val="22"/>
                <w:szCs w:val="22"/>
                <w:color w:val="auto"/>
              </w:rPr>
              <w:t>outstanding:</w:t>
            </w:r>
          </w:p>
        </w:tc>
        <w:tc>
          <w:tcPr>
            <w:tcW w:w="10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6"/>
        </w:trPr>
        <w:tc>
          <w:tcPr>
            <w:tcW w:w="4120" w:type="dxa"/>
            <w:vAlign w:val="bottom"/>
          </w:tcPr>
          <w:p>
            <w:pPr>
              <w:ind w:left="280"/>
              <w:spacing w:after="0"/>
              <w:rPr>
                <w:sz w:val="20"/>
                <w:szCs w:val="20"/>
                <w:color w:val="auto"/>
              </w:rPr>
            </w:pPr>
            <w:r>
              <w:rPr>
                <w:rFonts w:ascii="Arial" w:cs="Arial" w:eastAsia="Arial" w:hAnsi="Arial"/>
                <w:sz w:val="22"/>
                <w:szCs w:val="22"/>
                <w:color w:val="auto"/>
              </w:rPr>
              <w:t>Basic</w:t>
            </w:r>
          </w:p>
        </w:tc>
        <w:tc>
          <w:tcPr>
            <w:tcW w:w="1020" w:type="dxa"/>
            <w:vAlign w:val="bottom"/>
          </w:tcPr>
          <w:p>
            <w:pPr>
              <w:ind w:left="340"/>
              <w:spacing w:after="0"/>
              <w:rPr>
                <w:sz w:val="20"/>
                <w:szCs w:val="20"/>
                <w:color w:val="auto"/>
              </w:rPr>
            </w:pPr>
            <w:r>
              <w:rPr>
                <w:rFonts w:ascii="Arial" w:cs="Arial" w:eastAsia="Arial" w:hAnsi="Arial"/>
                <w:sz w:val="22"/>
                <w:szCs w:val="22"/>
                <w:color w:val="auto"/>
                <w:w w:val="98"/>
              </w:rPr>
              <w:t>41,662</w:t>
            </w:r>
          </w:p>
        </w:tc>
        <w:tc>
          <w:tcPr>
            <w:tcW w:w="980" w:type="dxa"/>
            <w:vAlign w:val="bottom"/>
            <w:gridSpan w:val="2"/>
          </w:tcPr>
          <w:p>
            <w:pPr>
              <w:jc w:val="right"/>
              <w:ind w:right="80"/>
              <w:spacing w:after="0"/>
              <w:rPr>
                <w:sz w:val="20"/>
                <w:szCs w:val="20"/>
                <w:color w:val="auto"/>
              </w:rPr>
            </w:pPr>
            <w:r>
              <w:rPr>
                <w:rFonts w:ascii="Arial" w:cs="Arial" w:eastAsia="Arial" w:hAnsi="Arial"/>
                <w:sz w:val="22"/>
                <w:szCs w:val="22"/>
                <w:color w:val="auto"/>
              </w:rPr>
              <w:t>41,558</w:t>
            </w:r>
          </w:p>
        </w:tc>
        <w:tc>
          <w:tcPr>
            <w:tcW w:w="1020" w:type="dxa"/>
            <w:vAlign w:val="bottom"/>
            <w:gridSpan w:val="2"/>
          </w:tcPr>
          <w:p>
            <w:pPr>
              <w:ind w:left="340"/>
              <w:spacing w:after="0"/>
              <w:rPr>
                <w:sz w:val="20"/>
                <w:szCs w:val="20"/>
                <w:color w:val="auto"/>
              </w:rPr>
            </w:pPr>
            <w:r>
              <w:rPr>
                <w:rFonts w:ascii="Arial" w:cs="Arial" w:eastAsia="Arial" w:hAnsi="Arial"/>
                <w:sz w:val="22"/>
                <w:szCs w:val="22"/>
                <w:color w:val="auto"/>
                <w:w w:val="98"/>
              </w:rPr>
              <w:t>41,642</w:t>
            </w:r>
          </w:p>
        </w:tc>
        <w:tc>
          <w:tcPr>
            <w:tcW w:w="900" w:type="dxa"/>
            <w:vAlign w:val="bottom"/>
            <w:gridSpan w:val="2"/>
          </w:tcPr>
          <w:p>
            <w:pPr>
              <w:jc w:val="right"/>
              <w:ind w:right="80"/>
              <w:spacing w:after="0"/>
              <w:rPr>
                <w:sz w:val="20"/>
                <w:szCs w:val="20"/>
                <w:color w:val="auto"/>
              </w:rPr>
            </w:pPr>
            <w:r>
              <w:rPr>
                <w:rFonts w:ascii="Arial" w:cs="Arial" w:eastAsia="Arial" w:hAnsi="Arial"/>
                <w:sz w:val="22"/>
                <w:szCs w:val="22"/>
                <w:color w:val="auto"/>
              </w:rPr>
              <w:t>41,515</w:t>
            </w:r>
          </w:p>
        </w:tc>
        <w:tc>
          <w:tcPr>
            <w:tcW w:w="0" w:type="dxa"/>
            <w:vAlign w:val="bottom"/>
          </w:tcPr>
          <w:p>
            <w:pPr>
              <w:spacing w:after="0"/>
              <w:rPr>
                <w:sz w:val="1"/>
                <w:szCs w:val="1"/>
                <w:color w:val="auto"/>
              </w:rPr>
            </w:pPr>
          </w:p>
        </w:tc>
      </w:tr>
      <w:tr>
        <w:trPr>
          <w:trHeight w:val="122"/>
        </w:trPr>
        <w:tc>
          <w:tcPr>
            <w:tcW w:w="4120" w:type="dxa"/>
            <w:vAlign w:val="bottom"/>
          </w:tcPr>
          <w:p>
            <w:pPr>
              <w:spacing w:after="0"/>
              <w:rPr>
                <w:sz w:val="10"/>
                <w:szCs w:val="10"/>
                <w:color w:val="auto"/>
              </w:rPr>
            </w:pPr>
          </w:p>
        </w:tc>
        <w:tc>
          <w:tcPr>
            <w:tcW w:w="1020" w:type="dxa"/>
            <w:vAlign w:val="bottom"/>
            <w:tcBorders>
              <w:bottom w:val="single" w:sz="8" w:color="336699"/>
            </w:tcBorders>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Borders>
              <w:bottom w:val="single" w:sz="8" w:color="336699"/>
            </w:tcBorders>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Borders>
              <w:bottom w:val="single" w:sz="8" w:color="336699"/>
            </w:tcBorders>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tcBorders>
              <w:bottom w:val="single" w:sz="8" w:color="336699"/>
            </w:tcBorders>
          </w:tcPr>
          <w:p>
            <w:pPr>
              <w:spacing w:after="0"/>
              <w:rPr>
                <w:sz w:val="10"/>
                <w:szCs w:val="10"/>
                <w:color w:val="auto"/>
              </w:rPr>
            </w:pPr>
          </w:p>
        </w:tc>
        <w:tc>
          <w:tcPr>
            <w:tcW w:w="0" w:type="dxa"/>
            <w:vAlign w:val="bottom"/>
          </w:tcPr>
          <w:p>
            <w:pPr>
              <w:spacing w:after="0"/>
              <w:rPr>
                <w:sz w:val="1"/>
                <w:szCs w:val="1"/>
                <w:color w:val="auto"/>
              </w:rPr>
            </w:pPr>
          </w:p>
        </w:tc>
      </w:tr>
      <w:tr>
        <w:trPr>
          <w:trHeight w:val="358"/>
        </w:trPr>
        <w:tc>
          <w:tcPr>
            <w:tcW w:w="4120" w:type="dxa"/>
            <w:vAlign w:val="bottom"/>
          </w:tcPr>
          <w:p>
            <w:pPr>
              <w:ind w:left="280"/>
              <w:spacing w:after="0"/>
              <w:rPr>
                <w:sz w:val="20"/>
                <w:szCs w:val="20"/>
                <w:color w:val="auto"/>
              </w:rPr>
            </w:pPr>
            <w:r>
              <w:rPr>
                <w:rFonts w:ascii="Arial" w:cs="Arial" w:eastAsia="Arial" w:hAnsi="Arial"/>
                <w:sz w:val="22"/>
                <w:szCs w:val="22"/>
                <w:color w:val="auto"/>
              </w:rPr>
              <w:t>Diluted</w:t>
            </w:r>
          </w:p>
        </w:tc>
        <w:tc>
          <w:tcPr>
            <w:tcW w:w="1020" w:type="dxa"/>
            <w:vAlign w:val="bottom"/>
          </w:tcPr>
          <w:p>
            <w:pPr>
              <w:ind w:left="340"/>
              <w:spacing w:after="0"/>
              <w:rPr>
                <w:sz w:val="20"/>
                <w:szCs w:val="20"/>
                <w:color w:val="auto"/>
              </w:rPr>
            </w:pPr>
            <w:r>
              <w:rPr>
                <w:rFonts w:ascii="Arial" w:cs="Arial" w:eastAsia="Arial" w:hAnsi="Arial"/>
                <w:sz w:val="22"/>
                <w:szCs w:val="22"/>
                <w:color w:val="auto"/>
                <w:w w:val="98"/>
              </w:rPr>
              <w:t>41,662</w:t>
            </w:r>
          </w:p>
        </w:tc>
        <w:tc>
          <w:tcPr>
            <w:tcW w:w="980" w:type="dxa"/>
            <w:vAlign w:val="bottom"/>
            <w:gridSpan w:val="2"/>
          </w:tcPr>
          <w:p>
            <w:pPr>
              <w:jc w:val="right"/>
              <w:ind w:right="80"/>
              <w:spacing w:after="0"/>
              <w:rPr>
                <w:sz w:val="20"/>
                <w:szCs w:val="20"/>
                <w:color w:val="auto"/>
              </w:rPr>
            </w:pPr>
            <w:r>
              <w:rPr>
                <w:rFonts w:ascii="Arial" w:cs="Arial" w:eastAsia="Arial" w:hAnsi="Arial"/>
                <w:sz w:val="22"/>
                <w:szCs w:val="22"/>
                <w:color w:val="auto"/>
              </w:rPr>
              <w:t>41,864</w:t>
            </w:r>
          </w:p>
        </w:tc>
        <w:tc>
          <w:tcPr>
            <w:tcW w:w="1020" w:type="dxa"/>
            <w:vAlign w:val="bottom"/>
            <w:gridSpan w:val="2"/>
          </w:tcPr>
          <w:p>
            <w:pPr>
              <w:ind w:left="340"/>
              <w:spacing w:after="0"/>
              <w:rPr>
                <w:sz w:val="20"/>
                <w:szCs w:val="20"/>
                <w:color w:val="auto"/>
              </w:rPr>
            </w:pPr>
            <w:r>
              <w:rPr>
                <w:rFonts w:ascii="Arial" w:cs="Arial" w:eastAsia="Arial" w:hAnsi="Arial"/>
                <w:sz w:val="22"/>
                <w:szCs w:val="22"/>
                <w:color w:val="auto"/>
                <w:w w:val="98"/>
              </w:rPr>
              <w:t>41,642</w:t>
            </w:r>
          </w:p>
        </w:tc>
        <w:tc>
          <w:tcPr>
            <w:tcW w:w="900" w:type="dxa"/>
            <w:vAlign w:val="bottom"/>
            <w:gridSpan w:val="2"/>
          </w:tcPr>
          <w:p>
            <w:pPr>
              <w:jc w:val="right"/>
              <w:ind w:right="80"/>
              <w:spacing w:after="0"/>
              <w:rPr>
                <w:sz w:val="20"/>
                <w:szCs w:val="20"/>
                <w:color w:val="auto"/>
              </w:rPr>
            </w:pPr>
            <w:r>
              <w:rPr>
                <w:rFonts w:ascii="Arial" w:cs="Arial" w:eastAsia="Arial" w:hAnsi="Arial"/>
                <w:sz w:val="22"/>
                <w:szCs w:val="22"/>
                <w:color w:val="auto"/>
              </w:rPr>
              <w:t>51,355</w:t>
            </w:r>
          </w:p>
        </w:tc>
        <w:tc>
          <w:tcPr>
            <w:tcW w:w="0" w:type="dxa"/>
            <w:vAlign w:val="bottom"/>
          </w:tcPr>
          <w:p>
            <w:pPr>
              <w:spacing w:after="0"/>
              <w:rPr>
                <w:sz w:val="1"/>
                <w:szCs w:val="1"/>
                <w:color w:val="auto"/>
              </w:rPr>
            </w:pPr>
          </w:p>
        </w:tc>
      </w:tr>
      <w:tr>
        <w:trPr>
          <w:trHeight w:val="122"/>
        </w:trPr>
        <w:tc>
          <w:tcPr>
            <w:tcW w:w="4120" w:type="dxa"/>
            <w:vAlign w:val="bottom"/>
          </w:tcPr>
          <w:p>
            <w:pPr>
              <w:spacing w:after="0"/>
              <w:rPr>
                <w:sz w:val="10"/>
                <w:szCs w:val="10"/>
                <w:color w:val="auto"/>
              </w:rPr>
            </w:pPr>
          </w:p>
        </w:tc>
        <w:tc>
          <w:tcPr>
            <w:tcW w:w="1020" w:type="dxa"/>
            <w:vAlign w:val="bottom"/>
            <w:tcBorders>
              <w:bottom w:val="single" w:sz="8" w:color="336699"/>
            </w:tcBorders>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Borders>
              <w:bottom w:val="single" w:sz="8" w:color="336699"/>
            </w:tcBorders>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Borders>
              <w:bottom w:val="single" w:sz="8" w:color="336699"/>
            </w:tcBorders>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tcBorders>
              <w:bottom w:val="single" w:sz="8" w:color="336699"/>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-1127125</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-1127125</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4189095</wp:posOffset>
            </wp:positionH>
            <wp:positionV relativeFrom="paragraph">
              <wp:posOffset>-1127125</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3597275</wp:posOffset>
            </wp:positionH>
            <wp:positionV relativeFrom="paragraph">
              <wp:posOffset>-1127125</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4832350</wp:posOffset>
            </wp:positionH>
            <wp:positionV relativeFrom="paragraph">
              <wp:posOffset>-1127125</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4215130</wp:posOffset>
            </wp:positionH>
            <wp:positionV relativeFrom="paragraph">
              <wp:posOffset>-1127125</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5415915</wp:posOffset>
            </wp:positionH>
            <wp:positionV relativeFrom="paragraph">
              <wp:posOffset>-1127125</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-1127125</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3571875</wp:posOffset>
            </wp:positionH>
            <wp:positionV relativeFrom="paragraph">
              <wp:posOffset>-346710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-346710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4189095</wp:posOffset>
            </wp:positionH>
            <wp:positionV relativeFrom="paragraph">
              <wp:posOffset>-346710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3597275</wp:posOffset>
            </wp:positionH>
            <wp:positionV relativeFrom="paragraph">
              <wp:posOffset>-346710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4832350</wp:posOffset>
            </wp:positionH>
            <wp:positionV relativeFrom="paragraph">
              <wp:posOffset>-346710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4215130</wp:posOffset>
            </wp:positionH>
            <wp:positionV relativeFrom="paragraph">
              <wp:posOffset>-346710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5415915</wp:posOffset>
            </wp:positionH>
            <wp:positionV relativeFrom="paragraph">
              <wp:posOffset>-346710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-346710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3571875</wp:posOffset>
            </wp:positionH>
            <wp:positionV relativeFrom="paragraph">
              <wp:posOffset>-29210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-29210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4189095</wp:posOffset>
            </wp:positionH>
            <wp:positionV relativeFrom="paragraph">
              <wp:posOffset>-29210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3597275</wp:posOffset>
            </wp:positionH>
            <wp:positionV relativeFrom="paragraph">
              <wp:posOffset>-29210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4832350</wp:posOffset>
            </wp:positionH>
            <wp:positionV relativeFrom="paragraph">
              <wp:posOffset>-29210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4215130</wp:posOffset>
            </wp:positionH>
            <wp:positionV relativeFrom="paragraph">
              <wp:posOffset>-29210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5415915</wp:posOffset>
            </wp:positionH>
            <wp:positionV relativeFrom="paragraph">
              <wp:posOffset>-29210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06" w:lineRule="exact"/>
        <w:rPr>
          <w:sz w:val="20"/>
          <w:szCs w:val="20"/>
          <w:color w:val="auto"/>
        </w:rPr>
      </w:pPr>
    </w:p>
    <w:p>
      <w:pPr>
        <w:ind w:left="500"/>
        <w:spacing w:after="0"/>
        <w:rPr>
          <w:sz w:val="20"/>
          <w:szCs w:val="20"/>
          <w:color w:val="auto"/>
        </w:rPr>
      </w:pPr>
      <w:r>
        <w:rPr>
          <w:rFonts w:ascii="Arial" w:cs="Arial" w:eastAsia="Arial" w:hAnsi="Arial"/>
          <w:sz w:val="22"/>
          <w:szCs w:val="22"/>
          <w:i w:val="1"/>
          <w:iCs w:val="1"/>
          <w:color w:val="auto"/>
        </w:rPr>
        <w:t>See accompanying notes to condensed consolidated financial statements.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132080</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PHOTRONICS,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Condensed Consolidated Statements of Cash Flows</w:t>
      </w:r>
    </w:p>
    <w:p>
      <w:pPr>
        <w:jc w:val="center"/>
        <w:spacing w:after="0" w:line="230" w:lineRule="auto"/>
        <w:rPr>
          <w:sz w:val="20"/>
          <w:szCs w:val="20"/>
          <w:color w:val="auto"/>
        </w:rPr>
      </w:pPr>
      <w:r>
        <w:rPr>
          <w:rFonts w:ascii="Arial" w:cs="Arial" w:eastAsia="Arial" w:hAnsi="Arial"/>
          <w:sz w:val="22"/>
          <w:szCs w:val="22"/>
          <w:i w:val="1"/>
          <w:i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780" w:type="dxa"/>
        <w:tblCellMar>
          <w:top w:w="0" w:type="dxa"/>
          <w:left w:w="0" w:type="dxa"/>
          <w:bottom w:w="0" w:type="dxa"/>
          <w:right w:w="0" w:type="dxa"/>
        </w:tblCellMar>
      </w:tblPr>
      <w:tr>
        <w:trPr>
          <w:trHeight w:val="281"/>
        </w:trPr>
        <w:tc>
          <w:tcPr>
            <w:tcW w:w="5600" w:type="dxa"/>
            <w:vAlign w:val="bottom"/>
          </w:tcPr>
          <w:p>
            <w:pPr>
              <w:spacing w:after="0"/>
              <w:rPr>
                <w:sz w:val="24"/>
                <w:szCs w:val="24"/>
                <w:color w:val="auto"/>
              </w:rPr>
            </w:pPr>
          </w:p>
        </w:tc>
        <w:tc>
          <w:tcPr>
            <w:tcW w:w="1900" w:type="dxa"/>
            <w:vAlign w:val="bottom"/>
            <w:gridSpan w:val="3"/>
          </w:tcPr>
          <w:p>
            <w:pPr>
              <w:jc w:val="right"/>
              <w:spacing w:after="0"/>
              <w:rPr>
                <w:sz w:val="20"/>
                <w:szCs w:val="20"/>
                <w:color w:val="auto"/>
              </w:rPr>
            </w:pPr>
            <w:r>
              <w:rPr>
                <w:rFonts w:ascii="Arial" w:cs="Arial" w:eastAsia="Arial" w:hAnsi="Arial"/>
                <w:sz w:val="22"/>
                <w:szCs w:val="22"/>
                <w:b w:val="1"/>
                <w:bCs w:val="1"/>
                <w:color w:val="auto"/>
                <w:w w:val="89"/>
              </w:rPr>
              <w:t>Nine Months Ended</w:t>
            </w:r>
          </w:p>
        </w:tc>
        <w:tc>
          <w:tcPr>
            <w:tcW w:w="0" w:type="dxa"/>
            <w:vAlign w:val="bottom"/>
          </w:tcPr>
          <w:p>
            <w:pPr>
              <w:spacing w:after="0"/>
              <w:rPr>
                <w:sz w:val="1"/>
                <w:szCs w:val="1"/>
                <w:color w:val="auto"/>
              </w:rPr>
            </w:pPr>
          </w:p>
        </w:tc>
      </w:tr>
      <w:tr>
        <w:trPr>
          <w:trHeight w:val="98"/>
        </w:trPr>
        <w:tc>
          <w:tcPr>
            <w:tcW w:w="560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31"/>
        </w:trPr>
        <w:tc>
          <w:tcPr>
            <w:tcW w:w="5600" w:type="dxa"/>
            <w:vAlign w:val="bottom"/>
          </w:tcPr>
          <w:p>
            <w:pPr>
              <w:spacing w:after="0"/>
              <w:rPr>
                <w:sz w:val="24"/>
                <w:szCs w:val="24"/>
                <w:color w:val="auto"/>
              </w:rPr>
            </w:pPr>
          </w:p>
        </w:tc>
        <w:tc>
          <w:tcPr>
            <w:tcW w:w="980" w:type="dxa"/>
            <w:vAlign w:val="bottom"/>
          </w:tcPr>
          <w:p>
            <w:pPr>
              <w:jc w:val="right"/>
              <w:ind w:right="32"/>
              <w:spacing w:after="0"/>
              <w:rPr>
                <w:sz w:val="20"/>
                <w:szCs w:val="20"/>
                <w:color w:val="auto"/>
              </w:rPr>
            </w:pPr>
            <w:r>
              <w:rPr>
                <w:rFonts w:ascii="Arial" w:cs="Arial" w:eastAsia="Arial" w:hAnsi="Arial"/>
                <w:sz w:val="22"/>
                <w:szCs w:val="22"/>
                <w:b w:val="1"/>
                <w:bCs w:val="1"/>
                <w:color w:val="auto"/>
              </w:rPr>
              <w:t>July 27,</w:t>
            </w:r>
          </w:p>
        </w:tc>
        <w:tc>
          <w:tcPr>
            <w:tcW w:w="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2"/>
                <w:szCs w:val="22"/>
                <w:b w:val="1"/>
                <w:bCs w:val="1"/>
                <w:color w:val="auto"/>
                <w:w w:val="96"/>
              </w:rPr>
              <w:t>July 29,</w:t>
            </w:r>
          </w:p>
        </w:tc>
        <w:tc>
          <w:tcPr>
            <w:tcW w:w="0" w:type="dxa"/>
            <w:vAlign w:val="bottom"/>
          </w:tcPr>
          <w:p>
            <w:pPr>
              <w:spacing w:after="0"/>
              <w:rPr>
                <w:sz w:val="1"/>
                <w:szCs w:val="1"/>
                <w:color w:val="auto"/>
              </w:rPr>
            </w:pPr>
          </w:p>
        </w:tc>
      </w:tr>
      <w:tr>
        <w:trPr>
          <w:trHeight w:val="281"/>
        </w:trPr>
        <w:tc>
          <w:tcPr>
            <w:tcW w:w="5600" w:type="dxa"/>
            <w:vAlign w:val="bottom"/>
          </w:tcPr>
          <w:p>
            <w:pPr>
              <w:spacing w:after="0"/>
              <w:rPr>
                <w:sz w:val="24"/>
                <w:szCs w:val="24"/>
                <w:color w:val="auto"/>
              </w:rPr>
            </w:pPr>
          </w:p>
        </w:tc>
        <w:tc>
          <w:tcPr>
            <w:tcW w:w="980" w:type="dxa"/>
            <w:vAlign w:val="bottom"/>
          </w:tcPr>
          <w:p>
            <w:pPr>
              <w:jc w:val="right"/>
              <w:ind w:right="192"/>
              <w:spacing w:after="0"/>
              <w:rPr>
                <w:sz w:val="20"/>
                <w:szCs w:val="20"/>
                <w:color w:val="auto"/>
              </w:rPr>
            </w:pPr>
            <w:r>
              <w:rPr>
                <w:rFonts w:ascii="Arial" w:cs="Arial" w:eastAsia="Arial" w:hAnsi="Arial"/>
                <w:sz w:val="22"/>
                <w:szCs w:val="22"/>
                <w:b w:val="1"/>
                <w:bCs w:val="1"/>
                <w:color w:val="auto"/>
              </w:rPr>
              <w:t>2008</w:t>
            </w:r>
          </w:p>
        </w:tc>
        <w:tc>
          <w:tcPr>
            <w:tcW w:w="920" w:type="dxa"/>
            <w:vAlign w:val="bottom"/>
            <w:gridSpan w:val="2"/>
          </w:tcPr>
          <w:p>
            <w:pPr>
              <w:jc w:val="right"/>
              <w:ind w:right="132"/>
              <w:spacing w:after="0"/>
              <w:rPr>
                <w:sz w:val="20"/>
                <w:szCs w:val="20"/>
                <w:color w:val="auto"/>
              </w:rPr>
            </w:pPr>
            <w:r>
              <w:rPr>
                <w:rFonts w:ascii="Arial" w:cs="Arial" w:eastAsia="Arial" w:hAnsi="Arial"/>
                <w:sz w:val="22"/>
                <w:szCs w:val="22"/>
                <w:b w:val="1"/>
                <w:bCs w:val="1"/>
                <w:color w:val="auto"/>
              </w:rPr>
              <w:t>2007</w:t>
            </w:r>
          </w:p>
        </w:tc>
        <w:tc>
          <w:tcPr>
            <w:tcW w:w="0" w:type="dxa"/>
            <w:vAlign w:val="bottom"/>
          </w:tcPr>
          <w:p>
            <w:pPr>
              <w:spacing w:after="0"/>
              <w:rPr>
                <w:sz w:val="1"/>
                <w:szCs w:val="1"/>
                <w:color w:val="auto"/>
              </w:rPr>
            </w:pPr>
          </w:p>
        </w:tc>
      </w:tr>
      <w:tr>
        <w:trPr>
          <w:trHeight w:val="98"/>
        </w:trPr>
        <w:tc>
          <w:tcPr>
            <w:tcW w:w="5600" w:type="dxa"/>
            <w:vAlign w:val="bottom"/>
            <w:vMerge w:val="restart"/>
          </w:tcPr>
          <w:p>
            <w:pPr>
              <w:spacing w:after="0"/>
              <w:rPr>
                <w:sz w:val="20"/>
                <w:szCs w:val="20"/>
                <w:color w:val="auto"/>
              </w:rPr>
            </w:pPr>
            <w:r>
              <w:rPr>
                <w:rFonts w:ascii="Arial" w:cs="Arial" w:eastAsia="Arial" w:hAnsi="Arial"/>
                <w:sz w:val="22"/>
                <w:szCs w:val="22"/>
                <w:color w:val="auto"/>
              </w:rPr>
              <w:t>Cash flows from operating activities:</w:t>
            </w:r>
          </w:p>
        </w:tc>
        <w:tc>
          <w:tcPr>
            <w:tcW w:w="9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580"/>
        </w:trPr>
        <w:tc>
          <w:tcPr>
            <w:tcW w:w="560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220"/>
              <w:spacing w:after="0" w:line="243" w:lineRule="exact"/>
              <w:rPr>
                <w:sz w:val="20"/>
                <w:szCs w:val="20"/>
                <w:color w:val="auto"/>
              </w:rPr>
            </w:pPr>
            <w:r>
              <w:rPr>
                <w:rFonts w:ascii="Arial" w:cs="Arial" w:eastAsia="Arial" w:hAnsi="Arial"/>
                <w:sz w:val="22"/>
                <w:szCs w:val="22"/>
                <w:color w:val="auto"/>
              </w:rPr>
              <w:t>Net income (loss)</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w w:val="86"/>
              </w:rPr>
              <w:t>$(211,001)</w:t>
            </w:r>
          </w:p>
        </w:tc>
        <w:tc>
          <w:tcPr>
            <w:tcW w:w="9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$24,161</w:t>
            </w:r>
          </w:p>
        </w:tc>
        <w:tc>
          <w:tcPr>
            <w:tcW w:w="0" w:type="dxa"/>
            <w:vAlign w:val="bottom"/>
          </w:tcPr>
          <w:p>
            <w:pPr>
              <w:spacing w:after="0"/>
              <w:rPr>
                <w:sz w:val="1"/>
                <w:szCs w:val="1"/>
                <w:color w:val="auto"/>
              </w:rPr>
            </w:pPr>
          </w:p>
        </w:tc>
      </w:tr>
      <w:tr>
        <w:trPr>
          <w:trHeight w:val="243"/>
        </w:trPr>
        <w:tc>
          <w:tcPr>
            <w:tcW w:w="5600" w:type="dxa"/>
            <w:vAlign w:val="bottom"/>
          </w:tcPr>
          <w:p>
            <w:pPr>
              <w:ind w:left="200"/>
              <w:spacing w:after="0" w:line="243" w:lineRule="exact"/>
              <w:rPr>
                <w:sz w:val="20"/>
                <w:szCs w:val="20"/>
                <w:color w:val="auto"/>
              </w:rPr>
            </w:pPr>
            <w:r>
              <w:rPr>
                <w:rFonts w:ascii="Arial" w:cs="Arial" w:eastAsia="Arial" w:hAnsi="Arial"/>
                <w:sz w:val="22"/>
                <w:szCs w:val="22"/>
                <w:color w:val="auto"/>
              </w:rPr>
              <w:t>Adjustments to reconcile net income (loss)</w:t>
            </w: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380"/>
              <w:spacing w:after="0" w:line="243" w:lineRule="exact"/>
              <w:rPr>
                <w:sz w:val="20"/>
                <w:szCs w:val="20"/>
                <w:color w:val="auto"/>
              </w:rPr>
            </w:pPr>
            <w:r>
              <w:rPr>
                <w:rFonts w:ascii="Arial" w:cs="Arial" w:eastAsia="Arial" w:hAnsi="Arial"/>
                <w:sz w:val="22"/>
                <w:szCs w:val="22"/>
                <w:color w:val="auto"/>
              </w:rPr>
              <w:t>to net cash provided by operating activities:</w:t>
            </w: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700"/>
              <w:spacing w:after="0" w:line="243" w:lineRule="exact"/>
              <w:rPr>
                <w:sz w:val="20"/>
                <w:szCs w:val="20"/>
                <w:color w:val="auto"/>
              </w:rPr>
            </w:pPr>
            <w:r>
              <w:rPr>
                <w:rFonts w:ascii="Arial" w:cs="Arial" w:eastAsia="Arial" w:hAnsi="Arial"/>
                <w:sz w:val="22"/>
                <w:szCs w:val="22"/>
                <w:color w:val="auto"/>
              </w:rPr>
              <w:t>Depreciation and amortization</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79,794</w:t>
            </w:r>
          </w:p>
        </w:tc>
        <w:tc>
          <w:tcPr>
            <w:tcW w:w="9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72,234</w:t>
            </w:r>
          </w:p>
        </w:tc>
        <w:tc>
          <w:tcPr>
            <w:tcW w:w="0" w:type="dxa"/>
            <w:vAlign w:val="bottom"/>
          </w:tcPr>
          <w:p>
            <w:pPr>
              <w:spacing w:after="0"/>
              <w:rPr>
                <w:sz w:val="1"/>
                <w:szCs w:val="1"/>
                <w:color w:val="auto"/>
              </w:rPr>
            </w:pPr>
          </w:p>
        </w:tc>
      </w:tr>
      <w:tr>
        <w:trPr>
          <w:trHeight w:val="243"/>
        </w:trPr>
        <w:tc>
          <w:tcPr>
            <w:tcW w:w="5600" w:type="dxa"/>
            <w:vAlign w:val="bottom"/>
          </w:tcPr>
          <w:p>
            <w:pPr>
              <w:ind w:left="700"/>
              <w:spacing w:after="0" w:line="243" w:lineRule="exact"/>
              <w:rPr>
                <w:sz w:val="20"/>
                <w:szCs w:val="20"/>
                <w:color w:val="auto"/>
              </w:rPr>
            </w:pPr>
            <w:r>
              <w:rPr>
                <w:rFonts w:ascii="Arial" w:cs="Arial" w:eastAsia="Arial" w:hAnsi="Arial"/>
                <w:sz w:val="22"/>
                <w:szCs w:val="22"/>
                <w:color w:val="auto"/>
              </w:rPr>
              <w:t>Impairment of goodwill</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138,534</w:t>
            </w:r>
          </w:p>
        </w:tc>
        <w:tc>
          <w:tcPr>
            <w:tcW w:w="9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43"/>
        </w:trPr>
        <w:tc>
          <w:tcPr>
            <w:tcW w:w="5600" w:type="dxa"/>
            <w:vAlign w:val="bottom"/>
          </w:tcPr>
          <w:p>
            <w:pPr>
              <w:ind w:left="700"/>
              <w:spacing w:after="0" w:line="243" w:lineRule="exact"/>
              <w:rPr>
                <w:sz w:val="20"/>
                <w:szCs w:val="20"/>
                <w:color w:val="auto"/>
              </w:rPr>
            </w:pPr>
            <w:r>
              <w:rPr>
                <w:rFonts w:ascii="Arial" w:cs="Arial" w:eastAsia="Arial" w:hAnsi="Arial"/>
                <w:sz w:val="22"/>
                <w:szCs w:val="22"/>
                <w:color w:val="auto"/>
              </w:rPr>
              <w:t>Impairment of long-lived assets</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66,874</w:t>
            </w:r>
          </w:p>
        </w:tc>
        <w:tc>
          <w:tcPr>
            <w:tcW w:w="9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43"/>
        </w:trPr>
        <w:tc>
          <w:tcPr>
            <w:tcW w:w="5600" w:type="dxa"/>
            <w:vAlign w:val="bottom"/>
          </w:tcPr>
          <w:p>
            <w:pPr>
              <w:ind w:left="700"/>
              <w:spacing w:after="0" w:line="243" w:lineRule="exact"/>
              <w:rPr>
                <w:sz w:val="20"/>
                <w:szCs w:val="20"/>
                <w:color w:val="auto"/>
              </w:rPr>
            </w:pPr>
            <w:r>
              <w:rPr>
                <w:rFonts w:ascii="Arial" w:cs="Arial" w:eastAsia="Arial" w:hAnsi="Arial"/>
                <w:sz w:val="22"/>
                <w:szCs w:val="22"/>
                <w:color w:val="auto"/>
              </w:rPr>
              <w:t>Gain on sale of facility</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9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(3,027)</w:t>
            </w:r>
          </w:p>
        </w:tc>
        <w:tc>
          <w:tcPr>
            <w:tcW w:w="0" w:type="dxa"/>
            <w:vAlign w:val="bottom"/>
          </w:tcPr>
          <w:p>
            <w:pPr>
              <w:spacing w:after="0"/>
              <w:rPr>
                <w:sz w:val="1"/>
                <w:szCs w:val="1"/>
                <w:color w:val="auto"/>
              </w:rPr>
            </w:pPr>
          </w:p>
        </w:tc>
      </w:tr>
      <w:tr>
        <w:trPr>
          <w:trHeight w:val="243"/>
        </w:trPr>
        <w:tc>
          <w:tcPr>
            <w:tcW w:w="5600" w:type="dxa"/>
            <w:vAlign w:val="bottom"/>
          </w:tcPr>
          <w:p>
            <w:pPr>
              <w:ind w:left="700"/>
              <w:spacing w:after="0" w:line="243" w:lineRule="exact"/>
              <w:rPr>
                <w:sz w:val="20"/>
                <w:szCs w:val="20"/>
                <w:color w:val="auto"/>
              </w:rPr>
            </w:pPr>
            <w:r>
              <w:rPr>
                <w:rFonts w:ascii="Arial" w:cs="Arial" w:eastAsia="Arial" w:hAnsi="Arial"/>
                <w:sz w:val="22"/>
                <w:szCs w:val="22"/>
                <w:color w:val="auto"/>
              </w:rPr>
              <w:t>Gain on sale of investments</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9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(257)</w:t>
            </w:r>
          </w:p>
        </w:tc>
        <w:tc>
          <w:tcPr>
            <w:tcW w:w="0" w:type="dxa"/>
            <w:vAlign w:val="bottom"/>
          </w:tcPr>
          <w:p>
            <w:pPr>
              <w:spacing w:after="0"/>
              <w:rPr>
                <w:sz w:val="1"/>
                <w:szCs w:val="1"/>
                <w:color w:val="auto"/>
              </w:rPr>
            </w:pPr>
          </w:p>
        </w:tc>
      </w:tr>
      <w:tr>
        <w:trPr>
          <w:trHeight w:val="243"/>
        </w:trPr>
        <w:tc>
          <w:tcPr>
            <w:tcW w:w="5600" w:type="dxa"/>
            <w:vAlign w:val="bottom"/>
          </w:tcPr>
          <w:p>
            <w:pPr>
              <w:ind w:left="700"/>
              <w:spacing w:after="0" w:line="243" w:lineRule="exact"/>
              <w:rPr>
                <w:sz w:val="20"/>
                <w:szCs w:val="20"/>
                <w:color w:val="auto"/>
              </w:rPr>
            </w:pPr>
            <w:r>
              <w:rPr>
                <w:rFonts w:ascii="Arial" w:cs="Arial" w:eastAsia="Arial" w:hAnsi="Arial"/>
                <w:sz w:val="22"/>
                <w:szCs w:val="22"/>
                <w:color w:val="auto"/>
                <w:w w:val="91"/>
              </w:rPr>
              <w:t>Minority interest in income of consolidated subsidiaries</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1,456</w:t>
            </w:r>
          </w:p>
        </w:tc>
        <w:tc>
          <w:tcPr>
            <w:tcW w:w="9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2,424</w:t>
            </w:r>
          </w:p>
        </w:tc>
        <w:tc>
          <w:tcPr>
            <w:tcW w:w="0" w:type="dxa"/>
            <w:vAlign w:val="bottom"/>
          </w:tcPr>
          <w:p>
            <w:pPr>
              <w:spacing w:after="0"/>
              <w:rPr>
                <w:sz w:val="1"/>
                <w:szCs w:val="1"/>
                <w:color w:val="auto"/>
              </w:rPr>
            </w:pPr>
          </w:p>
        </w:tc>
      </w:tr>
      <w:tr>
        <w:trPr>
          <w:trHeight w:val="243"/>
        </w:trPr>
        <w:tc>
          <w:tcPr>
            <w:tcW w:w="5600" w:type="dxa"/>
            <w:vAlign w:val="bottom"/>
          </w:tcPr>
          <w:p>
            <w:pPr>
              <w:ind w:left="700"/>
              <w:spacing w:after="0" w:line="243" w:lineRule="exact"/>
              <w:rPr>
                <w:sz w:val="20"/>
                <w:szCs w:val="20"/>
                <w:color w:val="auto"/>
              </w:rPr>
            </w:pPr>
            <w:r>
              <w:rPr>
                <w:rFonts w:ascii="Arial" w:cs="Arial" w:eastAsia="Arial" w:hAnsi="Arial"/>
                <w:sz w:val="22"/>
                <w:szCs w:val="22"/>
                <w:color w:val="auto"/>
              </w:rPr>
              <w:t>Changes in assets and liabilities:</w:t>
            </w: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960"/>
              <w:spacing w:after="0" w:line="243" w:lineRule="exact"/>
              <w:rPr>
                <w:sz w:val="20"/>
                <w:szCs w:val="20"/>
                <w:color w:val="auto"/>
              </w:rPr>
            </w:pPr>
            <w:r>
              <w:rPr>
                <w:rFonts w:ascii="Arial" w:cs="Arial" w:eastAsia="Arial" w:hAnsi="Arial"/>
                <w:sz w:val="22"/>
                <w:szCs w:val="22"/>
                <w:color w:val="auto"/>
              </w:rPr>
              <w:t>Accounts receivable</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(3,121)</w:t>
            </w:r>
          </w:p>
        </w:tc>
        <w:tc>
          <w:tcPr>
            <w:tcW w:w="9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15,330</w:t>
            </w:r>
          </w:p>
        </w:tc>
        <w:tc>
          <w:tcPr>
            <w:tcW w:w="0" w:type="dxa"/>
            <w:vAlign w:val="bottom"/>
          </w:tcPr>
          <w:p>
            <w:pPr>
              <w:spacing w:after="0"/>
              <w:rPr>
                <w:sz w:val="1"/>
                <w:szCs w:val="1"/>
                <w:color w:val="auto"/>
              </w:rPr>
            </w:pPr>
          </w:p>
        </w:tc>
      </w:tr>
      <w:tr>
        <w:trPr>
          <w:trHeight w:val="243"/>
        </w:trPr>
        <w:tc>
          <w:tcPr>
            <w:tcW w:w="5600" w:type="dxa"/>
            <w:vAlign w:val="bottom"/>
          </w:tcPr>
          <w:p>
            <w:pPr>
              <w:ind w:left="980"/>
              <w:spacing w:after="0" w:line="243" w:lineRule="exact"/>
              <w:rPr>
                <w:sz w:val="20"/>
                <w:szCs w:val="20"/>
                <w:color w:val="auto"/>
              </w:rPr>
            </w:pPr>
            <w:r>
              <w:rPr>
                <w:rFonts w:ascii="Arial" w:cs="Arial" w:eastAsia="Arial" w:hAnsi="Arial"/>
                <w:sz w:val="22"/>
                <w:szCs w:val="22"/>
                <w:color w:val="auto"/>
              </w:rPr>
              <w:t>Inventories</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(1,036)</w:t>
            </w:r>
          </w:p>
        </w:tc>
        <w:tc>
          <w:tcPr>
            <w:tcW w:w="9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4,124</w:t>
            </w:r>
          </w:p>
        </w:tc>
        <w:tc>
          <w:tcPr>
            <w:tcW w:w="0" w:type="dxa"/>
            <w:vAlign w:val="bottom"/>
          </w:tcPr>
          <w:p>
            <w:pPr>
              <w:spacing w:after="0"/>
              <w:rPr>
                <w:sz w:val="1"/>
                <w:szCs w:val="1"/>
                <w:color w:val="auto"/>
              </w:rPr>
            </w:pPr>
          </w:p>
        </w:tc>
      </w:tr>
      <w:tr>
        <w:trPr>
          <w:trHeight w:val="243"/>
        </w:trPr>
        <w:tc>
          <w:tcPr>
            <w:tcW w:w="5600" w:type="dxa"/>
            <w:vAlign w:val="bottom"/>
          </w:tcPr>
          <w:p>
            <w:pPr>
              <w:ind w:left="980"/>
              <w:spacing w:after="0" w:line="243" w:lineRule="exact"/>
              <w:rPr>
                <w:sz w:val="20"/>
                <w:szCs w:val="20"/>
                <w:color w:val="auto"/>
              </w:rPr>
            </w:pPr>
            <w:r>
              <w:rPr>
                <w:rFonts w:ascii="Arial" w:cs="Arial" w:eastAsia="Arial" w:hAnsi="Arial"/>
                <w:sz w:val="22"/>
                <w:szCs w:val="22"/>
                <w:color w:val="auto"/>
              </w:rPr>
              <w:t>Other current assets</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(2,424)</w:t>
            </w:r>
          </w:p>
        </w:tc>
        <w:tc>
          <w:tcPr>
            <w:tcW w:w="9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4,231</w:t>
            </w:r>
          </w:p>
        </w:tc>
        <w:tc>
          <w:tcPr>
            <w:tcW w:w="0" w:type="dxa"/>
            <w:vAlign w:val="bottom"/>
          </w:tcPr>
          <w:p>
            <w:pPr>
              <w:spacing w:after="0"/>
              <w:rPr>
                <w:sz w:val="1"/>
                <w:szCs w:val="1"/>
                <w:color w:val="auto"/>
              </w:rPr>
            </w:pPr>
          </w:p>
        </w:tc>
      </w:tr>
      <w:tr>
        <w:trPr>
          <w:trHeight w:val="275"/>
        </w:trPr>
        <w:tc>
          <w:tcPr>
            <w:tcW w:w="5600" w:type="dxa"/>
            <w:vAlign w:val="bottom"/>
          </w:tcPr>
          <w:p>
            <w:pPr>
              <w:ind w:left="960"/>
              <w:spacing w:after="0"/>
              <w:rPr>
                <w:sz w:val="20"/>
                <w:szCs w:val="20"/>
                <w:color w:val="auto"/>
              </w:rPr>
            </w:pPr>
            <w:r>
              <w:rPr>
                <w:rFonts w:ascii="Arial" w:cs="Arial" w:eastAsia="Arial" w:hAnsi="Arial"/>
                <w:sz w:val="22"/>
                <w:szCs w:val="22"/>
                <w:color w:val="auto"/>
              </w:rPr>
              <w:t>Accounts payable and other</w:t>
            </w:r>
          </w:p>
        </w:tc>
        <w:tc>
          <w:tcPr>
            <w:tcW w:w="980" w:type="dxa"/>
            <w:vAlign w:val="bottom"/>
          </w:tcPr>
          <w:p>
            <w:pPr>
              <w:jc w:val="right"/>
              <w:spacing w:after="0"/>
              <w:rPr>
                <w:sz w:val="20"/>
                <w:szCs w:val="20"/>
                <w:color w:val="auto"/>
              </w:rPr>
            </w:pPr>
            <w:r>
              <w:rPr>
                <w:rFonts w:ascii="Arial" w:cs="Arial" w:eastAsia="Arial" w:hAnsi="Arial"/>
                <w:sz w:val="22"/>
                <w:szCs w:val="22"/>
                <w:color w:val="auto"/>
              </w:rPr>
              <w:t>(3,159)</w:t>
            </w:r>
          </w:p>
        </w:tc>
        <w:tc>
          <w:tcPr>
            <w:tcW w:w="920" w:type="dxa"/>
            <w:vAlign w:val="bottom"/>
            <w:gridSpan w:val="2"/>
          </w:tcPr>
          <w:p>
            <w:pPr>
              <w:jc w:val="right"/>
              <w:spacing w:after="0"/>
              <w:rPr>
                <w:sz w:val="20"/>
                <w:szCs w:val="20"/>
                <w:color w:val="auto"/>
              </w:rPr>
            </w:pPr>
            <w:r>
              <w:rPr>
                <w:rFonts w:ascii="Arial" w:cs="Arial" w:eastAsia="Arial" w:hAnsi="Arial"/>
                <w:sz w:val="22"/>
                <w:szCs w:val="22"/>
                <w:color w:val="auto"/>
              </w:rPr>
              <w:t>(25,146)</w:t>
            </w:r>
          </w:p>
        </w:tc>
        <w:tc>
          <w:tcPr>
            <w:tcW w:w="0" w:type="dxa"/>
            <w:vAlign w:val="bottom"/>
          </w:tcPr>
          <w:p>
            <w:pPr>
              <w:spacing w:after="0"/>
              <w:rPr>
                <w:sz w:val="1"/>
                <w:szCs w:val="1"/>
                <w:color w:val="auto"/>
              </w:rPr>
            </w:pPr>
          </w:p>
        </w:tc>
      </w:tr>
      <w:tr>
        <w:trPr>
          <w:trHeight w:val="98"/>
        </w:trPr>
        <w:tc>
          <w:tcPr>
            <w:tcW w:w="5600" w:type="dxa"/>
            <w:vAlign w:val="bottom"/>
          </w:tcPr>
          <w:p>
            <w:pPr>
              <w:spacing w:after="0"/>
              <w:rPr>
                <w:sz w:val="8"/>
                <w:szCs w:val="8"/>
                <w:color w:val="auto"/>
              </w:rPr>
            </w:pPr>
          </w:p>
        </w:tc>
        <w:tc>
          <w:tcPr>
            <w:tcW w:w="98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Borders>
              <w:bottom w:val="single" w:sz="8" w:color="336699"/>
            </w:tcBorders>
          </w:tcPr>
          <w:p>
            <w:pPr>
              <w:spacing w:after="0"/>
              <w:rPr>
                <w:sz w:val="8"/>
                <w:szCs w:val="8"/>
                <w:color w:val="auto"/>
              </w:rPr>
            </w:pPr>
          </w:p>
        </w:tc>
        <w:tc>
          <w:tcPr>
            <w:tcW w:w="0" w:type="dxa"/>
            <w:vAlign w:val="bottom"/>
          </w:tcPr>
          <w:p>
            <w:pPr>
              <w:spacing w:after="0"/>
              <w:rPr>
                <w:sz w:val="1"/>
                <w:szCs w:val="1"/>
                <w:color w:val="auto"/>
              </w:rPr>
            </w:pPr>
          </w:p>
        </w:tc>
      </w:tr>
      <w:tr>
        <w:trPr>
          <w:trHeight w:val="368"/>
        </w:trPr>
        <w:tc>
          <w:tcPr>
            <w:tcW w:w="5600" w:type="dxa"/>
            <w:vAlign w:val="bottom"/>
          </w:tcPr>
          <w:p>
            <w:pPr>
              <w:spacing w:after="0"/>
              <w:rPr>
                <w:sz w:val="20"/>
                <w:szCs w:val="20"/>
                <w:color w:val="auto"/>
              </w:rPr>
            </w:pPr>
            <w:r>
              <w:rPr>
                <w:rFonts w:ascii="Arial" w:cs="Arial" w:eastAsia="Arial" w:hAnsi="Arial"/>
                <w:sz w:val="22"/>
                <w:szCs w:val="22"/>
                <w:color w:val="auto"/>
              </w:rPr>
              <w:t>Net cash provided by operating activities</w:t>
            </w:r>
          </w:p>
        </w:tc>
        <w:tc>
          <w:tcPr>
            <w:tcW w:w="980" w:type="dxa"/>
            <w:vAlign w:val="bottom"/>
          </w:tcPr>
          <w:p>
            <w:pPr>
              <w:jc w:val="right"/>
              <w:spacing w:after="0"/>
              <w:rPr>
                <w:sz w:val="20"/>
                <w:szCs w:val="20"/>
                <w:color w:val="auto"/>
              </w:rPr>
            </w:pPr>
            <w:r>
              <w:rPr>
                <w:rFonts w:ascii="Arial" w:cs="Arial" w:eastAsia="Arial" w:hAnsi="Arial"/>
                <w:sz w:val="22"/>
                <w:szCs w:val="22"/>
                <w:color w:val="auto"/>
              </w:rPr>
              <w:t>65,917</w:t>
            </w:r>
          </w:p>
        </w:tc>
        <w:tc>
          <w:tcPr>
            <w:tcW w:w="920" w:type="dxa"/>
            <w:vAlign w:val="bottom"/>
            <w:gridSpan w:val="2"/>
          </w:tcPr>
          <w:p>
            <w:pPr>
              <w:jc w:val="right"/>
              <w:spacing w:after="0"/>
              <w:rPr>
                <w:sz w:val="20"/>
                <w:szCs w:val="20"/>
                <w:color w:val="auto"/>
              </w:rPr>
            </w:pPr>
            <w:r>
              <w:rPr>
                <w:rFonts w:ascii="Arial" w:cs="Arial" w:eastAsia="Arial" w:hAnsi="Arial"/>
                <w:sz w:val="22"/>
                <w:szCs w:val="22"/>
                <w:color w:val="auto"/>
              </w:rPr>
              <w:t>94,074</w:t>
            </w:r>
          </w:p>
        </w:tc>
        <w:tc>
          <w:tcPr>
            <w:tcW w:w="0" w:type="dxa"/>
            <w:vAlign w:val="bottom"/>
          </w:tcPr>
          <w:p>
            <w:pPr>
              <w:spacing w:after="0"/>
              <w:rPr>
                <w:sz w:val="1"/>
                <w:szCs w:val="1"/>
                <w:color w:val="auto"/>
              </w:rPr>
            </w:pPr>
          </w:p>
        </w:tc>
      </w:tr>
      <w:tr>
        <w:trPr>
          <w:trHeight w:val="98"/>
        </w:trPr>
        <w:tc>
          <w:tcPr>
            <w:tcW w:w="5600" w:type="dxa"/>
            <w:vAlign w:val="bottom"/>
            <w:vMerge w:val="restart"/>
          </w:tcPr>
          <w:p>
            <w:pPr>
              <w:spacing w:after="0"/>
              <w:rPr>
                <w:sz w:val="20"/>
                <w:szCs w:val="20"/>
                <w:color w:val="auto"/>
              </w:rPr>
            </w:pPr>
            <w:r>
              <w:rPr>
                <w:rFonts w:ascii="Arial" w:cs="Arial" w:eastAsia="Arial" w:hAnsi="Arial"/>
                <w:sz w:val="22"/>
                <w:szCs w:val="22"/>
                <w:color w:val="auto"/>
              </w:rPr>
              <w:t>Cash flows from investing activities:</w:t>
            </w:r>
          </w:p>
        </w:tc>
        <w:tc>
          <w:tcPr>
            <w:tcW w:w="98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Borders>
              <w:bottom w:val="single" w:sz="8" w:color="336699"/>
            </w:tcBorders>
          </w:tcPr>
          <w:p>
            <w:pPr>
              <w:spacing w:after="0"/>
              <w:rPr>
                <w:sz w:val="8"/>
                <w:szCs w:val="8"/>
                <w:color w:val="auto"/>
              </w:rPr>
            </w:pPr>
          </w:p>
        </w:tc>
        <w:tc>
          <w:tcPr>
            <w:tcW w:w="0" w:type="dxa"/>
            <w:vAlign w:val="bottom"/>
          </w:tcPr>
          <w:p>
            <w:pPr>
              <w:spacing w:after="0"/>
              <w:rPr>
                <w:sz w:val="1"/>
                <w:szCs w:val="1"/>
                <w:color w:val="auto"/>
              </w:rPr>
            </w:pPr>
          </w:p>
        </w:tc>
      </w:tr>
      <w:tr>
        <w:trPr>
          <w:trHeight w:val="337"/>
        </w:trPr>
        <w:tc>
          <w:tcPr>
            <w:tcW w:w="560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280"/>
              <w:spacing w:after="0" w:line="243" w:lineRule="exact"/>
              <w:rPr>
                <w:sz w:val="20"/>
                <w:szCs w:val="20"/>
                <w:color w:val="auto"/>
              </w:rPr>
            </w:pPr>
            <w:r>
              <w:rPr>
                <w:rFonts w:ascii="Arial" w:cs="Arial" w:eastAsia="Arial" w:hAnsi="Arial"/>
                <w:sz w:val="22"/>
                <w:szCs w:val="22"/>
                <w:color w:val="auto"/>
              </w:rPr>
              <w:t>Purchases of property, plant and equipment</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(94,941)</w:t>
            </w:r>
          </w:p>
        </w:tc>
        <w:tc>
          <w:tcPr>
            <w:tcW w:w="9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(56,951)</w:t>
            </w:r>
          </w:p>
        </w:tc>
        <w:tc>
          <w:tcPr>
            <w:tcW w:w="0" w:type="dxa"/>
            <w:vAlign w:val="bottom"/>
          </w:tcPr>
          <w:p>
            <w:pPr>
              <w:spacing w:after="0"/>
              <w:rPr>
                <w:sz w:val="1"/>
                <w:szCs w:val="1"/>
                <w:color w:val="auto"/>
              </w:rPr>
            </w:pPr>
          </w:p>
        </w:tc>
      </w:tr>
      <w:tr>
        <w:trPr>
          <w:trHeight w:val="243"/>
        </w:trPr>
        <w:tc>
          <w:tcPr>
            <w:tcW w:w="5600" w:type="dxa"/>
            <w:vAlign w:val="bottom"/>
          </w:tcPr>
          <w:p>
            <w:pPr>
              <w:ind w:left="280"/>
              <w:spacing w:after="0" w:line="243" w:lineRule="exact"/>
              <w:rPr>
                <w:sz w:val="20"/>
                <w:szCs w:val="20"/>
                <w:color w:val="auto"/>
              </w:rPr>
            </w:pPr>
            <w:r>
              <w:rPr>
                <w:rFonts w:ascii="Arial" w:cs="Arial" w:eastAsia="Arial" w:hAnsi="Arial"/>
                <w:sz w:val="22"/>
                <w:szCs w:val="22"/>
                <w:color w:val="auto"/>
              </w:rPr>
              <w:t>Investment in joint venture</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(2,598)</w:t>
            </w:r>
          </w:p>
        </w:tc>
        <w:tc>
          <w:tcPr>
            <w:tcW w:w="9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(1,000)</w:t>
            </w:r>
          </w:p>
        </w:tc>
        <w:tc>
          <w:tcPr>
            <w:tcW w:w="0" w:type="dxa"/>
            <w:vAlign w:val="bottom"/>
          </w:tcPr>
          <w:p>
            <w:pPr>
              <w:spacing w:after="0"/>
              <w:rPr>
                <w:sz w:val="1"/>
                <w:szCs w:val="1"/>
                <w:color w:val="auto"/>
              </w:rPr>
            </w:pPr>
          </w:p>
        </w:tc>
      </w:tr>
      <w:tr>
        <w:trPr>
          <w:trHeight w:val="243"/>
        </w:trPr>
        <w:tc>
          <w:tcPr>
            <w:tcW w:w="5600" w:type="dxa"/>
            <w:vAlign w:val="bottom"/>
          </w:tcPr>
          <w:p>
            <w:pPr>
              <w:ind w:left="280"/>
              <w:spacing w:after="0" w:line="243" w:lineRule="exact"/>
              <w:rPr>
                <w:sz w:val="20"/>
                <w:szCs w:val="20"/>
                <w:color w:val="auto"/>
              </w:rPr>
            </w:pPr>
            <w:r>
              <w:rPr>
                <w:rFonts w:ascii="Arial" w:cs="Arial" w:eastAsia="Arial" w:hAnsi="Arial"/>
                <w:sz w:val="22"/>
                <w:szCs w:val="22"/>
                <w:color w:val="auto"/>
              </w:rPr>
              <w:t>Purchases of short-term investments and other</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(327)</w:t>
            </w:r>
          </w:p>
        </w:tc>
        <w:tc>
          <w:tcPr>
            <w:tcW w:w="9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(5,465)</w:t>
            </w:r>
          </w:p>
        </w:tc>
        <w:tc>
          <w:tcPr>
            <w:tcW w:w="0" w:type="dxa"/>
            <w:vAlign w:val="bottom"/>
          </w:tcPr>
          <w:p>
            <w:pPr>
              <w:spacing w:after="0"/>
              <w:rPr>
                <w:sz w:val="1"/>
                <w:szCs w:val="1"/>
                <w:color w:val="auto"/>
              </w:rPr>
            </w:pPr>
          </w:p>
        </w:tc>
      </w:tr>
      <w:tr>
        <w:trPr>
          <w:trHeight w:val="243"/>
        </w:trPr>
        <w:tc>
          <w:tcPr>
            <w:tcW w:w="5600" w:type="dxa"/>
            <w:vAlign w:val="bottom"/>
          </w:tcPr>
          <w:p>
            <w:pPr>
              <w:ind w:left="280"/>
              <w:spacing w:after="0" w:line="243" w:lineRule="exact"/>
              <w:rPr>
                <w:sz w:val="20"/>
                <w:szCs w:val="20"/>
                <w:color w:val="auto"/>
              </w:rPr>
            </w:pPr>
            <w:r>
              <w:rPr>
                <w:rFonts w:ascii="Arial" w:cs="Arial" w:eastAsia="Arial" w:hAnsi="Arial"/>
                <w:sz w:val="22"/>
                <w:szCs w:val="22"/>
                <w:color w:val="auto"/>
              </w:rPr>
              <w:t>Proceeds from sales of investments and other</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3,558</w:t>
            </w:r>
          </w:p>
        </w:tc>
        <w:tc>
          <w:tcPr>
            <w:tcW w:w="9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48,253</w:t>
            </w:r>
          </w:p>
        </w:tc>
        <w:tc>
          <w:tcPr>
            <w:tcW w:w="0" w:type="dxa"/>
            <w:vAlign w:val="bottom"/>
          </w:tcPr>
          <w:p>
            <w:pPr>
              <w:spacing w:after="0"/>
              <w:rPr>
                <w:sz w:val="1"/>
                <w:szCs w:val="1"/>
                <w:color w:val="auto"/>
              </w:rPr>
            </w:pPr>
          </w:p>
        </w:tc>
      </w:tr>
      <w:tr>
        <w:trPr>
          <w:trHeight w:val="275"/>
        </w:trPr>
        <w:tc>
          <w:tcPr>
            <w:tcW w:w="5600" w:type="dxa"/>
            <w:vAlign w:val="bottom"/>
          </w:tcPr>
          <w:p>
            <w:pPr>
              <w:ind w:left="280"/>
              <w:spacing w:after="0"/>
              <w:rPr>
                <w:sz w:val="20"/>
                <w:szCs w:val="20"/>
                <w:color w:val="auto"/>
              </w:rPr>
            </w:pPr>
            <w:r>
              <w:rPr>
                <w:rFonts w:ascii="Arial" w:cs="Arial" w:eastAsia="Arial" w:hAnsi="Arial"/>
                <w:sz w:val="22"/>
                <w:szCs w:val="22"/>
                <w:color w:val="auto"/>
              </w:rPr>
              <w:t>Proceeds from sale of facility</w:t>
            </w:r>
          </w:p>
        </w:tc>
        <w:tc>
          <w:tcPr>
            <w:tcW w:w="980" w:type="dxa"/>
            <w:vAlign w:val="bottom"/>
          </w:tcPr>
          <w:p>
            <w:pPr>
              <w:jc w:val="right"/>
              <w:spacing w:after="0"/>
              <w:rPr>
                <w:sz w:val="20"/>
                <w:szCs w:val="20"/>
                <w:color w:val="auto"/>
              </w:rPr>
            </w:pPr>
            <w:r>
              <w:rPr>
                <w:rFonts w:ascii="Arial" w:cs="Arial" w:eastAsia="Arial" w:hAnsi="Arial"/>
                <w:sz w:val="22"/>
                <w:szCs w:val="22"/>
                <w:color w:val="auto"/>
              </w:rPr>
              <w:t>-</w:t>
            </w:r>
          </w:p>
        </w:tc>
        <w:tc>
          <w:tcPr>
            <w:tcW w:w="920" w:type="dxa"/>
            <w:vAlign w:val="bottom"/>
            <w:gridSpan w:val="2"/>
          </w:tcPr>
          <w:p>
            <w:pPr>
              <w:jc w:val="right"/>
              <w:spacing w:after="0"/>
              <w:rPr>
                <w:sz w:val="20"/>
                <w:szCs w:val="20"/>
                <w:color w:val="auto"/>
              </w:rPr>
            </w:pPr>
            <w:r>
              <w:rPr>
                <w:rFonts w:ascii="Arial" w:cs="Arial" w:eastAsia="Arial" w:hAnsi="Arial"/>
                <w:sz w:val="22"/>
                <w:szCs w:val="22"/>
                <w:color w:val="auto"/>
              </w:rPr>
              <w:t>5,783</w:t>
            </w:r>
          </w:p>
        </w:tc>
        <w:tc>
          <w:tcPr>
            <w:tcW w:w="0" w:type="dxa"/>
            <w:vAlign w:val="bottom"/>
          </w:tcPr>
          <w:p>
            <w:pPr>
              <w:spacing w:after="0"/>
              <w:rPr>
                <w:sz w:val="1"/>
                <w:szCs w:val="1"/>
                <w:color w:val="auto"/>
              </w:rPr>
            </w:pPr>
          </w:p>
        </w:tc>
      </w:tr>
      <w:tr>
        <w:trPr>
          <w:trHeight w:val="98"/>
        </w:trPr>
        <w:tc>
          <w:tcPr>
            <w:tcW w:w="5600" w:type="dxa"/>
            <w:vAlign w:val="bottom"/>
          </w:tcPr>
          <w:p>
            <w:pPr>
              <w:spacing w:after="0"/>
              <w:rPr>
                <w:sz w:val="8"/>
                <w:szCs w:val="8"/>
                <w:color w:val="auto"/>
              </w:rPr>
            </w:pPr>
          </w:p>
        </w:tc>
        <w:tc>
          <w:tcPr>
            <w:tcW w:w="98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Borders>
              <w:bottom w:val="single" w:sz="8" w:color="336699"/>
            </w:tcBorders>
          </w:tcPr>
          <w:p>
            <w:pPr>
              <w:spacing w:after="0"/>
              <w:rPr>
                <w:sz w:val="8"/>
                <w:szCs w:val="8"/>
                <w:color w:val="auto"/>
              </w:rPr>
            </w:pPr>
          </w:p>
        </w:tc>
        <w:tc>
          <w:tcPr>
            <w:tcW w:w="0" w:type="dxa"/>
            <w:vAlign w:val="bottom"/>
          </w:tcPr>
          <w:p>
            <w:pPr>
              <w:spacing w:after="0"/>
              <w:rPr>
                <w:sz w:val="1"/>
                <w:szCs w:val="1"/>
                <w:color w:val="auto"/>
              </w:rPr>
            </w:pPr>
          </w:p>
        </w:tc>
      </w:tr>
      <w:tr>
        <w:trPr>
          <w:trHeight w:val="368"/>
        </w:trPr>
        <w:tc>
          <w:tcPr>
            <w:tcW w:w="5600" w:type="dxa"/>
            <w:vAlign w:val="bottom"/>
          </w:tcPr>
          <w:p>
            <w:pPr>
              <w:spacing w:after="0"/>
              <w:rPr>
                <w:sz w:val="20"/>
                <w:szCs w:val="20"/>
                <w:color w:val="auto"/>
              </w:rPr>
            </w:pPr>
            <w:r>
              <w:rPr>
                <w:rFonts w:ascii="Arial" w:cs="Arial" w:eastAsia="Arial" w:hAnsi="Arial"/>
                <w:sz w:val="22"/>
                <w:szCs w:val="22"/>
                <w:color w:val="auto"/>
              </w:rPr>
              <w:t>Net cash used in investing activities</w:t>
            </w:r>
          </w:p>
        </w:tc>
        <w:tc>
          <w:tcPr>
            <w:tcW w:w="980" w:type="dxa"/>
            <w:vAlign w:val="bottom"/>
          </w:tcPr>
          <w:p>
            <w:pPr>
              <w:jc w:val="right"/>
              <w:spacing w:after="0"/>
              <w:rPr>
                <w:sz w:val="20"/>
                <w:szCs w:val="20"/>
                <w:color w:val="auto"/>
              </w:rPr>
            </w:pPr>
            <w:r>
              <w:rPr>
                <w:rFonts w:ascii="Arial" w:cs="Arial" w:eastAsia="Arial" w:hAnsi="Arial"/>
                <w:sz w:val="22"/>
                <w:szCs w:val="22"/>
                <w:color w:val="auto"/>
              </w:rPr>
              <w:t>(94,308)</w:t>
            </w:r>
          </w:p>
        </w:tc>
        <w:tc>
          <w:tcPr>
            <w:tcW w:w="920" w:type="dxa"/>
            <w:vAlign w:val="bottom"/>
            <w:gridSpan w:val="2"/>
          </w:tcPr>
          <w:p>
            <w:pPr>
              <w:jc w:val="right"/>
              <w:spacing w:after="0"/>
              <w:rPr>
                <w:sz w:val="20"/>
                <w:szCs w:val="20"/>
                <w:color w:val="auto"/>
              </w:rPr>
            </w:pPr>
            <w:r>
              <w:rPr>
                <w:rFonts w:ascii="Arial" w:cs="Arial" w:eastAsia="Arial" w:hAnsi="Arial"/>
                <w:sz w:val="22"/>
                <w:szCs w:val="22"/>
                <w:color w:val="auto"/>
              </w:rPr>
              <w:t>(9,380)</w:t>
            </w:r>
          </w:p>
        </w:tc>
        <w:tc>
          <w:tcPr>
            <w:tcW w:w="0" w:type="dxa"/>
            <w:vAlign w:val="bottom"/>
          </w:tcPr>
          <w:p>
            <w:pPr>
              <w:spacing w:after="0"/>
              <w:rPr>
                <w:sz w:val="1"/>
                <w:szCs w:val="1"/>
                <w:color w:val="auto"/>
              </w:rPr>
            </w:pPr>
          </w:p>
        </w:tc>
      </w:tr>
      <w:tr>
        <w:trPr>
          <w:trHeight w:val="98"/>
        </w:trPr>
        <w:tc>
          <w:tcPr>
            <w:tcW w:w="5600" w:type="dxa"/>
            <w:vAlign w:val="bottom"/>
            <w:vMerge w:val="restart"/>
          </w:tcPr>
          <w:p>
            <w:pPr>
              <w:spacing w:after="0"/>
              <w:rPr>
                <w:sz w:val="20"/>
                <w:szCs w:val="20"/>
                <w:color w:val="auto"/>
              </w:rPr>
            </w:pPr>
            <w:r>
              <w:rPr>
                <w:rFonts w:ascii="Arial" w:cs="Arial" w:eastAsia="Arial" w:hAnsi="Arial"/>
                <w:sz w:val="22"/>
                <w:szCs w:val="22"/>
                <w:color w:val="auto"/>
              </w:rPr>
              <w:t>Cash flows from financing activities:</w:t>
            </w:r>
          </w:p>
        </w:tc>
        <w:tc>
          <w:tcPr>
            <w:tcW w:w="98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Borders>
              <w:bottom w:val="single" w:sz="8" w:color="336699"/>
            </w:tcBorders>
          </w:tcPr>
          <w:p>
            <w:pPr>
              <w:spacing w:after="0"/>
              <w:rPr>
                <w:sz w:val="8"/>
                <w:szCs w:val="8"/>
                <w:color w:val="auto"/>
              </w:rPr>
            </w:pPr>
          </w:p>
        </w:tc>
        <w:tc>
          <w:tcPr>
            <w:tcW w:w="0" w:type="dxa"/>
            <w:vAlign w:val="bottom"/>
          </w:tcPr>
          <w:p>
            <w:pPr>
              <w:spacing w:after="0"/>
              <w:rPr>
                <w:sz w:val="1"/>
                <w:szCs w:val="1"/>
                <w:color w:val="auto"/>
              </w:rPr>
            </w:pPr>
          </w:p>
        </w:tc>
      </w:tr>
      <w:tr>
        <w:trPr>
          <w:trHeight w:val="337"/>
        </w:trPr>
        <w:tc>
          <w:tcPr>
            <w:tcW w:w="560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280"/>
              <w:spacing w:after="0" w:line="243" w:lineRule="exact"/>
              <w:rPr>
                <w:sz w:val="20"/>
                <w:szCs w:val="20"/>
                <w:color w:val="auto"/>
              </w:rPr>
            </w:pPr>
            <w:r>
              <w:rPr>
                <w:rFonts w:ascii="Arial" w:cs="Arial" w:eastAsia="Arial" w:hAnsi="Arial"/>
                <w:sz w:val="22"/>
                <w:szCs w:val="22"/>
                <w:color w:val="auto"/>
              </w:rPr>
              <w:t>Repayments of long-term borrowings</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w w:val="97"/>
              </w:rPr>
              <w:t>(172,468)</w:t>
            </w:r>
          </w:p>
        </w:tc>
        <w:tc>
          <w:tcPr>
            <w:tcW w:w="9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(87,087)</w:t>
            </w:r>
          </w:p>
        </w:tc>
        <w:tc>
          <w:tcPr>
            <w:tcW w:w="0" w:type="dxa"/>
            <w:vAlign w:val="bottom"/>
          </w:tcPr>
          <w:p>
            <w:pPr>
              <w:spacing w:after="0"/>
              <w:rPr>
                <w:sz w:val="1"/>
                <w:szCs w:val="1"/>
                <w:color w:val="auto"/>
              </w:rPr>
            </w:pPr>
          </w:p>
        </w:tc>
      </w:tr>
      <w:tr>
        <w:trPr>
          <w:trHeight w:val="243"/>
        </w:trPr>
        <w:tc>
          <w:tcPr>
            <w:tcW w:w="5600" w:type="dxa"/>
            <w:vAlign w:val="bottom"/>
          </w:tcPr>
          <w:p>
            <w:pPr>
              <w:ind w:left="280"/>
              <w:spacing w:after="0" w:line="243" w:lineRule="exact"/>
              <w:rPr>
                <w:sz w:val="20"/>
                <w:szCs w:val="20"/>
                <w:color w:val="auto"/>
              </w:rPr>
            </w:pPr>
            <w:r>
              <w:rPr>
                <w:rFonts w:ascii="Arial" w:cs="Arial" w:eastAsia="Arial" w:hAnsi="Arial"/>
                <w:sz w:val="22"/>
                <w:szCs w:val="22"/>
                <w:color w:val="auto"/>
              </w:rPr>
              <w:t>Payments to Micron Technology, Inc.</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(7,500)</w:t>
            </w:r>
          </w:p>
        </w:tc>
        <w:tc>
          <w:tcPr>
            <w:tcW w:w="9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(7,500)</w:t>
            </w:r>
          </w:p>
        </w:tc>
        <w:tc>
          <w:tcPr>
            <w:tcW w:w="0" w:type="dxa"/>
            <w:vAlign w:val="bottom"/>
          </w:tcPr>
          <w:p>
            <w:pPr>
              <w:spacing w:after="0"/>
              <w:rPr>
                <w:sz w:val="1"/>
                <w:szCs w:val="1"/>
                <w:color w:val="auto"/>
              </w:rPr>
            </w:pPr>
          </w:p>
        </w:tc>
      </w:tr>
      <w:tr>
        <w:trPr>
          <w:trHeight w:val="243"/>
        </w:trPr>
        <w:tc>
          <w:tcPr>
            <w:tcW w:w="5600" w:type="dxa"/>
            <w:vAlign w:val="bottom"/>
          </w:tcPr>
          <w:p>
            <w:pPr>
              <w:ind w:left="280"/>
              <w:spacing w:after="0" w:line="243" w:lineRule="exact"/>
              <w:rPr>
                <w:sz w:val="20"/>
                <w:szCs w:val="20"/>
                <w:color w:val="auto"/>
              </w:rPr>
            </w:pPr>
            <w:r>
              <w:rPr>
                <w:rFonts w:ascii="Arial" w:cs="Arial" w:eastAsia="Arial" w:hAnsi="Arial"/>
                <w:sz w:val="22"/>
                <w:szCs w:val="22"/>
                <w:color w:val="auto"/>
              </w:rPr>
              <w:t>Proceeds from long-term borrowings</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139,640</w:t>
            </w:r>
          </w:p>
        </w:tc>
        <w:tc>
          <w:tcPr>
            <w:tcW w:w="9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3,369</w:t>
            </w:r>
          </w:p>
        </w:tc>
        <w:tc>
          <w:tcPr>
            <w:tcW w:w="0" w:type="dxa"/>
            <w:vAlign w:val="bottom"/>
          </w:tcPr>
          <w:p>
            <w:pPr>
              <w:spacing w:after="0"/>
              <w:rPr>
                <w:sz w:val="1"/>
                <w:szCs w:val="1"/>
                <w:color w:val="auto"/>
              </w:rPr>
            </w:pPr>
          </w:p>
        </w:tc>
      </w:tr>
      <w:tr>
        <w:trPr>
          <w:trHeight w:val="243"/>
        </w:trPr>
        <w:tc>
          <w:tcPr>
            <w:tcW w:w="5600" w:type="dxa"/>
            <w:vAlign w:val="bottom"/>
          </w:tcPr>
          <w:p>
            <w:pPr>
              <w:ind w:left="280"/>
              <w:spacing w:after="0" w:line="243" w:lineRule="exact"/>
              <w:rPr>
                <w:sz w:val="20"/>
                <w:szCs w:val="20"/>
                <w:color w:val="auto"/>
              </w:rPr>
            </w:pPr>
            <w:r>
              <w:rPr>
                <w:rFonts w:ascii="Arial" w:cs="Arial" w:eastAsia="Arial" w:hAnsi="Arial"/>
                <w:sz w:val="22"/>
                <w:szCs w:val="22"/>
                <w:color w:val="auto"/>
              </w:rPr>
              <w:t>Proceeds from issuance of common stock</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9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631</w:t>
            </w:r>
          </w:p>
        </w:tc>
        <w:tc>
          <w:tcPr>
            <w:tcW w:w="0" w:type="dxa"/>
            <w:vAlign w:val="bottom"/>
          </w:tcPr>
          <w:p>
            <w:pPr>
              <w:spacing w:after="0"/>
              <w:rPr>
                <w:sz w:val="1"/>
                <w:szCs w:val="1"/>
                <w:color w:val="auto"/>
              </w:rPr>
            </w:pPr>
          </w:p>
        </w:tc>
      </w:tr>
      <w:tr>
        <w:trPr>
          <w:trHeight w:val="275"/>
        </w:trPr>
        <w:tc>
          <w:tcPr>
            <w:tcW w:w="5600" w:type="dxa"/>
            <w:vAlign w:val="bottom"/>
          </w:tcPr>
          <w:p>
            <w:pPr>
              <w:ind w:left="280"/>
              <w:spacing w:after="0"/>
              <w:rPr>
                <w:sz w:val="20"/>
                <w:szCs w:val="20"/>
                <w:color w:val="auto"/>
              </w:rPr>
            </w:pPr>
            <w:r>
              <w:rPr>
                <w:rFonts w:ascii="Arial" w:cs="Arial" w:eastAsia="Arial" w:hAnsi="Arial"/>
                <w:sz w:val="22"/>
                <w:szCs w:val="22"/>
                <w:color w:val="auto"/>
              </w:rPr>
              <w:t>Other</w:t>
            </w:r>
          </w:p>
        </w:tc>
        <w:tc>
          <w:tcPr>
            <w:tcW w:w="980" w:type="dxa"/>
            <w:vAlign w:val="bottom"/>
          </w:tcPr>
          <w:p>
            <w:pPr>
              <w:jc w:val="right"/>
              <w:spacing w:after="0"/>
              <w:rPr>
                <w:sz w:val="20"/>
                <w:szCs w:val="20"/>
                <w:color w:val="auto"/>
              </w:rPr>
            </w:pPr>
            <w:r>
              <w:rPr>
                <w:rFonts w:ascii="Arial" w:cs="Arial" w:eastAsia="Arial" w:hAnsi="Arial"/>
                <w:sz w:val="22"/>
                <w:szCs w:val="22"/>
                <w:color w:val="auto"/>
              </w:rPr>
              <w:t>(950)</w:t>
            </w:r>
          </w:p>
        </w:tc>
        <w:tc>
          <w:tcPr>
            <w:tcW w:w="920" w:type="dxa"/>
            <w:vAlign w:val="bottom"/>
            <w:gridSpan w:val="2"/>
          </w:tcPr>
          <w:p>
            <w:pPr>
              <w:jc w:val="right"/>
              <w:spacing w:after="0"/>
              <w:rPr>
                <w:sz w:val="20"/>
                <w:szCs w:val="20"/>
                <w:color w:val="auto"/>
              </w:rPr>
            </w:pPr>
            <w:r>
              <w:rPr>
                <w:rFonts w:ascii="Arial" w:cs="Arial" w:eastAsia="Arial" w:hAnsi="Arial"/>
                <w:sz w:val="22"/>
                <w:szCs w:val="22"/>
                <w:color w:val="auto"/>
              </w:rPr>
              <w:t>(1,485)</w:t>
            </w:r>
          </w:p>
        </w:tc>
        <w:tc>
          <w:tcPr>
            <w:tcW w:w="0" w:type="dxa"/>
            <w:vAlign w:val="bottom"/>
          </w:tcPr>
          <w:p>
            <w:pPr>
              <w:spacing w:after="0"/>
              <w:rPr>
                <w:sz w:val="1"/>
                <w:szCs w:val="1"/>
                <w:color w:val="auto"/>
              </w:rPr>
            </w:pPr>
          </w:p>
        </w:tc>
      </w:tr>
      <w:tr>
        <w:trPr>
          <w:trHeight w:val="112"/>
        </w:trPr>
        <w:tc>
          <w:tcPr>
            <w:tcW w:w="5600" w:type="dxa"/>
            <w:vAlign w:val="bottom"/>
          </w:tcPr>
          <w:p>
            <w:pPr>
              <w:spacing w:after="0"/>
              <w:rPr>
                <w:sz w:val="9"/>
                <w:szCs w:val="9"/>
                <w:color w:val="auto"/>
              </w:rPr>
            </w:pPr>
          </w:p>
        </w:tc>
        <w:tc>
          <w:tcPr>
            <w:tcW w:w="980" w:type="dxa"/>
            <w:vAlign w:val="bottom"/>
            <w:tcBorders>
              <w:bottom w:val="single" w:sz="8" w:color="336699"/>
            </w:tcBorders>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Borders>
              <w:bottom w:val="single" w:sz="8" w:color="336699"/>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61" w:right="1440" w:bottom="0" w:gutter="0" w:footer="0" w:header="0"/>
        </w:sectPr>
      </w:pPr>
    </w:p>
    <w:bookmarkStart w:id="5" w:name="page6"/>
    <w:bookmarkEnd w:id="5"/>
    <w:p>
      <w:pPr>
        <w:spacing w:after="0" w:line="1" w:lineRule="exact"/>
        <w:rPr>
          <w:sz w:val="20"/>
          <w:szCs w:val="20"/>
          <w:color w:val="auto"/>
        </w:rPr>
      </w:pPr>
    </w:p>
    <w:tbl>
      <w:tblPr>
        <w:tblLayout w:type="fixed"/>
        <w:tblInd w:w="1980" w:type="dxa"/>
        <w:tblCellMar>
          <w:top w:w="0" w:type="dxa"/>
          <w:left w:w="0" w:type="dxa"/>
          <w:bottom w:w="0" w:type="dxa"/>
          <w:right w:w="0" w:type="dxa"/>
        </w:tblCellMar>
      </w:tblPr>
      <w:tr>
        <w:trPr>
          <w:trHeight w:val="275"/>
        </w:trPr>
        <w:tc>
          <w:tcPr>
            <w:tcW w:w="5600" w:type="dxa"/>
            <w:vAlign w:val="bottom"/>
            <w:gridSpan w:val="2"/>
          </w:tcPr>
          <w:p>
            <w:pPr>
              <w:spacing w:after="0"/>
              <w:rPr>
                <w:sz w:val="20"/>
                <w:szCs w:val="20"/>
                <w:color w:val="auto"/>
              </w:rPr>
            </w:pPr>
            <w:r>
              <w:rPr>
                <w:rFonts w:ascii="Arial" w:cs="Arial" w:eastAsia="Arial" w:hAnsi="Arial"/>
                <w:sz w:val="22"/>
                <w:szCs w:val="22"/>
                <w:color w:val="auto"/>
              </w:rPr>
              <w:t>Net cash used in financing activities</w:t>
            </w:r>
          </w:p>
        </w:tc>
        <w:tc>
          <w:tcPr>
            <w:tcW w:w="980" w:type="dxa"/>
            <w:vAlign w:val="bottom"/>
          </w:tcPr>
          <w:p>
            <w:pPr>
              <w:jc w:val="right"/>
              <w:spacing w:after="0"/>
              <w:rPr>
                <w:sz w:val="20"/>
                <w:szCs w:val="20"/>
                <w:color w:val="auto"/>
              </w:rPr>
            </w:pPr>
            <w:r>
              <w:rPr>
                <w:rFonts w:ascii="Arial" w:cs="Arial" w:eastAsia="Arial" w:hAnsi="Arial"/>
                <w:sz w:val="22"/>
                <w:szCs w:val="22"/>
                <w:color w:val="auto"/>
              </w:rPr>
              <w:t>(41,278)</w:t>
            </w:r>
          </w:p>
        </w:tc>
        <w:tc>
          <w:tcPr>
            <w:tcW w:w="920" w:type="dxa"/>
            <w:vAlign w:val="bottom"/>
            <w:gridSpan w:val="3"/>
          </w:tcPr>
          <w:p>
            <w:pPr>
              <w:jc w:val="right"/>
              <w:spacing w:after="0"/>
              <w:rPr>
                <w:sz w:val="20"/>
                <w:szCs w:val="20"/>
                <w:color w:val="auto"/>
              </w:rPr>
            </w:pPr>
            <w:r>
              <w:rPr>
                <w:rFonts w:ascii="Arial" w:cs="Arial" w:eastAsia="Arial" w:hAnsi="Arial"/>
                <w:sz w:val="22"/>
                <w:szCs w:val="22"/>
                <w:color w:val="auto"/>
              </w:rPr>
              <w:t>(92,072)</w:t>
            </w:r>
          </w:p>
        </w:tc>
      </w:tr>
      <w:tr>
        <w:trPr>
          <w:trHeight w:val="112"/>
        </w:trPr>
        <w:tc>
          <w:tcPr>
            <w:tcW w:w="5580" w:type="dxa"/>
            <w:vAlign w:val="bottom"/>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tcBorders>
              <w:bottom w:val="single" w:sz="8" w:color="336699"/>
            </w:tcBorders>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Borders>
              <w:bottom w:val="single" w:sz="8" w:color="336699"/>
            </w:tcBorders>
            <w:gridSpan w:val="2"/>
          </w:tcPr>
          <w:p>
            <w:pPr>
              <w:spacing w:after="0"/>
              <w:rPr>
                <w:sz w:val="9"/>
                <w:szCs w:val="9"/>
                <w:color w:val="auto"/>
              </w:rPr>
            </w:pPr>
          </w:p>
        </w:tc>
      </w:tr>
      <w:tr>
        <w:trPr>
          <w:trHeight w:val="355"/>
        </w:trPr>
        <w:tc>
          <w:tcPr>
            <w:tcW w:w="5600" w:type="dxa"/>
            <w:vAlign w:val="bottom"/>
            <w:gridSpan w:val="2"/>
          </w:tcPr>
          <w:p>
            <w:pPr>
              <w:spacing w:after="0"/>
              <w:rPr>
                <w:sz w:val="20"/>
                <w:szCs w:val="20"/>
                <w:color w:val="auto"/>
              </w:rPr>
            </w:pPr>
            <w:r>
              <w:rPr>
                <w:rFonts w:ascii="Arial" w:cs="Arial" w:eastAsia="Arial" w:hAnsi="Arial"/>
                <w:sz w:val="22"/>
                <w:szCs w:val="22"/>
                <w:color w:val="auto"/>
              </w:rPr>
              <w:t>Effect of exchange rate changes on cash</w:t>
            </w:r>
          </w:p>
        </w:tc>
        <w:tc>
          <w:tcPr>
            <w:tcW w:w="980" w:type="dxa"/>
            <w:vAlign w:val="bottom"/>
          </w:tcPr>
          <w:p>
            <w:pPr>
              <w:jc w:val="right"/>
              <w:spacing w:after="0"/>
              <w:rPr>
                <w:sz w:val="20"/>
                <w:szCs w:val="20"/>
                <w:color w:val="auto"/>
              </w:rPr>
            </w:pPr>
            <w:r>
              <w:rPr>
                <w:rFonts w:ascii="Arial" w:cs="Arial" w:eastAsia="Arial" w:hAnsi="Arial"/>
                <w:sz w:val="22"/>
                <w:szCs w:val="22"/>
                <w:color w:val="auto"/>
              </w:rPr>
              <w:t>790</w:t>
            </w:r>
          </w:p>
        </w:tc>
        <w:tc>
          <w:tcPr>
            <w:tcW w:w="920" w:type="dxa"/>
            <w:vAlign w:val="bottom"/>
            <w:gridSpan w:val="3"/>
          </w:tcPr>
          <w:p>
            <w:pPr>
              <w:jc w:val="right"/>
              <w:spacing w:after="0"/>
              <w:rPr>
                <w:sz w:val="20"/>
                <w:szCs w:val="20"/>
                <w:color w:val="auto"/>
              </w:rPr>
            </w:pPr>
            <w:r>
              <w:rPr>
                <w:rFonts w:ascii="Arial" w:cs="Arial" w:eastAsia="Arial" w:hAnsi="Arial"/>
                <w:sz w:val="22"/>
                <w:szCs w:val="22"/>
                <w:color w:val="auto"/>
              </w:rPr>
              <w:t>(1,991)</w:t>
            </w:r>
          </w:p>
        </w:tc>
      </w:tr>
      <w:tr>
        <w:trPr>
          <w:trHeight w:val="112"/>
        </w:trPr>
        <w:tc>
          <w:tcPr>
            <w:tcW w:w="5580" w:type="dxa"/>
            <w:vAlign w:val="bottom"/>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tcBorders>
              <w:bottom w:val="single" w:sz="8" w:color="336699"/>
            </w:tcBorders>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Borders>
              <w:bottom w:val="single" w:sz="8" w:color="336699"/>
            </w:tcBorders>
            <w:gridSpan w:val="2"/>
          </w:tcPr>
          <w:p>
            <w:pPr>
              <w:spacing w:after="0"/>
              <w:rPr>
                <w:sz w:val="9"/>
                <w:szCs w:val="9"/>
                <w:color w:val="auto"/>
              </w:rPr>
            </w:pPr>
          </w:p>
        </w:tc>
      </w:tr>
      <w:tr>
        <w:trPr>
          <w:trHeight w:val="323"/>
        </w:trPr>
        <w:tc>
          <w:tcPr>
            <w:tcW w:w="5600" w:type="dxa"/>
            <w:vAlign w:val="bottom"/>
            <w:gridSpan w:val="2"/>
          </w:tcPr>
          <w:p>
            <w:pPr>
              <w:spacing w:after="0"/>
              <w:rPr>
                <w:sz w:val="20"/>
                <w:szCs w:val="20"/>
                <w:color w:val="auto"/>
              </w:rPr>
            </w:pPr>
            <w:r>
              <w:rPr>
                <w:rFonts w:ascii="Arial" w:cs="Arial" w:eastAsia="Arial" w:hAnsi="Arial"/>
                <w:sz w:val="22"/>
                <w:szCs w:val="22"/>
                <w:color w:val="auto"/>
              </w:rPr>
              <w:t>Net decrease in cash and cash equivalents</w:t>
            </w:r>
          </w:p>
        </w:tc>
        <w:tc>
          <w:tcPr>
            <w:tcW w:w="980" w:type="dxa"/>
            <w:vAlign w:val="bottom"/>
          </w:tcPr>
          <w:p>
            <w:pPr>
              <w:jc w:val="right"/>
              <w:spacing w:after="0"/>
              <w:rPr>
                <w:sz w:val="20"/>
                <w:szCs w:val="20"/>
                <w:color w:val="auto"/>
              </w:rPr>
            </w:pPr>
            <w:r>
              <w:rPr>
                <w:rFonts w:ascii="Arial" w:cs="Arial" w:eastAsia="Arial" w:hAnsi="Arial"/>
                <w:sz w:val="22"/>
                <w:szCs w:val="22"/>
                <w:color w:val="auto"/>
              </w:rPr>
              <w:t>(68,879)</w:t>
            </w:r>
          </w:p>
        </w:tc>
        <w:tc>
          <w:tcPr>
            <w:tcW w:w="920" w:type="dxa"/>
            <w:vAlign w:val="bottom"/>
            <w:gridSpan w:val="3"/>
          </w:tcPr>
          <w:p>
            <w:pPr>
              <w:jc w:val="right"/>
              <w:spacing w:after="0"/>
              <w:rPr>
                <w:sz w:val="20"/>
                <w:szCs w:val="20"/>
                <w:color w:val="auto"/>
              </w:rPr>
            </w:pPr>
            <w:r>
              <w:rPr>
                <w:rFonts w:ascii="Arial" w:cs="Arial" w:eastAsia="Arial" w:hAnsi="Arial"/>
                <w:sz w:val="22"/>
                <w:szCs w:val="22"/>
                <w:color w:val="auto"/>
              </w:rPr>
              <w:t>(9,369)</w:t>
            </w:r>
          </w:p>
        </w:tc>
      </w:tr>
      <w:tr>
        <w:trPr>
          <w:trHeight w:val="275"/>
        </w:trPr>
        <w:tc>
          <w:tcPr>
            <w:tcW w:w="5600" w:type="dxa"/>
            <w:vAlign w:val="bottom"/>
            <w:gridSpan w:val="2"/>
          </w:tcPr>
          <w:p>
            <w:pPr>
              <w:spacing w:after="0"/>
              <w:rPr>
                <w:sz w:val="20"/>
                <w:szCs w:val="20"/>
                <w:color w:val="auto"/>
              </w:rPr>
            </w:pPr>
            <w:r>
              <w:rPr>
                <w:rFonts w:ascii="Arial" w:cs="Arial" w:eastAsia="Arial" w:hAnsi="Arial"/>
                <w:sz w:val="22"/>
                <w:szCs w:val="22"/>
                <w:color w:val="auto"/>
              </w:rPr>
              <w:t>Cash and cash equivalents at beginning of period</w:t>
            </w:r>
          </w:p>
        </w:tc>
        <w:tc>
          <w:tcPr>
            <w:tcW w:w="980" w:type="dxa"/>
            <w:vAlign w:val="bottom"/>
          </w:tcPr>
          <w:p>
            <w:pPr>
              <w:jc w:val="right"/>
              <w:spacing w:after="0"/>
              <w:rPr>
                <w:sz w:val="20"/>
                <w:szCs w:val="20"/>
                <w:color w:val="auto"/>
              </w:rPr>
            </w:pPr>
            <w:r>
              <w:rPr>
                <w:rFonts w:ascii="Arial" w:cs="Arial" w:eastAsia="Arial" w:hAnsi="Arial"/>
                <w:sz w:val="22"/>
                <w:szCs w:val="22"/>
                <w:color w:val="auto"/>
              </w:rPr>
              <w:t>146,049</w:t>
            </w:r>
          </w:p>
        </w:tc>
        <w:tc>
          <w:tcPr>
            <w:tcW w:w="920" w:type="dxa"/>
            <w:vAlign w:val="bottom"/>
            <w:gridSpan w:val="3"/>
          </w:tcPr>
          <w:p>
            <w:pPr>
              <w:jc w:val="right"/>
              <w:spacing w:after="0"/>
              <w:rPr>
                <w:sz w:val="20"/>
                <w:szCs w:val="20"/>
                <w:color w:val="auto"/>
              </w:rPr>
            </w:pPr>
            <w:r>
              <w:rPr>
                <w:rFonts w:ascii="Arial" w:cs="Arial" w:eastAsia="Arial" w:hAnsi="Arial"/>
                <w:sz w:val="22"/>
                <w:szCs w:val="22"/>
                <w:color w:val="auto"/>
              </w:rPr>
              <w:t>129,425</w:t>
            </w:r>
          </w:p>
        </w:tc>
      </w:tr>
      <w:tr>
        <w:trPr>
          <w:trHeight w:val="112"/>
        </w:trPr>
        <w:tc>
          <w:tcPr>
            <w:tcW w:w="5580" w:type="dxa"/>
            <w:vAlign w:val="bottom"/>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tcBorders>
              <w:bottom w:val="single" w:sz="8" w:color="336699"/>
            </w:tcBorders>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Borders>
              <w:bottom w:val="single" w:sz="8" w:color="336699"/>
            </w:tcBorders>
            <w:gridSpan w:val="2"/>
          </w:tcPr>
          <w:p>
            <w:pPr>
              <w:spacing w:after="0"/>
              <w:rPr>
                <w:sz w:val="9"/>
                <w:szCs w:val="9"/>
                <w:color w:val="auto"/>
              </w:rPr>
            </w:pPr>
          </w:p>
        </w:tc>
      </w:tr>
      <w:tr>
        <w:trPr>
          <w:trHeight w:val="355"/>
        </w:trPr>
        <w:tc>
          <w:tcPr>
            <w:tcW w:w="5600" w:type="dxa"/>
            <w:vAlign w:val="bottom"/>
            <w:gridSpan w:val="2"/>
          </w:tcPr>
          <w:p>
            <w:pPr>
              <w:spacing w:after="0"/>
              <w:rPr>
                <w:sz w:val="20"/>
                <w:szCs w:val="20"/>
                <w:color w:val="auto"/>
              </w:rPr>
            </w:pPr>
            <w:r>
              <w:rPr>
                <w:rFonts w:ascii="Arial" w:cs="Arial" w:eastAsia="Arial" w:hAnsi="Arial"/>
                <w:sz w:val="22"/>
                <w:szCs w:val="22"/>
                <w:color w:val="auto"/>
              </w:rPr>
              <w:t>Cash and cash equivalents at end of period</w:t>
            </w:r>
          </w:p>
        </w:tc>
        <w:tc>
          <w:tcPr>
            <w:tcW w:w="980" w:type="dxa"/>
            <w:vAlign w:val="bottom"/>
          </w:tcPr>
          <w:p>
            <w:pPr>
              <w:jc w:val="right"/>
              <w:spacing w:after="0"/>
              <w:rPr>
                <w:sz w:val="20"/>
                <w:szCs w:val="20"/>
                <w:color w:val="auto"/>
              </w:rPr>
            </w:pPr>
            <w:r>
              <w:rPr>
                <w:rFonts w:ascii="Arial" w:cs="Arial" w:eastAsia="Arial" w:hAnsi="Arial"/>
                <w:sz w:val="22"/>
                <w:szCs w:val="22"/>
                <w:color w:val="auto"/>
              </w:rPr>
              <w:t>$77,170</w:t>
            </w:r>
          </w:p>
        </w:tc>
        <w:tc>
          <w:tcPr>
            <w:tcW w:w="920" w:type="dxa"/>
            <w:vAlign w:val="bottom"/>
            <w:gridSpan w:val="3"/>
          </w:tcPr>
          <w:p>
            <w:pPr>
              <w:jc w:val="right"/>
              <w:spacing w:after="0"/>
              <w:rPr>
                <w:sz w:val="20"/>
                <w:szCs w:val="20"/>
                <w:color w:val="auto"/>
              </w:rPr>
            </w:pPr>
            <w:r>
              <w:rPr>
                <w:rFonts w:ascii="Arial" w:cs="Arial" w:eastAsia="Arial" w:hAnsi="Arial"/>
                <w:sz w:val="22"/>
                <w:szCs w:val="22"/>
                <w:color w:val="auto"/>
                <w:w w:val="89"/>
              </w:rPr>
              <w:t>$120,056</w:t>
            </w:r>
          </w:p>
        </w:tc>
      </w:tr>
      <w:tr>
        <w:trPr>
          <w:trHeight w:val="122"/>
        </w:trPr>
        <w:tc>
          <w:tcPr>
            <w:tcW w:w="558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980" w:type="dxa"/>
            <w:vAlign w:val="bottom"/>
            <w:tcBorders>
              <w:bottom w:val="single" w:sz="8" w:color="336699"/>
            </w:tcBorders>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Borders>
              <w:bottom w:val="single" w:sz="8" w:color="336699"/>
            </w:tcBorders>
          </w:tcPr>
          <w:p>
            <w:pPr>
              <w:spacing w:after="0"/>
              <w:rPr>
                <w:sz w:val="10"/>
                <w:szCs w:val="10"/>
                <w:color w:val="auto"/>
              </w:rPr>
            </w:pPr>
          </w:p>
        </w:tc>
        <w:tc>
          <w:tcPr>
            <w:tcW w:w="400" w:type="dxa"/>
            <w:vAlign w:val="bottom"/>
            <w:tcBorders>
              <w:bottom w:val="single" w:sz="8" w:color="336699"/>
            </w:tcBorders>
          </w:tcPr>
          <w:p>
            <w:pPr>
              <w:spacing w:after="0"/>
              <w:rPr>
                <w:sz w:val="10"/>
                <w:szCs w:val="10"/>
                <w:color w:val="auto"/>
              </w:rPr>
            </w:pPr>
          </w:p>
        </w:tc>
      </w:tr>
      <w:tr>
        <w:trPr>
          <w:trHeight w:val="601"/>
        </w:trPr>
        <w:tc>
          <w:tcPr>
            <w:tcW w:w="5600" w:type="dxa"/>
            <w:vAlign w:val="bottom"/>
            <w:gridSpan w:val="2"/>
          </w:tcPr>
          <w:p>
            <w:pPr>
              <w:spacing w:after="0"/>
              <w:rPr>
                <w:sz w:val="20"/>
                <w:szCs w:val="20"/>
                <w:color w:val="auto"/>
              </w:rPr>
            </w:pPr>
            <w:r>
              <w:rPr>
                <w:rFonts w:ascii="Arial" w:cs="Arial" w:eastAsia="Arial" w:hAnsi="Arial"/>
                <w:sz w:val="22"/>
                <w:szCs w:val="22"/>
                <w:color w:val="auto"/>
              </w:rPr>
              <w:t>Supplemental disclosure of cash flow information:</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55"/>
        </w:trPr>
        <w:tc>
          <w:tcPr>
            <w:tcW w:w="5600" w:type="dxa"/>
            <w:vAlign w:val="bottom"/>
            <w:gridSpan w:val="2"/>
          </w:tcPr>
          <w:p>
            <w:pPr>
              <w:ind w:left="280"/>
              <w:spacing w:after="0"/>
              <w:rPr>
                <w:sz w:val="20"/>
                <w:szCs w:val="20"/>
                <w:color w:val="auto"/>
              </w:rPr>
            </w:pPr>
            <w:r>
              <w:rPr>
                <w:rFonts w:ascii="Arial" w:cs="Arial" w:eastAsia="Arial" w:hAnsi="Arial"/>
                <w:sz w:val="22"/>
                <w:szCs w:val="22"/>
                <w:color w:val="auto"/>
              </w:rPr>
              <w:t>Change in accrual for purchases of property, plant</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43"/>
        </w:trPr>
        <w:tc>
          <w:tcPr>
            <w:tcW w:w="5600" w:type="dxa"/>
            <w:vAlign w:val="bottom"/>
            <w:gridSpan w:val="2"/>
          </w:tcPr>
          <w:p>
            <w:pPr>
              <w:ind w:left="380"/>
              <w:spacing w:after="0" w:line="243" w:lineRule="exact"/>
              <w:rPr>
                <w:sz w:val="20"/>
                <w:szCs w:val="20"/>
                <w:color w:val="auto"/>
              </w:rPr>
            </w:pPr>
            <w:r>
              <w:rPr>
                <w:rFonts w:ascii="Arial" w:cs="Arial" w:eastAsia="Arial" w:hAnsi="Arial"/>
                <w:sz w:val="22"/>
                <w:szCs w:val="22"/>
                <w:color w:val="auto"/>
              </w:rPr>
              <w:t>and equipment</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w w:val="97"/>
              </w:rPr>
              <w:t>$(40,144)</w:t>
            </w:r>
          </w:p>
        </w:tc>
        <w:tc>
          <w:tcPr>
            <w:tcW w:w="92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$16,480</w:t>
            </w:r>
          </w:p>
        </w:tc>
      </w:tr>
      <w:tr>
        <w:trPr>
          <w:trHeight w:val="243"/>
        </w:trPr>
        <w:tc>
          <w:tcPr>
            <w:tcW w:w="5600" w:type="dxa"/>
            <w:vAlign w:val="bottom"/>
            <w:gridSpan w:val="2"/>
          </w:tcPr>
          <w:p>
            <w:pPr>
              <w:ind w:left="280"/>
              <w:spacing w:after="0" w:line="243" w:lineRule="exact"/>
              <w:rPr>
                <w:sz w:val="20"/>
                <w:szCs w:val="20"/>
                <w:color w:val="auto"/>
              </w:rPr>
            </w:pPr>
            <w:r>
              <w:rPr>
                <w:rFonts w:ascii="Arial" w:cs="Arial" w:eastAsia="Arial" w:hAnsi="Arial"/>
                <w:sz w:val="22"/>
                <w:szCs w:val="22"/>
                <w:color w:val="auto"/>
                <w:w w:val="98"/>
              </w:rPr>
              <w:t>Capital lease obligation for purchases of property, plant</w:t>
            </w: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75"/>
        </w:trPr>
        <w:tc>
          <w:tcPr>
            <w:tcW w:w="5600" w:type="dxa"/>
            <w:vAlign w:val="bottom"/>
            <w:gridSpan w:val="2"/>
          </w:tcPr>
          <w:p>
            <w:pPr>
              <w:ind w:left="380"/>
              <w:spacing w:after="0"/>
              <w:rPr>
                <w:sz w:val="20"/>
                <w:szCs w:val="20"/>
                <w:color w:val="auto"/>
              </w:rPr>
            </w:pPr>
            <w:r>
              <w:rPr>
                <w:rFonts w:ascii="Arial" w:cs="Arial" w:eastAsia="Arial" w:hAnsi="Arial"/>
                <w:sz w:val="22"/>
                <w:szCs w:val="22"/>
                <w:color w:val="auto"/>
              </w:rPr>
              <w:t>and equipment</w:t>
            </w:r>
          </w:p>
        </w:tc>
        <w:tc>
          <w:tcPr>
            <w:tcW w:w="980" w:type="dxa"/>
            <w:vAlign w:val="bottom"/>
          </w:tcPr>
          <w:p>
            <w:pPr>
              <w:jc w:val="right"/>
              <w:spacing w:after="0"/>
              <w:rPr>
                <w:sz w:val="20"/>
                <w:szCs w:val="20"/>
                <w:color w:val="auto"/>
              </w:rPr>
            </w:pPr>
            <w:r>
              <w:rPr>
                <w:rFonts w:ascii="Arial" w:cs="Arial" w:eastAsia="Arial" w:hAnsi="Arial"/>
                <w:sz w:val="22"/>
                <w:szCs w:val="22"/>
                <w:color w:val="auto"/>
              </w:rPr>
              <w:t>$ 61,662</w:t>
            </w:r>
          </w:p>
        </w:tc>
        <w:tc>
          <w:tcPr>
            <w:tcW w:w="520" w:type="dxa"/>
            <w:vAlign w:val="bottom"/>
            <w:gridSpan w:val="2"/>
          </w:tcPr>
          <w:p>
            <w:pPr>
              <w:jc w:val="right"/>
              <w:ind w:right="240"/>
              <w:spacing w:after="0"/>
              <w:rPr>
                <w:sz w:val="20"/>
                <w:szCs w:val="20"/>
                <w:color w:val="auto"/>
              </w:rPr>
            </w:pPr>
            <w:r>
              <w:rPr>
                <w:rFonts w:ascii="Arial" w:cs="Arial" w:eastAsia="Arial" w:hAnsi="Arial"/>
                <w:sz w:val="22"/>
                <w:szCs w:val="22"/>
                <w:color w:val="auto"/>
              </w:rPr>
              <w:t>$</w:t>
            </w:r>
          </w:p>
        </w:tc>
        <w:tc>
          <w:tcPr>
            <w:tcW w:w="400" w:type="dxa"/>
            <w:vAlign w:val="bottom"/>
          </w:tcPr>
          <w:p>
            <w:pPr>
              <w:jc w:val="right"/>
              <w:spacing w:after="0"/>
              <w:rPr>
                <w:sz w:val="20"/>
                <w:szCs w:val="20"/>
                <w:color w:val="auto"/>
              </w:rPr>
            </w:pPr>
            <w:r>
              <w:rPr>
                <w:rFonts w:ascii="Arial" w:cs="Arial" w:eastAsia="Arial" w:hAnsi="Arial"/>
                <w:sz w:val="22"/>
                <w:szCs w:val="22"/>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-1182370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-1182370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-1182370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-1182370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22"/>
          <w:szCs w:val="22"/>
          <w:i w:val="1"/>
          <w:iCs w:val="1"/>
          <w:color w:val="auto"/>
        </w:rPr>
        <w:t>See accompanying notes to condensed consolidated financial statements</w:t>
      </w:r>
      <w:r>
        <w:rPr>
          <w:rFonts w:ascii="Arial" w:cs="Arial" w:eastAsia="Arial" w:hAnsi="Arial"/>
          <w:sz w:val="22"/>
          <w:szCs w:val="22"/>
          <w:color w:val="auto"/>
        </w:rPr>
        <w:t>.</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PHOTRONICS, INC. AND SUBSIDIARIES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Notes to Condensed Consolidated Financial Statements</w:t>
      </w:r>
    </w:p>
    <w:p>
      <w:pPr>
        <w:jc w:val="center"/>
        <w:ind w:right="-19"/>
        <w:spacing w:after="0" w:line="230" w:lineRule="auto"/>
        <w:rPr>
          <w:sz w:val="20"/>
          <w:szCs w:val="20"/>
          <w:color w:val="auto"/>
        </w:rPr>
      </w:pPr>
      <w:r>
        <w:rPr>
          <w:rFonts w:ascii="Arial" w:cs="Arial" w:eastAsia="Arial" w:hAnsi="Arial"/>
          <w:sz w:val="22"/>
          <w:szCs w:val="22"/>
          <w:color w:val="auto"/>
        </w:rPr>
        <w:t>Three and Nine Months Ended July 27, 2008 and July 29, 2007</w:t>
      </w:r>
    </w:p>
    <w:p>
      <w:pPr>
        <w:jc w:val="center"/>
        <w:ind w:right="-19"/>
        <w:spacing w:after="0" w:line="231" w:lineRule="auto"/>
        <w:rPr>
          <w:sz w:val="20"/>
          <w:szCs w:val="20"/>
          <w:color w:val="auto"/>
        </w:rPr>
      </w:pPr>
      <w:r>
        <w:rPr>
          <w:rFonts w:ascii="Arial" w:cs="Arial" w:eastAsia="Arial" w:hAnsi="Arial"/>
          <w:sz w:val="22"/>
          <w:szCs w:val="22"/>
          <w:i w:val="1"/>
          <w:iCs w:val="1"/>
          <w:color w:val="auto"/>
        </w:rPr>
        <w:t>(in thousands, except per share amounts)</w:t>
      </w:r>
    </w:p>
    <w:p>
      <w:pPr>
        <w:jc w:val="center"/>
        <w:ind w:right="-19"/>
        <w:spacing w:after="0"/>
        <w:rPr>
          <w:sz w:val="20"/>
          <w:szCs w:val="20"/>
          <w:color w:val="auto"/>
        </w:rPr>
      </w:pPr>
      <w:r>
        <w:rPr>
          <w:rFonts w:ascii="Arial" w:cs="Arial" w:eastAsia="Arial" w:hAnsi="Arial"/>
          <w:sz w:val="22"/>
          <w:szCs w:val="22"/>
          <w:i w:val="1"/>
          <w:iCs w:val="1"/>
          <w:color w:val="auto"/>
        </w:rPr>
        <w:t>(unaudited)</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 BASIS OF FINANCIAL STATEMENT PRESENTATION</w:t>
      </w:r>
    </w:p>
    <w:p>
      <w:pPr>
        <w:spacing w:after="0" w:line="212" w:lineRule="exact"/>
        <w:rPr>
          <w:sz w:val="20"/>
          <w:szCs w:val="20"/>
          <w:color w:val="auto"/>
        </w:rPr>
      </w:pPr>
    </w:p>
    <w:p>
      <w:pPr>
        <w:ind w:firstLine="270"/>
        <w:spacing w:after="0" w:line="246" w:lineRule="auto"/>
        <w:rPr>
          <w:sz w:val="20"/>
          <w:szCs w:val="20"/>
          <w:color w:val="auto"/>
        </w:rPr>
      </w:pPr>
      <w:r>
        <w:rPr>
          <w:rFonts w:ascii="Arial" w:cs="Arial" w:eastAsia="Arial" w:hAnsi="Arial"/>
          <w:sz w:val="21"/>
          <w:szCs w:val="21"/>
          <w:color w:val="auto"/>
        </w:rPr>
        <w:t>Photronics, Inc. and its subsidiaries (the "Company" or "Photronics") is one of the world's leading manufacturers of photomasks, which are high precision photographic quartz plates containing microscopic images of electronic circuits. Photomasks are a key element in the manufacture of semiconductors and flat panel displays ("FPDs"), and are used as masters to transfer circuit patterns onto semiconductor wafers and flat panel substrates during the fabrication of integrated circuits ("IC") and a variety of FPDs and, to a lesser extent, other types of electrical and optical components. The Company currently operates principally from eleven manufacturing facilities; three of which are located in Europe, two in Taiwan, one each in Korea, Singapore, and China; and three in the United States, including a state-of-the-art nanofab facility ("U.S. Nanofab") in Boise, Idaho, which commenced production during the three months ended April 27, 2008.</w:t>
      </w:r>
    </w:p>
    <w:p>
      <w:pPr>
        <w:spacing w:after="0" w:line="181" w:lineRule="exact"/>
        <w:rPr>
          <w:sz w:val="20"/>
          <w:szCs w:val="20"/>
          <w:color w:val="auto"/>
        </w:rPr>
      </w:pPr>
    </w:p>
    <w:p>
      <w:pPr>
        <w:ind w:right="280" w:firstLine="266"/>
        <w:spacing w:after="0" w:line="275" w:lineRule="auto"/>
        <w:rPr>
          <w:sz w:val="20"/>
          <w:szCs w:val="20"/>
          <w:color w:val="auto"/>
        </w:rPr>
      </w:pPr>
      <w:r>
        <w:rPr>
          <w:rFonts w:ascii="Arial" w:cs="Arial" w:eastAsia="Arial" w:hAnsi="Arial"/>
          <w:sz w:val="19"/>
          <w:szCs w:val="19"/>
          <w:color w:val="auto"/>
        </w:rPr>
        <w:t>The accompanying unaudited condensed consolidated financial statements have been prepared in accordance with accounting principles generally accepted in the United States of America for interim financial information and with the instructions to Form 10-Q and Article 10 of Regulation S-X. Accordingly, they do not include all of the information and footnotes required by accounting principles generally accepted in the United States of America for annual financial statements. In the opinion of management, all adjustments (consisting of normal recurring accruals) considered necessary for a fair presentation have been included. Operating results for the interim period are not necessarily indicative of the results that may be expected for the fiscal year ending November 2, 2008. For further information, refer to the consolidated financial statements and footnotes thereto included in the Company's Annual Report on Form 10-K for the year ended October 28, 2007.</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 IMPAIRMENTS OF GOODWILL AND LONG-LIVED ASSETS</w:t>
      </w:r>
    </w:p>
    <w:p>
      <w:pPr>
        <w:spacing w:after="0" w:line="212" w:lineRule="exact"/>
        <w:rPr>
          <w:sz w:val="20"/>
          <w:szCs w:val="20"/>
          <w:color w:val="auto"/>
        </w:rPr>
      </w:pPr>
    </w:p>
    <w:p>
      <w:pPr>
        <w:ind w:right="60" w:firstLine="270"/>
        <w:spacing w:after="0" w:line="236" w:lineRule="auto"/>
        <w:rPr>
          <w:sz w:val="20"/>
          <w:szCs w:val="20"/>
          <w:color w:val="auto"/>
        </w:rPr>
      </w:pPr>
      <w:r>
        <w:rPr>
          <w:rFonts w:ascii="Arial" w:cs="Arial" w:eastAsia="Arial" w:hAnsi="Arial"/>
          <w:sz w:val="22"/>
          <w:szCs w:val="22"/>
          <w:color w:val="auto"/>
        </w:rPr>
        <w:t xml:space="preserve">In accordance with Statement of Financial Accounting Standards ("SFAS") No. 142, </w:t>
      </w:r>
      <w:r>
        <w:rPr>
          <w:rFonts w:ascii="Arial" w:cs="Arial" w:eastAsia="Arial" w:hAnsi="Arial"/>
          <w:sz w:val="22"/>
          <w:szCs w:val="22"/>
          <w:i w:val="1"/>
          <w:iCs w:val="1"/>
          <w:color w:val="auto"/>
        </w:rPr>
        <w:t>Goodwill and Other Intangible Assets</w:t>
      </w:r>
      <w:r>
        <w:rPr>
          <w:rFonts w:ascii="Arial" w:cs="Arial" w:eastAsia="Arial" w:hAnsi="Arial"/>
          <w:sz w:val="22"/>
          <w:szCs w:val="22"/>
          <w:color w:val="auto"/>
        </w:rPr>
        <w:t xml:space="preserve">, and SFAS No. 144, </w:t>
      </w:r>
      <w:r>
        <w:rPr>
          <w:rFonts w:ascii="Arial" w:cs="Arial" w:eastAsia="Arial" w:hAnsi="Arial"/>
          <w:sz w:val="22"/>
          <w:szCs w:val="22"/>
          <w:i w:val="1"/>
          <w:iCs w:val="1"/>
          <w:color w:val="auto"/>
        </w:rPr>
        <w:t>Accounting for the Impairment or Disposal of Long-Lived Assets,</w:t>
      </w:r>
      <w:r>
        <w:rPr>
          <w:rFonts w:ascii="Arial" w:cs="Arial" w:eastAsia="Arial" w:hAnsi="Arial"/>
          <w:sz w:val="22"/>
          <w:szCs w:val="22"/>
          <w:color w:val="auto"/>
        </w:rPr>
        <w:t xml:space="preserve"> as of July 27, 2008 the Company performed an interim impairment test of its goodwill and certain of its long-lived assets (principally machinery and equipment, and buildings and improvements) due to events and changes in circumstances through the third quarter of fiscal 2008 that indicated an impairment might have occurred.</w:t>
      </w:r>
    </w:p>
    <w:p>
      <w:pPr>
        <w:spacing w:after="0" w:line="188" w:lineRule="exact"/>
        <w:rPr>
          <w:sz w:val="20"/>
          <w:szCs w:val="20"/>
          <w:color w:val="auto"/>
        </w:rPr>
      </w:pPr>
    </w:p>
    <w:p>
      <w:pPr>
        <w:jc w:val="both"/>
        <w:ind w:right="280" w:firstLine="270"/>
        <w:spacing w:after="0" w:line="287" w:lineRule="auto"/>
        <w:rPr>
          <w:sz w:val="20"/>
          <w:szCs w:val="20"/>
          <w:color w:val="auto"/>
        </w:rPr>
      </w:pPr>
      <w:r>
        <w:rPr>
          <w:rFonts w:ascii="Arial" w:cs="Arial" w:eastAsia="Arial" w:hAnsi="Arial"/>
          <w:sz w:val="19"/>
          <w:szCs w:val="19"/>
          <w:color w:val="auto"/>
        </w:rPr>
        <w:t>Factors deemed by management to have collectively constituted an impairment triggering event included net losses in each of three quarters of fiscal 2008, and a significant decrease in the Company's market capitalization through the third quarter of fiscal 2008 which was significantly below its consolidated net assets. As a result of this impairment testing, the Company recorded the following impairment charges during the three and nine months ended July 27, 2008:</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080" w:type="dxa"/>
            <w:vAlign w:val="bottom"/>
            <w:gridSpan w:val="2"/>
          </w:tcPr>
          <w:p>
            <w:pPr>
              <w:spacing w:after="0"/>
              <w:rPr>
                <w:sz w:val="20"/>
                <w:szCs w:val="20"/>
                <w:color w:val="auto"/>
              </w:rPr>
            </w:pPr>
            <w:r>
              <w:rPr>
                <w:rFonts w:ascii="Arial" w:cs="Arial" w:eastAsia="Arial" w:hAnsi="Arial"/>
                <w:sz w:val="22"/>
                <w:szCs w:val="22"/>
                <w:color w:val="auto"/>
              </w:rPr>
              <w:t>Impairment of goodwill</w:t>
            </w:r>
          </w:p>
        </w:tc>
        <w:tc>
          <w:tcPr>
            <w:tcW w:w="1220" w:type="dxa"/>
            <w:vAlign w:val="bottom"/>
          </w:tcPr>
          <w:p>
            <w:pPr>
              <w:jc w:val="right"/>
              <w:spacing w:after="0"/>
              <w:rPr>
                <w:sz w:val="20"/>
                <w:szCs w:val="20"/>
                <w:color w:val="auto"/>
              </w:rPr>
            </w:pPr>
            <w:r>
              <w:rPr>
                <w:rFonts w:ascii="Arial" w:cs="Arial" w:eastAsia="Arial" w:hAnsi="Arial"/>
                <w:sz w:val="22"/>
                <w:szCs w:val="22"/>
                <w:color w:val="auto"/>
              </w:rPr>
              <w:t>$138,534</w:t>
            </w:r>
          </w:p>
        </w:tc>
      </w:tr>
      <w:tr>
        <w:trPr>
          <w:trHeight w:val="275"/>
        </w:trPr>
        <w:tc>
          <w:tcPr>
            <w:tcW w:w="4080" w:type="dxa"/>
            <w:vAlign w:val="bottom"/>
            <w:gridSpan w:val="2"/>
          </w:tcPr>
          <w:p>
            <w:pPr>
              <w:spacing w:after="0"/>
              <w:rPr>
                <w:sz w:val="20"/>
                <w:szCs w:val="20"/>
                <w:color w:val="auto"/>
              </w:rPr>
            </w:pPr>
            <w:r>
              <w:rPr>
                <w:rFonts w:ascii="Arial" w:cs="Arial" w:eastAsia="Arial" w:hAnsi="Arial"/>
                <w:sz w:val="22"/>
                <w:szCs w:val="22"/>
                <w:color w:val="auto"/>
              </w:rPr>
              <w:t>Impairment of long-lived assets</w:t>
            </w:r>
          </w:p>
        </w:tc>
        <w:tc>
          <w:tcPr>
            <w:tcW w:w="1220" w:type="dxa"/>
            <w:vAlign w:val="bottom"/>
          </w:tcPr>
          <w:p>
            <w:pPr>
              <w:jc w:val="right"/>
              <w:spacing w:after="0"/>
              <w:rPr>
                <w:sz w:val="20"/>
                <w:szCs w:val="20"/>
                <w:color w:val="auto"/>
              </w:rPr>
            </w:pPr>
            <w:r>
              <w:rPr>
                <w:rFonts w:ascii="Arial" w:cs="Arial" w:eastAsia="Arial" w:hAnsi="Arial"/>
                <w:sz w:val="22"/>
                <w:szCs w:val="22"/>
                <w:color w:val="auto"/>
              </w:rPr>
              <w:t>66,874</w:t>
            </w:r>
          </w:p>
        </w:tc>
      </w:tr>
      <w:tr>
        <w:trPr>
          <w:trHeight w:val="98"/>
        </w:trPr>
        <w:tc>
          <w:tcPr>
            <w:tcW w:w="40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tcBorders>
              <w:bottom w:val="single" w:sz="8" w:color="336699"/>
            </w:tcBorders>
          </w:tcPr>
          <w:p>
            <w:pPr>
              <w:spacing w:after="0"/>
              <w:rPr>
                <w:sz w:val="8"/>
                <w:szCs w:val="8"/>
                <w:color w:val="auto"/>
              </w:rPr>
            </w:pPr>
          </w:p>
        </w:tc>
      </w:tr>
      <w:tr>
        <w:trPr>
          <w:trHeight w:val="368"/>
        </w:trPr>
        <w:tc>
          <w:tcPr>
            <w:tcW w:w="4080" w:type="dxa"/>
            <w:vAlign w:val="bottom"/>
            <w:gridSpan w:val="2"/>
          </w:tcPr>
          <w:p>
            <w:pPr>
              <w:spacing w:after="0"/>
              <w:rPr>
                <w:sz w:val="20"/>
                <w:szCs w:val="20"/>
                <w:color w:val="auto"/>
              </w:rPr>
            </w:pPr>
            <w:r>
              <w:rPr>
                <w:rFonts w:ascii="Arial" w:cs="Arial" w:eastAsia="Arial" w:hAnsi="Arial"/>
                <w:sz w:val="22"/>
                <w:szCs w:val="22"/>
                <w:color w:val="auto"/>
              </w:rPr>
              <w:t>Total impairments</w:t>
            </w:r>
          </w:p>
        </w:tc>
        <w:tc>
          <w:tcPr>
            <w:tcW w:w="1220" w:type="dxa"/>
            <w:vAlign w:val="bottom"/>
          </w:tcPr>
          <w:p>
            <w:pPr>
              <w:jc w:val="right"/>
              <w:spacing w:after="0"/>
              <w:rPr>
                <w:sz w:val="20"/>
                <w:szCs w:val="20"/>
                <w:color w:val="auto"/>
              </w:rPr>
            </w:pPr>
            <w:r>
              <w:rPr>
                <w:rFonts w:ascii="Arial" w:cs="Arial" w:eastAsia="Arial" w:hAnsi="Arial"/>
                <w:sz w:val="22"/>
                <w:szCs w:val="22"/>
                <w:color w:val="auto"/>
              </w:rPr>
              <w:t>$205,408</w:t>
            </w:r>
          </w:p>
        </w:tc>
      </w:tr>
      <w:tr>
        <w:trPr>
          <w:trHeight w:val="122"/>
        </w:trPr>
        <w:tc>
          <w:tcPr>
            <w:tcW w:w="406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1220" w:type="dxa"/>
            <w:vAlign w:val="bottom"/>
            <w:tcBorders>
              <w:bottom w:val="single" w:sz="8" w:color="336699"/>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3355975</wp:posOffset>
            </wp:positionH>
            <wp:positionV relativeFrom="paragraph">
              <wp:posOffset>-29210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2584450</wp:posOffset>
            </wp:positionH>
            <wp:positionV relativeFrom="paragraph">
              <wp:posOffset>-29210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Goodwill</w:t>
      </w:r>
    </w:p>
    <w:p>
      <w:pPr>
        <w:spacing w:after="0" w:line="212" w:lineRule="exact"/>
        <w:rPr>
          <w:sz w:val="20"/>
          <w:szCs w:val="20"/>
          <w:color w:val="auto"/>
        </w:rPr>
      </w:pPr>
    </w:p>
    <w:p>
      <w:pPr>
        <w:ind w:right="40" w:firstLine="270"/>
        <w:spacing w:after="0" w:line="246" w:lineRule="auto"/>
        <w:rPr>
          <w:sz w:val="20"/>
          <w:szCs w:val="20"/>
          <w:color w:val="auto"/>
        </w:rPr>
      </w:pPr>
      <w:r>
        <w:rPr>
          <w:rFonts w:ascii="Arial" w:cs="Arial" w:eastAsia="Arial" w:hAnsi="Arial"/>
          <w:sz w:val="21"/>
          <w:szCs w:val="21"/>
          <w:color w:val="auto"/>
        </w:rPr>
        <w:t>In accordance with SFAS No. 142, the Company tests goodwill for impairment annually and when an event occurs or circumstances change that would more likely than not reduce the fair value of a reporting unit below its carrying value. Goodwill is tested for impairment using a two-step process. In the first step, the fair value of the reporting unit is compared to its carrying value. For purposes of testing impairment under SFAS No. 142, the Company is a single reporting unit. If the fair value of the reporting unit exceeds the carrying value of its net assets, goodwill is considered not impaired and no further testing is required. If the carrying value of the net assets exceeds the fair value of the reporting unit, a second step of the impairment test is performed in order to determine the implied fair value of a reporting unit's goodwill. Determining the implied fair value of goodwill requires a valuation of the reporting unit's tangible and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right="400"/>
        <w:spacing w:after="0"/>
        <w:rPr>
          <w:sz w:val="20"/>
          <w:szCs w:val="20"/>
          <w:color w:val="auto"/>
        </w:rPr>
      </w:pPr>
      <w:r>
        <w:rPr>
          <w:rFonts w:ascii="Arial" w:cs="Arial" w:eastAsia="Arial" w:hAnsi="Arial"/>
          <w:sz w:val="22"/>
          <w:szCs w:val="22"/>
          <w:color w:val="auto"/>
        </w:rPr>
        <w:t>intangible assets and liabilities in a manner similar to the allocation of purchase price in a business combination. If the carrying value of the reporting unit's goodwill exceeds the implied fair value of its goodwill, goodwill is deemed impaired and is written down to the extent of the difference.</w:t>
      </w:r>
    </w:p>
    <w:p>
      <w:pPr>
        <w:spacing w:after="0" w:line="186" w:lineRule="exact"/>
        <w:rPr>
          <w:sz w:val="20"/>
          <w:szCs w:val="20"/>
          <w:color w:val="auto"/>
        </w:rPr>
      </w:pPr>
    </w:p>
    <w:p>
      <w:pPr>
        <w:ind w:right="100" w:firstLine="266"/>
        <w:spacing w:after="0" w:line="238" w:lineRule="auto"/>
        <w:rPr>
          <w:sz w:val="20"/>
          <w:szCs w:val="20"/>
          <w:color w:val="auto"/>
        </w:rPr>
      </w:pPr>
      <w:r>
        <w:rPr>
          <w:rFonts w:ascii="Arial" w:cs="Arial" w:eastAsia="Arial" w:hAnsi="Arial"/>
          <w:sz w:val="22"/>
          <w:szCs w:val="22"/>
          <w:color w:val="auto"/>
        </w:rPr>
        <w:t>Through the third quarter of fiscal 2008, the Company experienced a sustained, significant decline in its stock price. As a result of the decline in stock price, the Company's market capitalization fell significantly below the recorded value of its consolidated net assets during the third quarter of fiscal 2008. Accordingly, in the third quarter of fiscal 2008, the Company performed an assessment of goodwill for impairment.</w:t>
      </w:r>
    </w:p>
    <w:p>
      <w:pPr>
        <w:spacing w:after="0" w:line="185" w:lineRule="exact"/>
        <w:rPr>
          <w:sz w:val="20"/>
          <w:szCs w:val="20"/>
          <w:color w:val="auto"/>
        </w:rPr>
      </w:pPr>
    </w:p>
    <w:p>
      <w:pPr>
        <w:ind w:right="20" w:firstLine="270"/>
        <w:spacing w:after="0" w:line="236" w:lineRule="auto"/>
        <w:rPr>
          <w:sz w:val="20"/>
          <w:szCs w:val="20"/>
          <w:color w:val="auto"/>
        </w:rPr>
      </w:pPr>
      <w:r>
        <w:rPr>
          <w:rFonts w:ascii="Arial" w:cs="Arial" w:eastAsia="Arial" w:hAnsi="Arial"/>
          <w:sz w:val="22"/>
          <w:szCs w:val="22"/>
          <w:color w:val="auto"/>
        </w:rPr>
        <w:t>Based on the results of the Company's initial assessment of impairment of its goodwill, it was determined that the consolidated carrying value of the Company exceeded its estimated fair value. Therefore, the Company performed a second step of the impairment test to determine the implied fair value of goodwill. The result of the analysis indicated that there would be no remaining implied value attributable to the Company's goodwill and accordingly, the Company wrote off all of its $138.5 million of goodwill as of July 27, 2008.</w:t>
      </w:r>
    </w:p>
    <w:p>
      <w:pPr>
        <w:spacing w:after="0" w:line="188" w:lineRule="exact"/>
        <w:rPr>
          <w:sz w:val="20"/>
          <w:szCs w:val="20"/>
          <w:color w:val="auto"/>
        </w:rPr>
      </w:pPr>
    </w:p>
    <w:p>
      <w:pPr>
        <w:ind w:firstLine="270"/>
        <w:spacing w:after="0"/>
        <w:rPr>
          <w:sz w:val="20"/>
          <w:szCs w:val="20"/>
          <w:color w:val="auto"/>
        </w:rPr>
      </w:pPr>
      <w:r>
        <w:rPr>
          <w:rFonts w:ascii="Arial" w:cs="Arial" w:eastAsia="Arial" w:hAnsi="Arial"/>
          <w:sz w:val="22"/>
          <w:szCs w:val="22"/>
          <w:color w:val="auto"/>
        </w:rPr>
        <w:t>In performing the goodwill assessment, the Company used current market capitalization, discounted cash flows and other factors as the best evidence of fair value. There are inherent uncertainties and management judgment required in an analysis of goodwill impairment.</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Long-Lived Assets</w:t>
      </w:r>
    </w:p>
    <w:p>
      <w:pPr>
        <w:spacing w:after="0" w:line="212" w:lineRule="exact"/>
        <w:rPr>
          <w:sz w:val="20"/>
          <w:szCs w:val="20"/>
          <w:color w:val="auto"/>
        </w:rPr>
      </w:pPr>
    </w:p>
    <w:p>
      <w:pPr>
        <w:ind w:right="20" w:firstLine="270"/>
        <w:spacing w:after="0" w:line="273" w:lineRule="auto"/>
        <w:rPr>
          <w:sz w:val="20"/>
          <w:szCs w:val="20"/>
          <w:color w:val="auto"/>
        </w:rPr>
      </w:pPr>
      <w:r>
        <w:rPr>
          <w:rFonts w:ascii="Arial" w:cs="Arial" w:eastAsia="Arial" w:hAnsi="Arial"/>
          <w:sz w:val="19"/>
          <w:szCs w:val="19"/>
          <w:color w:val="auto"/>
        </w:rPr>
        <w:t>In accordance with SFAS No. 144, the Company reviews its long-lived assets whenever events or changes in circumstances indicate that the carrying amount of such assets may not be recoverable. If the carrying amount of an asset or group of assets exceeds its net realizable value, the asset will be written down to its fair value. In connection with the triggering events discussed above, during the third quarter of fiscal year 2008 the Company determined that long-lived assets were impaired for certain groups of its assets. The determination was based on reviewing estimated undiscounted cash flows for these groups of assets, which were less than their carrying values. The Company considers its asset groups to be the long-lived assets at each of its locations, primarily consisting of machinery and equipment, and buildings and improvements. As a result, the Company recorded an impairment charge of $66.9 million as of July 27, 2008, which represents the difference between the estimated fair values of these long-lived assets as compared to their carrying values for certain asset groups located in Asia and Europe. Fair values were determined based upon market conditions, the income approach which utilized cash flow projections, and other factors.</w:t>
      </w:r>
    </w:p>
    <w:p>
      <w:pPr>
        <w:spacing w:after="0" w:line="162" w:lineRule="exact"/>
        <w:rPr>
          <w:sz w:val="20"/>
          <w:szCs w:val="20"/>
          <w:color w:val="auto"/>
        </w:rPr>
      </w:pPr>
    </w:p>
    <w:p>
      <w:pPr>
        <w:ind w:right="520" w:firstLine="270"/>
        <w:spacing w:after="0" w:line="287" w:lineRule="auto"/>
        <w:rPr>
          <w:sz w:val="20"/>
          <w:szCs w:val="20"/>
          <w:color w:val="auto"/>
        </w:rPr>
      </w:pPr>
      <w:r>
        <w:rPr>
          <w:rFonts w:ascii="Arial" w:cs="Arial" w:eastAsia="Arial" w:hAnsi="Arial"/>
          <w:sz w:val="19"/>
          <w:szCs w:val="19"/>
          <w:color w:val="auto"/>
        </w:rPr>
        <w:t>Due to three quarterly net losses incurred during fiscal 2008, the decline in the Company's market capitalization and the uncertain economic environment within the semiconductor industry, the Company can provide no assurance that an additional material impairment charge of long-lived assets will not occur in a future period. The Company will continue to monitor circumstances and events in future periods to determine whether additional asset impairment testing is warranted.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 COMPREHENSIVE INCOME</w:t>
      </w:r>
    </w:p>
    <w:p>
      <w:pPr>
        <w:spacing w:after="0" w:line="212" w:lineRule="exact"/>
        <w:rPr>
          <w:sz w:val="20"/>
          <w:szCs w:val="20"/>
          <w:color w:val="auto"/>
        </w:rPr>
      </w:pPr>
    </w:p>
    <w:p>
      <w:pPr>
        <w:ind w:right="280" w:firstLine="266"/>
        <w:spacing w:after="0" w:line="251" w:lineRule="auto"/>
        <w:rPr>
          <w:sz w:val="20"/>
          <w:szCs w:val="20"/>
          <w:color w:val="auto"/>
        </w:rPr>
      </w:pPr>
      <w:r>
        <w:rPr>
          <w:rFonts w:ascii="Arial" w:cs="Arial" w:eastAsia="Arial" w:hAnsi="Arial"/>
          <w:sz w:val="22"/>
          <w:szCs w:val="22"/>
          <w:color w:val="auto"/>
        </w:rPr>
        <w:t>The following table summarizes comprehensive income (loss) for the three and nine months ended July 27, 2008 and July 29, 2007:</w:t>
      </w:r>
    </w:p>
    <w:p>
      <w:pPr>
        <w:spacing w:after="0" w:line="167" w:lineRule="exact"/>
        <w:rPr>
          <w:sz w:val="20"/>
          <w:szCs w:val="20"/>
          <w:color w:val="auto"/>
        </w:rPr>
      </w:pPr>
    </w:p>
    <w:p>
      <w:pPr>
        <w:ind w:left="4260"/>
        <w:spacing w:after="0"/>
        <w:rPr>
          <w:sz w:val="20"/>
          <w:szCs w:val="20"/>
          <w:color w:val="auto"/>
        </w:rPr>
      </w:pPr>
      <w:r>
        <w:rPr>
          <w:rFonts w:ascii="Arial" w:cs="Arial" w:eastAsia="Arial" w:hAnsi="Arial"/>
          <w:sz w:val="22"/>
          <w:szCs w:val="22"/>
          <w:b w:val="1"/>
          <w:bCs w:val="1"/>
          <w:color w:val="auto"/>
        </w:rPr>
        <w:t>Three Months Ended  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2698115</wp:posOffset>
            </wp:positionH>
            <wp:positionV relativeFrom="paragraph">
              <wp:posOffset>80010</wp:posOffset>
            </wp:positionV>
            <wp:extent cx="254698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03" w:lineRule="exact"/>
        <w:rPr>
          <w:sz w:val="20"/>
          <w:szCs w:val="20"/>
          <w:color w:val="auto"/>
        </w:rPr>
      </w:pPr>
    </w:p>
    <w:tbl>
      <w:tblPr>
        <w:tblLayout w:type="fixed"/>
        <w:tblInd w:w="4240" w:type="dxa"/>
        <w:tblCellMar>
          <w:top w:w="0" w:type="dxa"/>
          <w:left w:w="0" w:type="dxa"/>
          <w:bottom w:w="0" w:type="dxa"/>
          <w:right w:w="0" w:type="dxa"/>
        </w:tblCellMar>
      </w:tblPr>
      <w:tr>
        <w:trPr>
          <w:trHeight w:val="253"/>
        </w:trPr>
        <w:tc>
          <w:tcPr>
            <w:tcW w:w="1120" w:type="dxa"/>
            <w:vAlign w:val="bottom"/>
          </w:tcPr>
          <w:p>
            <w:pPr>
              <w:jc w:val="center"/>
              <w:spacing w:after="0"/>
              <w:rPr>
                <w:sz w:val="20"/>
                <w:szCs w:val="20"/>
                <w:color w:val="auto"/>
              </w:rPr>
            </w:pPr>
            <w:r>
              <w:rPr>
                <w:rFonts w:ascii="Arial" w:cs="Arial" w:eastAsia="Arial" w:hAnsi="Arial"/>
                <w:sz w:val="22"/>
                <w:szCs w:val="22"/>
                <w:b w:val="1"/>
                <w:bCs w:val="1"/>
                <w:color w:val="auto"/>
                <w:w w:val="89"/>
              </w:rPr>
              <w:t>July 27,</w:t>
            </w:r>
          </w:p>
        </w:tc>
        <w:tc>
          <w:tcPr>
            <w:tcW w:w="2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22"/>
                <w:szCs w:val="22"/>
                <w:b w:val="1"/>
                <w:bCs w:val="1"/>
                <w:color w:val="auto"/>
                <w:w w:val="89"/>
              </w:rPr>
              <w:t>July 29,</w:t>
            </w:r>
          </w:p>
        </w:tc>
        <w:tc>
          <w:tcPr>
            <w:tcW w:w="14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89"/>
              </w:rPr>
              <w:t>July 27,</w:t>
            </w:r>
          </w:p>
        </w:tc>
        <w:tc>
          <w:tcPr>
            <w:tcW w:w="4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22"/>
                <w:szCs w:val="22"/>
                <w:b w:val="1"/>
                <w:bCs w:val="1"/>
                <w:color w:val="auto"/>
                <w:w w:val="89"/>
              </w:rPr>
              <w:t>July 29,</w:t>
            </w:r>
          </w:p>
        </w:tc>
      </w:tr>
      <w:tr>
        <w:trPr>
          <w:trHeight w:val="281"/>
        </w:trPr>
        <w:tc>
          <w:tcPr>
            <w:tcW w:w="1120" w:type="dxa"/>
            <w:vAlign w:val="bottom"/>
          </w:tcPr>
          <w:p>
            <w:pPr>
              <w:jc w:val="right"/>
              <w:ind w:right="252"/>
              <w:spacing w:after="0"/>
              <w:rPr>
                <w:sz w:val="20"/>
                <w:szCs w:val="20"/>
                <w:color w:val="auto"/>
              </w:rPr>
            </w:pPr>
            <w:r>
              <w:rPr>
                <w:rFonts w:ascii="Arial" w:cs="Arial" w:eastAsia="Arial" w:hAnsi="Arial"/>
                <w:sz w:val="22"/>
                <w:szCs w:val="22"/>
                <w:b w:val="1"/>
                <w:bCs w:val="1"/>
                <w:color w:val="auto"/>
              </w:rPr>
              <w:t>2008</w:t>
            </w:r>
          </w:p>
        </w:tc>
        <w:tc>
          <w:tcPr>
            <w:tcW w:w="880" w:type="dxa"/>
            <w:vAlign w:val="bottom"/>
            <w:gridSpan w:val="2"/>
          </w:tcPr>
          <w:p>
            <w:pPr>
              <w:jc w:val="right"/>
              <w:ind w:right="112"/>
              <w:spacing w:after="0"/>
              <w:rPr>
                <w:sz w:val="20"/>
                <w:szCs w:val="20"/>
                <w:color w:val="auto"/>
              </w:rPr>
            </w:pPr>
            <w:r>
              <w:rPr>
                <w:rFonts w:ascii="Arial" w:cs="Arial" w:eastAsia="Arial" w:hAnsi="Arial"/>
                <w:sz w:val="22"/>
                <w:szCs w:val="22"/>
                <w:b w:val="1"/>
                <w:bCs w:val="1"/>
                <w:color w:val="auto"/>
              </w:rPr>
              <w:t>2007</w:t>
            </w:r>
          </w:p>
        </w:tc>
        <w:tc>
          <w:tcPr>
            <w:tcW w:w="1160" w:type="dxa"/>
            <w:vAlign w:val="bottom"/>
            <w:gridSpan w:val="2"/>
          </w:tcPr>
          <w:p>
            <w:pPr>
              <w:jc w:val="right"/>
              <w:ind w:right="192"/>
              <w:spacing w:after="0"/>
              <w:rPr>
                <w:sz w:val="20"/>
                <w:szCs w:val="20"/>
                <w:color w:val="auto"/>
              </w:rPr>
            </w:pPr>
            <w:r>
              <w:rPr>
                <w:rFonts w:ascii="Arial" w:cs="Arial" w:eastAsia="Arial" w:hAnsi="Arial"/>
                <w:sz w:val="22"/>
                <w:szCs w:val="22"/>
                <w:b w:val="1"/>
                <w:bCs w:val="1"/>
                <w:color w:val="auto"/>
              </w:rPr>
              <w:t>2008</w:t>
            </w:r>
          </w:p>
        </w:tc>
        <w:tc>
          <w:tcPr>
            <w:tcW w:w="860" w:type="dxa"/>
            <w:vAlign w:val="bottom"/>
            <w:gridSpan w:val="2"/>
          </w:tcPr>
          <w:p>
            <w:pPr>
              <w:jc w:val="right"/>
              <w:ind w:right="92"/>
              <w:spacing w:after="0"/>
              <w:rPr>
                <w:sz w:val="20"/>
                <w:szCs w:val="20"/>
                <w:color w:val="auto"/>
              </w:rPr>
            </w:pPr>
            <w:r>
              <w:rPr>
                <w:rFonts w:ascii="Arial" w:cs="Arial" w:eastAsia="Arial" w:hAnsi="Arial"/>
                <w:sz w:val="22"/>
                <w:szCs w:val="22"/>
                <w:b w:val="1"/>
                <w:bCs w:val="1"/>
                <w:color w:val="auto"/>
              </w:rPr>
              <w:t>2007</w:t>
            </w:r>
          </w:p>
        </w:tc>
      </w:tr>
      <w:tr>
        <w:trPr>
          <w:trHeight w:val="98"/>
        </w:trPr>
        <w:tc>
          <w:tcPr>
            <w:tcW w:w="11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r>
    </w:tbl>
    <w:p>
      <w:pPr>
        <w:sectPr>
          <w:pgSz w:w="11900" w:h="16838" w:orient="portrait"/>
          <w:cols w:equalWidth="0" w:num="1">
            <w:col w:w="11420"/>
          </w:cols>
          <w:pgMar w:left="240" w:top="571" w:right="23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240" w:type="dxa"/>
            <w:vAlign w:val="bottom"/>
          </w:tcPr>
          <w:p>
            <w:pPr>
              <w:spacing w:after="0"/>
              <w:rPr>
                <w:sz w:val="20"/>
                <w:szCs w:val="20"/>
                <w:color w:val="auto"/>
              </w:rPr>
            </w:pPr>
            <w:r>
              <w:rPr>
                <w:rFonts w:ascii="Arial" w:cs="Arial" w:eastAsia="Arial" w:hAnsi="Arial"/>
                <w:sz w:val="22"/>
                <w:szCs w:val="22"/>
                <w:color w:val="auto"/>
              </w:rPr>
              <w:t>Net income (loss)</w:t>
            </w:r>
          </w:p>
        </w:tc>
        <w:tc>
          <w:tcPr>
            <w:tcW w:w="1120" w:type="dxa"/>
            <w:vAlign w:val="bottom"/>
          </w:tcPr>
          <w:p>
            <w:pPr>
              <w:jc w:val="right"/>
              <w:spacing w:after="0"/>
              <w:rPr>
                <w:sz w:val="20"/>
                <w:szCs w:val="20"/>
                <w:color w:val="auto"/>
              </w:rPr>
            </w:pPr>
            <w:r>
              <w:rPr>
                <w:rFonts w:ascii="Arial" w:cs="Arial" w:eastAsia="Arial" w:hAnsi="Arial"/>
                <w:sz w:val="22"/>
                <w:szCs w:val="22"/>
                <w:color w:val="auto"/>
                <w:w w:val="99"/>
              </w:rPr>
              <w:t>$(205,592)</w:t>
            </w:r>
          </w:p>
        </w:tc>
        <w:tc>
          <w:tcPr>
            <w:tcW w:w="880" w:type="dxa"/>
            <w:vAlign w:val="bottom"/>
            <w:gridSpan w:val="2"/>
          </w:tcPr>
          <w:p>
            <w:pPr>
              <w:jc w:val="right"/>
              <w:ind w:right="80"/>
              <w:spacing w:after="0"/>
              <w:rPr>
                <w:sz w:val="20"/>
                <w:szCs w:val="20"/>
                <w:color w:val="auto"/>
              </w:rPr>
            </w:pPr>
            <w:r>
              <w:rPr>
                <w:rFonts w:ascii="Arial" w:cs="Arial" w:eastAsia="Arial" w:hAnsi="Arial"/>
                <w:sz w:val="22"/>
                <w:szCs w:val="22"/>
                <w:color w:val="auto"/>
              </w:rPr>
              <w:t>$2,238</w:t>
            </w:r>
          </w:p>
        </w:tc>
        <w:tc>
          <w:tcPr>
            <w:tcW w:w="1160" w:type="dxa"/>
            <w:vAlign w:val="bottom"/>
            <w:gridSpan w:val="3"/>
          </w:tcPr>
          <w:p>
            <w:pPr>
              <w:jc w:val="right"/>
              <w:ind w:right="20"/>
              <w:spacing w:after="0"/>
              <w:rPr>
                <w:sz w:val="20"/>
                <w:szCs w:val="20"/>
                <w:color w:val="auto"/>
              </w:rPr>
            </w:pPr>
            <w:r>
              <w:rPr>
                <w:rFonts w:ascii="Arial" w:cs="Arial" w:eastAsia="Arial" w:hAnsi="Arial"/>
                <w:sz w:val="22"/>
                <w:szCs w:val="22"/>
                <w:color w:val="auto"/>
              </w:rPr>
              <w:t>$(211,001)</w:t>
            </w:r>
          </w:p>
        </w:tc>
        <w:tc>
          <w:tcPr>
            <w:tcW w:w="860" w:type="dxa"/>
            <w:vAlign w:val="bottom"/>
            <w:gridSpan w:val="3"/>
          </w:tcPr>
          <w:p>
            <w:pPr>
              <w:jc w:val="right"/>
              <w:ind w:right="80"/>
              <w:spacing w:after="0"/>
              <w:rPr>
                <w:sz w:val="20"/>
                <w:szCs w:val="20"/>
                <w:color w:val="auto"/>
              </w:rPr>
            </w:pPr>
            <w:r>
              <w:rPr>
                <w:rFonts w:ascii="Arial" w:cs="Arial" w:eastAsia="Arial" w:hAnsi="Arial"/>
                <w:sz w:val="22"/>
                <w:szCs w:val="22"/>
                <w:color w:val="auto"/>
                <w:w w:val="95"/>
              </w:rPr>
              <w:t>$24,161</w:t>
            </w:r>
          </w:p>
        </w:tc>
      </w:tr>
      <w:tr>
        <w:trPr>
          <w:trHeight w:val="455"/>
        </w:trPr>
        <w:tc>
          <w:tcPr>
            <w:tcW w:w="4240" w:type="dxa"/>
            <w:vAlign w:val="bottom"/>
          </w:tcPr>
          <w:p>
            <w:pPr>
              <w:spacing w:after="0"/>
              <w:rPr>
                <w:sz w:val="20"/>
                <w:szCs w:val="20"/>
                <w:color w:val="auto"/>
              </w:rPr>
            </w:pPr>
            <w:r>
              <w:rPr>
                <w:rFonts w:ascii="Arial" w:cs="Arial" w:eastAsia="Arial" w:hAnsi="Arial"/>
                <w:sz w:val="22"/>
                <w:szCs w:val="22"/>
                <w:color w:val="auto"/>
              </w:rPr>
              <w:t>Other comprehensive income:</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43"/>
        </w:trPr>
        <w:tc>
          <w:tcPr>
            <w:tcW w:w="4240" w:type="dxa"/>
            <w:vAlign w:val="bottom"/>
          </w:tcPr>
          <w:p>
            <w:pPr>
              <w:ind w:left="180"/>
              <w:spacing w:after="0" w:line="243" w:lineRule="exact"/>
              <w:rPr>
                <w:sz w:val="20"/>
                <w:szCs w:val="20"/>
                <w:color w:val="auto"/>
              </w:rPr>
            </w:pPr>
            <w:r>
              <w:rPr>
                <w:rFonts w:ascii="Arial" w:cs="Arial" w:eastAsia="Arial" w:hAnsi="Arial"/>
                <w:sz w:val="22"/>
                <w:szCs w:val="22"/>
                <w:color w:val="auto"/>
                <w:w w:val="87"/>
              </w:rPr>
              <w:t>Change in unrealized net gains on investments,</w:t>
            </w: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43"/>
        </w:trPr>
        <w:tc>
          <w:tcPr>
            <w:tcW w:w="4240" w:type="dxa"/>
            <w:vAlign w:val="bottom"/>
          </w:tcPr>
          <w:p>
            <w:pPr>
              <w:ind w:left="340"/>
              <w:spacing w:after="0" w:line="243" w:lineRule="exact"/>
              <w:rPr>
                <w:sz w:val="20"/>
                <w:szCs w:val="20"/>
                <w:color w:val="auto"/>
              </w:rPr>
            </w:pPr>
            <w:r>
              <w:rPr>
                <w:rFonts w:ascii="Arial" w:cs="Arial" w:eastAsia="Arial" w:hAnsi="Arial"/>
                <w:sz w:val="22"/>
                <w:szCs w:val="22"/>
                <w:color w:val="auto"/>
              </w:rPr>
              <w:t>net of tax</w:t>
            </w: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(37)</w:t>
            </w:r>
          </w:p>
        </w:tc>
        <w:tc>
          <w:tcPr>
            <w:tcW w:w="88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13</w:t>
            </w:r>
          </w:p>
        </w:tc>
        <w:tc>
          <w:tcPr>
            <w:tcW w:w="1160" w:type="dxa"/>
            <w:vAlign w:val="bottom"/>
            <w:gridSpan w:val="3"/>
          </w:tcPr>
          <w:p>
            <w:pPr>
              <w:jc w:val="right"/>
              <w:ind w:right="20"/>
              <w:spacing w:after="0" w:line="243" w:lineRule="exact"/>
              <w:rPr>
                <w:sz w:val="20"/>
                <w:szCs w:val="20"/>
                <w:color w:val="auto"/>
              </w:rPr>
            </w:pPr>
            <w:r>
              <w:rPr>
                <w:rFonts w:ascii="Arial" w:cs="Arial" w:eastAsia="Arial" w:hAnsi="Arial"/>
                <w:sz w:val="22"/>
                <w:szCs w:val="22"/>
                <w:color w:val="auto"/>
              </w:rPr>
              <w:t>(131)</w:t>
            </w:r>
          </w:p>
        </w:tc>
        <w:tc>
          <w:tcPr>
            <w:tcW w:w="860" w:type="dxa"/>
            <w:vAlign w:val="bottom"/>
            <w:gridSpan w:val="3"/>
          </w:tcPr>
          <w:p>
            <w:pPr>
              <w:jc w:val="right"/>
              <w:ind w:right="20"/>
              <w:spacing w:after="0" w:line="243" w:lineRule="exact"/>
              <w:rPr>
                <w:sz w:val="20"/>
                <w:szCs w:val="20"/>
                <w:color w:val="auto"/>
              </w:rPr>
            </w:pPr>
            <w:r>
              <w:rPr>
                <w:rFonts w:ascii="Arial" w:cs="Arial" w:eastAsia="Arial" w:hAnsi="Arial"/>
                <w:sz w:val="22"/>
                <w:szCs w:val="22"/>
                <w:color w:val="auto"/>
              </w:rPr>
              <w:t>(108)</w:t>
            </w:r>
          </w:p>
        </w:tc>
      </w:tr>
      <w:tr>
        <w:trPr>
          <w:trHeight w:val="243"/>
        </w:trPr>
        <w:tc>
          <w:tcPr>
            <w:tcW w:w="4240" w:type="dxa"/>
            <w:vAlign w:val="bottom"/>
          </w:tcPr>
          <w:p>
            <w:pPr>
              <w:ind w:left="180"/>
              <w:spacing w:after="0" w:line="243" w:lineRule="exact"/>
              <w:rPr>
                <w:sz w:val="20"/>
                <w:szCs w:val="20"/>
                <w:color w:val="auto"/>
              </w:rPr>
            </w:pPr>
            <w:r>
              <w:rPr>
                <w:rFonts w:ascii="Arial" w:cs="Arial" w:eastAsia="Arial" w:hAnsi="Arial"/>
                <w:sz w:val="22"/>
                <w:szCs w:val="22"/>
                <w:color w:val="auto"/>
              </w:rPr>
              <w:t>Change in fair value of cash flow hedges</w:t>
            </w: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60</w:t>
            </w:r>
          </w:p>
        </w:tc>
        <w:tc>
          <w:tcPr>
            <w:tcW w:w="88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(330)</w:t>
            </w:r>
          </w:p>
        </w:tc>
        <w:tc>
          <w:tcPr>
            <w:tcW w:w="1160" w:type="dxa"/>
            <w:vAlign w:val="bottom"/>
            <w:gridSpan w:val="3"/>
          </w:tcPr>
          <w:p>
            <w:pPr>
              <w:jc w:val="right"/>
              <w:ind w:right="80"/>
              <w:spacing w:after="0" w:line="243" w:lineRule="exact"/>
              <w:rPr>
                <w:sz w:val="20"/>
                <w:szCs w:val="20"/>
                <w:color w:val="auto"/>
              </w:rPr>
            </w:pPr>
            <w:r>
              <w:rPr>
                <w:rFonts w:ascii="Arial" w:cs="Arial" w:eastAsia="Arial" w:hAnsi="Arial"/>
                <w:sz w:val="22"/>
                <w:szCs w:val="22"/>
                <w:color w:val="auto"/>
              </w:rPr>
              <w:t>132</w:t>
            </w:r>
          </w:p>
        </w:tc>
        <w:tc>
          <w:tcPr>
            <w:tcW w:w="860" w:type="dxa"/>
            <w:vAlign w:val="bottom"/>
            <w:gridSpan w:val="3"/>
          </w:tcPr>
          <w:p>
            <w:pPr>
              <w:jc w:val="right"/>
              <w:ind w:right="20"/>
              <w:spacing w:after="0" w:line="243" w:lineRule="exact"/>
              <w:rPr>
                <w:sz w:val="20"/>
                <w:szCs w:val="20"/>
                <w:color w:val="auto"/>
              </w:rPr>
            </w:pPr>
            <w:r>
              <w:rPr>
                <w:rFonts w:ascii="Arial" w:cs="Arial" w:eastAsia="Arial" w:hAnsi="Arial"/>
                <w:sz w:val="22"/>
                <w:szCs w:val="22"/>
                <w:color w:val="auto"/>
              </w:rPr>
              <w:t>(1,703)</w:t>
            </w:r>
          </w:p>
        </w:tc>
      </w:tr>
      <w:tr>
        <w:trPr>
          <w:trHeight w:val="275"/>
        </w:trPr>
        <w:tc>
          <w:tcPr>
            <w:tcW w:w="4240" w:type="dxa"/>
            <w:vAlign w:val="bottom"/>
          </w:tcPr>
          <w:p>
            <w:pPr>
              <w:ind w:left="180"/>
              <w:spacing w:after="0"/>
              <w:rPr>
                <w:sz w:val="20"/>
                <w:szCs w:val="20"/>
                <w:color w:val="auto"/>
              </w:rPr>
            </w:pPr>
            <w:r>
              <w:rPr>
                <w:rFonts w:ascii="Arial" w:cs="Arial" w:eastAsia="Arial" w:hAnsi="Arial"/>
                <w:sz w:val="22"/>
                <w:szCs w:val="22"/>
                <w:color w:val="auto"/>
              </w:rPr>
              <w:t>Foreign currency translation adjustments</w:t>
            </w:r>
          </w:p>
        </w:tc>
        <w:tc>
          <w:tcPr>
            <w:tcW w:w="1120" w:type="dxa"/>
            <w:vAlign w:val="bottom"/>
          </w:tcPr>
          <w:p>
            <w:pPr>
              <w:jc w:val="right"/>
              <w:spacing w:after="0"/>
              <w:rPr>
                <w:sz w:val="20"/>
                <w:szCs w:val="20"/>
                <w:color w:val="auto"/>
              </w:rPr>
            </w:pPr>
            <w:r>
              <w:rPr>
                <w:rFonts w:ascii="Arial" w:cs="Arial" w:eastAsia="Arial" w:hAnsi="Arial"/>
                <w:sz w:val="22"/>
                <w:szCs w:val="22"/>
                <w:color w:val="auto"/>
              </w:rPr>
              <w:t>(1,817)</w:t>
            </w:r>
          </w:p>
        </w:tc>
        <w:tc>
          <w:tcPr>
            <w:tcW w:w="880" w:type="dxa"/>
            <w:vAlign w:val="bottom"/>
            <w:gridSpan w:val="2"/>
          </w:tcPr>
          <w:p>
            <w:pPr>
              <w:jc w:val="right"/>
              <w:ind w:right="80"/>
              <w:spacing w:after="0"/>
              <w:rPr>
                <w:sz w:val="20"/>
                <w:szCs w:val="20"/>
                <w:color w:val="auto"/>
              </w:rPr>
            </w:pPr>
            <w:r>
              <w:rPr>
                <w:rFonts w:ascii="Arial" w:cs="Arial" w:eastAsia="Arial" w:hAnsi="Arial"/>
                <w:sz w:val="22"/>
                <w:szCs w:val="22"/>
                <w:color w:val="auto"/>
              </w:rPr>
              <w:t>4,281</w:t>
            </w:r>
          </w:p>
        </w:tc>
        <w:tc>
          <w:tcPr>
            <w:tcW w:w="1160" w:type="dxa"/>
            <w:vAlign w:val="bottom"/>
            <w:gridSpan w:val="3"/>
          </w:tcPr>
          <w:p>
            <w:pPr>
              <w:jc w:val="right"/>
              <w:ind w:right="20"/>
              <w:spacing w:after="0"/>
              <w:rPr>
                <w:sz w:val="20"/>
                <w:szCs w:val="20"/>
                <w:color w:val="auto"/>
              </w:rPr>
            </w:pPr>
            <w:r>
              <w:rPr>
                <w:rFonts w:ascii="Arial" w:cs="Arial" w:eastAsia="Arial" w:hAnsi="Arial"/>
                <w:sz w:val="22"/>
                <w:szCs w:val="22"/>
                <w:color w:val="auto"/>
              </w:rPr>
              <w:t>(9,255)</w:t>
            </w:r>
          </w:p>
        </w:tc>
        <w:tc>
          <w:tcPr>
            <w:tcW w:w="860" w:type="dxa"/>
            <w:vAlign w:val="bottom"/>
            <w:gridSpan w:val="3"/>
          </w:tcPr>
          <w:p>
            <w:pPr>
              <w:jc w:val="right"/>
              <w:ind w:right="80"/>
              <w:spacing w:after="0"/>
              <w:rPr>
                <w:sz w:val="20"/>
                <w:szCs w:val="20"/>
                <w:color w:val="auto"/>
              </w:rPr>
            </w:pPr>
            <w:r>
              <w:rPr>
                <w:rFonts w:ascii="Arial" w:cs="Arial" w:eastAsia="Arial" w:hAnsi="Arial"/>
                <w:sz w:val="22"/>
                <w:szCs w:val="22"/>
                <w:color w:val="auto"/>
              </w:rPr>
              <w:t>10,840</w:t>
            </w:r>
          </w:p>
        </w:tc>
      </w:tr>
      <w:tr>
        <w:trPr>
          <w:trHeight w:val="98"/>
        </w:trPr>
        <w:tc>
          <w:tcPr>
            <w:tcW w:w="4240" w:type="dxa"/>
            <w:vAlign w:val="bottom"/>
          </w:tcPr>
          <w:p>
            <w:pPr>
              <w:spacing w:after="0"/>
              <w:rPr>
                <w:sz w:val="8"/>
                <w:szCs w:val="8"/>
                <w:color w:val="auto"/>
              </w:rPr>
            </w:pPr>
          </w:p>
        </w:tc>
        <w:tc>
          <w:tcPr>
            <w:tcW w:w="112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Borders>
              <w:bottom w:val="single" w:sz="8" w:color="336699"/>
            </w:tcBorders>
          </w:tcPr>
          <w:p>
            <w:pPr>
              <w:spacing w:after="0"/>
              <w:rPr>
                <w:sz w:val="8"/>
                <w:szCs w:val="8"/>
                <w:color w:val="auto"/>
              </w:rPr>
            </w:pPr>
          </w:p>
        </w:tc>
      </w:tr>
      <w:tr>
        <w:trPr>
          <w:trHeight w:val="368"/>
        </w:trPr>
        <w:tc>
          <w:tcPr>
            <w:tcW w:w="4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(1,794)</w:t>
            </w:r>
          </w:p>
        </w:tc>
        <w:tc>
          <w:tcPr>
            <w:tcW w:w="880" w:type="dxa"/>
            <w:vAlign w:val="bottom"/>
            <w:gridSpan w:val="2"/>
          </w:tcPr>
          <w:p>
            <w:pPr>
              <w:jc w:val="right"/>
              <w:ind w:right="80"/>
              <w:spacing w:after="0"/>
              <w:rPr>
                <w:sz w:val="20"/>
                <w:szCs w:val="20"/>
                <w:color w:val="auto"/>
              </w:rPr>
            </w:pPr>
            <w:r>
              <w:rPr>
                <w:rFonts w:ascii="Arial" w:cs="Arial" w:eastAsia="Arial" w:hAnsi="Arial"/>
                <w:sz w:val="22"/>
                <w:szCs w:val="22"/>
                <w:color w:val="auto"/>
              </w:rPr>
              <w:t>3,964</w:t>
            </w:r>
          </w:p>
        </w:tc>
        <w:tc>
          <w:tcPr>
            <w:tcW w:w="1160" w:type="dxa"/>
            <w:vAlign w:val="bottom"/>
            <w:gridSpan w:val="3"/>
          </w:tcPr>
          <w:p>
            <w:pPr>
              <w:jc w:val="right"/>
              <w:ind w:right="20"/>
              <w:spacing w:after="0"/>
              <w:rPr>
                <w:sz w:val="20"/>
                <w:szCs w:val="20"/>
                <w:color w:val="auto"/>
              </w:rPr>
            </w:pPr>
            <w:r>
              <w:rPr>
                <w:rFonts w:ascii="Arial" w:cs="Arial" w:eastAsia="Arial" w:hAnsi="Arial"/>
                <w:sz w:val="22"/>
                <w:szCs w:val="22"/>
                <w:color w:val="auto"/>
              </w:rPr>
              <w:t>(9,254)</w:t>
            </w:r>
          </w:p>
        </w:tc>
        <w:tc>
          <w:tcPr>
            <w:tcW w:w="860" w:type="dxa"/>
            <w:vAlign w:val="bottom"/>
            <w:gridSpan w:val="3"/>
          </w:tcPr>
          <w:p>
            <w:pPr>
              <w:jc w:val="right"/>
              <w:ind w:right="80"/>
              <w:spacing w:after="0"/>
              <w:rPr>
                <w:sz w:val="20"/>
                <w:szCs w:val="20"/>
                <w:color w:val="auto"/>
              </w:rPr>
            </w:pPr>
            <w:r>
              <w:rPr>
                <w:rFonts w:ascii="Arial" w:cs="Arial" w:eastAsia="Arial" w:hAnsi="Arial"/>
                <w:sz w:val="22"/>
                <w:szCs w:val="22"/>
                <w:color w:val="auto"/>
              </w:rPr>
              <w:t>9,029</w:t>
            </w:r>
          </w:p>
        </w:tc>
      </w:tr>
      <w:tr>
        <w:trPr>
          <w:trHeight w:val="98"/>
        </w:trPr>
        <w:tc>
          <w:tcPr>
            <w:tcW w:w="4240" w:type="dxa"/>
            <w:vAlign w:val="bottom"/>
          </w:tcPr>
          <w:p>
            <w:pPr>
              <w:spacing w:after="0"/>
              <w:rPr>
                <w:sz w:val="8"/>
                <w:szCs w:val="8"/>
                <w:color w:val="auto"/>
              </w:rPr>
            </w:pPr>
          </w:p>
        </w:tc>
        <w:tc>
          <w:tcPr>
            <w:tcW w:w="112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Borders>
              <w:bottom w:val="single" w:sz="8" w:color="336699"/>
            </w:tcBorders>
          </w:tcPr>
          <w:p>
            <w:pPr>
              <w:spacing w:after="0"/>
              <w:rPr>
                <w:sz w:val="8"/>
                <w:szCs w:val="8"/>
                <w:color w:val="auto"/>
              </w:rPr>
            </w:pPr>
          </w:p>
        </w:tc>
      </w:tr>
      <w:tr>
        <w:trPr>
          <w:trHeight w:val="368"/>
        </w:trPr>
        <w:tc>
          <w:tcPr>
            <w:tcW w:w="4240" w:type="dxa"/>
            <w:vAlign w:val="bottom"/>
          </w:tcPr>
          <w:p>
            <w:pPr>
              <w:spacing w:after="0"/>
              <w:rPr>
                <w:sz w:val="20"/>
                <w:szCs w:val="20"/>
                <w:color w:val="auto"/>
              </w:rPr>
            </w:pPr>
            <w:r>
              <w:rPr>
                <w:rFonts w:ascii="Arial" w:cs="Arial" w:eastAsia="Arial" w:hAnsi="Arial"/>
                <w:sz w:val="22"/>
                <w:szCs w:val="22"/>
                <w:color w:val="auto"/>
              </w:rPr>
              <w:t>Total comprehensive income (loss)</w:t>
            </w:r>
          </w:p>
        </w:tc>
        <w:tc>
          <w:tcPr>
            <w:tcW w:w="1120" w:type="dxa"/>
            <w:vAlign w:val="bottom"/>
          </w:tcPr>
          <w:p>
            <w:pPr>
              <w:jc w:val="right"/>
              <w:spacing w:after="0"/>
              <w:rPr>
                <w:sz w:val="20"/>
                <w:szCs w:val="20"/>
                <w:color w:val="auto"/>
              </w:rPr>
            </w:pPr>
            <w:r>
              <w:rPr>
                <w:rFonts w:ascii="Arial" w:cs="Arial" w:eastAsia="Arial" w:hAnsi="Arial"/>
                <w:sz w:val="22"/>
                <w:szCs w:val="22"/>
                <w:color w:val="auto"/>
                <w:w w:val="99"/>
              </w:rPr>
              <w:t>$(207,386)</w:t>
            </w:r>
          </w:p>
        </w:tc>
        <w:tc>
          <w:tcPr>
            <w:tcW w:w="880" w:type="dxa"/>
            <w:vAlign w:val="bottom"/>
            <w:gridSpan w:val="2"/>
          </w:tcPr>
          <w:p>
            <w:pPr>
              <w:jc w:val="right"/>
              <w:ind w:right="80"/>
              <w:spacing w:after="0"/>
              <w:rPr>
                <w:sz w:val="20"/>
                <w:szCs w:val="20"/>
                <w:color w:val="auto"/>
              </w:rPr>
            </w:pPr>
            <w:r>
              <w:rPr>
                <w:rFonts w:ascii="Arial" w:cs="Arial" w:eastAsia="Arial" w:hAnsi="Arial"/>
                <w:sz w:val="22"/>
                <w:szCs w:val="22"/>
                <w:color w:val="auto"/>
              </w:rPr>
              <w:t>$6,202</w:t>
            </w:r>
          </w:p>
        </w:tc>
        <w:tc>
          <w:tcPr>
            <w:tcW w:w="1160" w:type="dxa"/>
            <w:vAlign w:val="bottom"/>
            <w:gridSpan w:val="3"/>
          </w:tcPr>
          <w:p>
            <w:pPr>
              <w:jc w:val="right"/>
              <w:ind w:right="20"/>
              <w:spacing w:after="0"/>
              <w:rPr>
                <w:sz w:val="20"/>
                <w:szCs w:val="20"/>
                <w:color w:val="auto"/>
              </w:rPr>
            </w:pPr>
            <w:r>
              <w:rPr>
                <w:rFonts w:ascii="Arial" w:cs="Arial" w:eastAsia="Arial" w:hAnsi="Arial"/>
                <w:sz w:val="22"/>
                <w:szCs w:val="22"/>
                <w:color w:val="auto"/>
              </w:rPr>
              <w:t>$(220,255)</w:t>
            </w:r>
          </w:p>
        </w:tc>
        <w:tc>
          <w:tcPr>
            <w:tcW w:w="860" w:type="dxa"/>
            <w:vAlign w:val="bottom"/>
            <w:gridSpan w:val="3"/>
          </w:tcPr>
          <w:p>
            <w:pPr>
              <w:jc w:val="right"/>
              <w:ind w:right="80"/>
              <w:spacing w:after="0"/>
              <w:rPr>
                <w:sz w:val="20"/>
                <w:szCs w:val="20"/>
                <w:color w:val="auto"/>
              </w:rPr>
            </w:pPr>
            <w:r>
              <w:rPr>
                <w:rFonts w:ascii="Arial" w:cs="Arial" w:eastAsia="Arial" w:hAnsi="Arial"/>
                <w:sz w:val="22"/>
                <w:szCs w:val="22"/>
                <w:color w:val="auto"/>
                <w:w w:val="95"/>
              </w:rPr>
              <w:t>$33,190</w:t>
            </w:r>
          </w:p>
        </w:tc>
      </w:tr>
      <w:tr>
        <w:trPr>
          <w:trHeight w:val="122"/>
        </w:trPr>
        <w:tc>
          <w:tcPr>
            <w:tcW w:w="4240" w:type="dxa"/>
            <w:vAlign w:val="bottom"/>
          </w:tcPr>
          <w:p>
            <w:pPr>
              <w:spacing w:after="0"/>
              <w:rPr>
                <w:sz w:val="10"/>
                <w:szCs w:val="10"/>
                <w:color w:val="auto"/>
              </w:rPr>
            </w:pPr>
          </w:p>
        </w:tc>
        <w:tc>
          <w:tcPr>
            <w:tcW w:w="1120" w:type="dxa"/>
            <w:vAlign w:val="bottom"/>
            <w:tcBorders>
              <w:bottom w:val="single" w:sz="8" w:color="336699"/>
            </w:tcBorders>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Borders>
              <w:bottom w:val="single" w:sz="8" w:color="336699"/>
            </w:tcBorders>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Borders>
              <w:bottom w:val="single" w:sz="8" w:color="336699"/>
            </w:tcBorders>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Borders>
              <w:bottom w:val="single" w:sz="8" w:color="336699"/>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3390265</wp:posOffset>
            </wp:positionH>
            <wp:positionV relativeFrom="paragraph">
              <wp:posOffset>-29210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-29210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-29210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-29210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-29210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-29210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-29210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-29210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4600" w:type="dxa"/>
            <w:vAlign w:val="bottom"/>
            <w:gridSpan w:val="2"/>
          </w:tcPr>
          <w:p>
            <w:pPr>
              <w:spacing w:after="0"/>
              <w:rPr>
                <w:sz w:val="20"/>
                <w:szCs w:val="20"/>
                <w:color w:val="auto"/>
              </w:rPr>
            </w:pPr>
            <w:r>
              <w:rPr>
                <w:rFonts w:ascii="Arial" w:cs="Arial" w:eastAsia="Arial" w:hAnsi="Arial"/>
                <w:sz w:val="22"/>
                <w:szCs w:val="22"/>
                <w:b w:val="1"/>
                <w:bCs w:val="1"/>
                <w:color w:val="auto"/>
              </w:rPr>
              <w:t>NOTE 4 - EARNINGS PER SHARE</w:t>
            </w: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980" w:type="dxa"/>
            <w:vAlign w:val="bottom"/>
            <w:gridSpan w:val="10"/>
          </w:tcPr>
          <w:p>
            <w:pPr>
              <w:spacing w:after="0"/>
              <w:rPr>
                <w:sz w:val="20"/>
                <w:szCs w:val="20"/>
                <w:color w:val="auto"/>
              </w:rPr>
            </w:pPr>
            <w:r>
              <w:rPr>
                <w:rFonts w:ascii="Arial" w:cs="Arial" w:eastAsia="Arial" w:hAnsi="Arial"/>
                <w:sz w:val="22"/>
                <w:szCs w:val="22"/>
                <w:color w:val="auto"/>
                <w:w w:val="88"/>
              </w:rPr>
              <w:t>The calculation of basic and diluted earnings (loss) per share is presented below:</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80" w:type="dxa"/>
            <w:vAlign w:val="bottom"/>
            <w:gridSpan w:val="8"/>
          </w:tcPr>
          <w:p>
            <w:pPr>
              <w:ind w:left="80"/>
              <w:spacing w:after="0"/>
              <w:rPr>
                <w:sz w:val="20"/>
                <w:szCs w:val="20"/>
                <w:color w:val="auto"/>
              </w:rPr>
            </w:pPr>
            <w:r>
              <w:rPr>
                <w:rFonts w:ascii="Arial" w:cs="Arial" w:eastAsia="Arial" w:hAnsi="Arial"/>
                <w:sz w:val="22"/>
                <w:szCs w:val="22"/>
                <w:b w:val="1"/>
                <w:bCs w:val="1"/>
                <w:color w:val="auto"/>
              </w:rPr>
              <w:t>Three Months Ended</w:t>
            </w:r>
          </w:p>
        </w:tc>
        <w:tc>
          <w:tcPr>
            <w:tcW w:w="1980" w:type="dxa"/>
            <w:vAlign w:val="bottom"/>
            <w:gridSpan w:val="5"/>
          </w:tcPr>
          <w:p>
            <w:pPr>
              <w:jc w:val="right"/>
              <w:ind w:right="12"/>
              <w:spacing w:after="0"/>
              <w:rPr>
                <w:sz w:val="20"/>
                <w:szCs w:val="20"/>
                <w:color w:val="auto"/>
              </w:rPr>
            </w:pPr>
            <w:r>
              <w:rPr>
                <w:rFonts w:ascii="Arial" w:cs="Arial" w:eastAsia="Arial" w:hAnsi="Arial"/>
                <w:sz w:val="22"/>
                <w:szCs w:val="22"/>
                <w:b w:val="1"/>
                <w:bCs w:val="1"/>
                <w:color w:val="auto"/>
                <w:w w:val="89"/>
              </w:rPr>
              <w:t>Nine Months Ended</w:t>
            </w: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1"/>
        </w:trPr>
        <w:tc>
          <w:tcPr>
            <w:tcW w:w="4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gridSpan w:val="4"/>
          </w:tcPr>
          <w:p>
            <w:pPr>
              <w:jc w:val="right"/>
              <w:ind w:right="420"/>
              <w:spacing w:after="0"/>
              <w:rPr>
                <w:sz w:val="20"/>
                <w:szCs w:val="20"/>
                <w:color w:val="auto"/>
              </w:rPr>
            </w:pPr>
            <w:r>
              <w:rPr>
                <w:rFonts w:ascii="Arial" w:cs="Arial" w:eastAsia="Arial" w:hAnsi="Arial"/>
                <w:sz w:val="22"/>
                <w:szCs w:val="22"/>
                <w:b w:val="1"/>
                <w:bCs w:val="1"/>
                <w:color w:val="auto"/>
              </w:rPr>
              <w:t>July 27,</w:t>
            </w:r>
          </w:p>
        </w:tc>
        <w:tc>
          <w:tcPr>
            <w:tcW w:w="1060" w:type="dxa"/>
            <w:vAlign w:val="bottom"/>
            <w:gridSpan w:val="4"/>
          </w:tcPr>
          <w:p>
            <w:pPr>
              <w:spacing w:after="0"/>
              <w:rPr>
                <w:sz w:val="20"/>
                <w:szCs w:val="20"/>
                <w:color w:val="auto"/>
              </w:rPr>
            </w:pPr>
            <w:r>
              <w:rPr>
                <w:rFonts w:ascii="Arial" w:cs="Arial" w:eastAsia="Arial" w:hAnsi="Arial"/>
                <w:sz w:val="22"/>
                <w:szCs w:val="22"/>
                <w:b w:val="1"/>
                <w:bCs w:val="1"/>
                <w:color w:val="auto"/>
              </w:rPr>
              <w:t>July 29,</w:t>
            </w:r>
          </w:p>
        </w:tc>
        <w:tc>
          <w:tcPr>
            <w:tcW w:w="980" w:type="dxa"/>
            <w:vAlign w:val="bottom"/>
          </w:tcPr>
          <w:p>
            <w:pPr>
              <w:jc w:val="right"/>
              <w:ind w:right="72"/>
              <w:spacing w:after="0"/>
              <w:rPr>
                <w:sz w:val="20"/>
                <w:szCs w:val="20"/>
                <w:color w:val="auto"/>
              </w:rPr>
            </w:pPr>
            <w:r>
              <w:rPr>
                <w:rFonts w:ascii="Arial" w:cs="Arial" w:eastAsia="Arial" w:hAnsi="Arial"/>
                <w:sz w:val="22"/>
                <w:szCs w:val="22"/>
                <w:b w:val="1"/>
                <w:bCs w:val="1"/>
                <w:color w:val="auto"/>
                <w:w w:val="96"/>
              </w:rPr>
              <w:t>July 27,</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2"/>
                <w:szCs w:val="22"/>
                <w:b w:val="1"/>
                <w:bCs w:val="1"/>
                <w:color w:val="auto"/>
                <w:w w:val="91"/>
              </w:rPr>
              <w:t>July 29,</w:t>
            </w: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4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jc w:val="right"/>
              <w:ind w:right="252"/>
              <w:spacing w:after="0"/>
              <w:rPr>
                <w:sz w:val="20"/>
                <w:szCs w:val="20"/>
                <w:color w:val="auto"/>
              </w:rPr>
            </w:pPr>
            <w:r>
              <w:rPr>
                <w:rFonts w:ascii="Arial" w:cs="Arial" w:eastAsia="Arial" w:hAnsi="Arial"/>
                <w:sz w:val="22"/>
                <w:szCs w:val="22"/>
                <w:b w:val="1"/>
                <w:bCs w:val="1"/>
                <w:color w:val="auto"/>
              </w:rPr>
              <w:t>2008</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jc w:val="right"/>
              <w:ind w:right="132"/>
              <w:spacing w:after="0"/>
              <w:rPr>
                <w:sz w:val="20"/>
                <w:szCs w:val="20"/>
                <w:color w:val="auto"/>
              </w:rPr>
            </w:pPr>
            <w:r>
              <w:rPr>
                <w:rFonts w:ascii="Arial" w:cs="Arial" w:eastAsia="Arial" w:hAnsi="Arial"/>
                <w:sz w:val="22"/>
                <w:szCs w:val="22"/>
                <w:b w:val="1"/>
                <w:bCs w:val="1"/>
                <w:color w:val="auto"/>
              </w:rPr>
              <w:t>2007</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jc w:val="right"/>
              <w:ind w:right="212"/>
              <w:spacing w:after="0"/>
              <w:rPr>
                <w:sz w:val="20"/>
                <w:szCs w:val="20"/>
                <w:color w:val="auto"/>
              </w:rPr>
            </w:pPr>
            <w:r>
              <w:rPr>
                <w:rFonts w:ascii="Arial" w:cs="Arial" w:eastAsia="Arial" w:hAnsi="Arial"/>
                <w:sz w:val="22"/>
                <w:szCs w:val="22"/>
                <w:b w:val="1"/>
                <w:bCs w:val="1"/>
                <w:color w:val="auto"/>
              </w:rPr>
              <w:t>2008</w:t>
            </w:r>
          </w:p>
        </w:tc>
        <w:tc>
          <w:tcPr>
            <w:tcW w:w="1000" w:type="dxa"/>
            <w:vAlign w:val="bottom"/>
            <w:gridSpan w:val="4"/>
          </w:tcPr>
          <w:p>
            <w:pPr>
              <w:jc w:val="right"/>
              <w:ind w:right="112"/>
              <w:spacing w:after="0"/>
              <w:rPr>
                <w:sz w:val="20"/>
                <w:szCs w:val="20"/>
                <w:color w:val="auto"/>
              </w:rPr>
            </w:pPr>
            <w:r>
              <w:rPr>
                <w:rFonts w:ascii="Arial" w:cs="Arial" w:eastAsia="Arial" w:hAnsi="Arial"/>
                <w:sz w:val="22"/>
                <w:szCs w:val="22"/>
                <w:b w:val="1"/>
                <w:bCs w:val="1"/>
                <w:color w:val="auto"/>
              </w:rPr>
              <w:t>2007</w:t>
            </w: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1"/>
        </w:trPr>
        <w:tc>
          <w:tcPr>
            <w:tcW w:w="4600" w:type="dxa"/>
            <w:vAlign w:val="bottom"/>
            <w:gridSpan w:val="2"/>
          </w:tcPr>
          <w:p>
            <w:pPr>
              <w:spacing w:after="0"/>
              <w:rPr>
                <w:sz w:val="20"/>
                <w:szCs w:val="20"/>
                <w:color w:val="auto"/>
              </w:rPr>
            </w:pPr>
            <w:r>
              <w:rPr>
                <w:rFonts w:ascii="Arial" w:cs="Arial" w:eastAsia="Arial" w:hAnsi="Arial"/>
                <w:sz w:val="22"/>
                <w:szCs w:val="22"/>
                <w:color w:val="auto"/>
              </w:rPr>
              <w:t>Net income (loss)</w:t>
            </w:r>
          </w:p>
        </w:tc>
        <w:tc>
          <w:tcPr>
            <w:tcW w:w="1100" w:type="dxa"/>
            <w:vAlign w:val="bottom"/>
          </w:tcPr>
          <w:p>
            <w:pPr>
              <w:jc w:val="right"/>
              <w:spacing w:after="0"/>
              <w:rPr>
                <w:sz w:val="20"/>
                <w:szCs w:val="20"/>
                <w:color w:val="auto"/>
              </w:rPr>
            </w:pPr>
            <w:r>
              <w:rPr>
                <w:rFonts w:ascii="Arial" w:cs="Arial" w:eastAsia="Arial" w:hAnsi="Arial"/>
                <w:sz w:val="22"/>
                <w:szCs w:val="22"/>
                <w:color w:val="auto"/>
                <w:w w:val="99"/>
              </w:rPr>
              <w:t>$(205,592)</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2"/>
                <w:szCs w:val="22"/>
                <w:color w:val="auto"/>
              </w:rPr>
              <w:t>$2,238</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w w:val="88"/>
              </w:rPr>
              <w:t>$(211,001)</w:t>
            </w:r>
          </w:p>
        </w:tc>
        <w:tc>
          <w:tcPr>
            <w:tcW w:w="1000" w:type="dxa"/>
            <w:vAlign w:val="bottom"/>
            <w:gridSpan w:val="4"/>
          </w:tcPr>
          <w:p>
            <w:pPr>
              <w:jc w:val="right"/>
              <w:spacing w:after="0"/>
              <w:rPr>
                <w:sz w:val="20"/>
                <w:szCs w:val="20"/>
                <w:color w:val="auto"/>
              </w:rPr>
            </w:pPr>
            <w:r>
              <w:rPr>
                <w:rFonts w:ascii="Arial" w:cs="Arial" w:eastAsia="Arial" w:hAnsi="Arial"/>
                <w:sz w:val="22"/>
                <w:szCs w:val="22"/>
                <w:color w:val="auto"/>
              </w:rPr>
              <w:t>$24,161</w:t>
            </w: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4600" w:type="dxa"/>
            <w:vAlign w:val="bottom"/>
            <w:gridSpan w:val="2"/>
          </w:tcPr>
          <w:p>
            <w:pPr>
              <w:spacing w:after="0"/>
              <w:rPr>
                <w:sz w:val="20"/>
                <w:szCs w:val="20"/>
                <w:color w:val="auto"/>
              </w:rPr>
            </w:pPr>
            <w:r>
              <w:rPr>
                <w:rFonts w:ascii="Arial" w:cs="Arial" w:eastAsia="Arial" w:hAnsi="Arial"/>
                <w:sz w:val="22"/>
                <w:szCs w:val="22"/>
                <w:color w:val="auto"/>
              </w:rPr>
              <w:t>Effect of dilutive securities:</w:t>
            </w: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00" w:type="dxa"/>
            <w:vAlign w:val="bottom"/>
            <w:gridSpan w:val="2"/>
          </w:tcPr>
          <w:p>
            <w:pPr>
              <w:ind w:left="180"/>
              <w:spacing w:after="0" w:line="243" w:lineRule="exact"/>
              <w:rPr>
                <w:sz w:val="20"/>
                <w:szCs w:val="20"/>
                <w:color w:val="auto"/>
              </w:rPr>
            </w:pPr>
            <w:r>
              <w:rPr>
                <w:rFonts w:ascii="Arial" w:cs="Arial" w:eastAsia="Arial" w:hAnsi="Arial"/>
                <w:sz w:val="22"/>
                <w:szCs w:val="22"/>
                <w:color w:val="auto"/>
              </w:rPr>
              <w:t>Interest expense on convertible notes,</w:t>
            </w: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4600" w:type="dxa"/>
            <w:vAlign w:val="bottom"/>
            <w:gridSpan w:val="2"/>
          </w:tcPr>
          <w:p>
            <w:pPr>
              <w:ind w:left="220"/>
              <w:spacing w:after="0"/>
              <w:rPr>
                <w:sz w:val="20"/>
                <w:szCs w:val="20"/>
                <w:color w:val="auto"/>
              </w:rPr>
            </w:pPr>
            <w:r>
              <w:rPr>
                <w:rFonts w:ascii="Arial" w:cs="Arial" w:eastAsia="Arial" w:hAnsi="Arial"/>
                <w:sz w:val="22"/>
                <w:szCs w:val="22"/>
                <w:color w:val="auto"/>
              </w:rPr>
              <w:t>net of related tax effect</w:t>
            </w:r>
          </w:p>
        </w:tc>
        <w:tc>
          <w:tcPr>
            <w:tcW w:w="1100" w:type="dxa"/>
            <w:vAlign w:val="bottom"/>
          </w:tcPr>
          <w:p>
            <w:pPr>
              <w:jc w:val="right"/>
              <w:spacing w:after="0"/>
              <w:rPr>
                <w:sz w:val="20"/>
                <w:szCs w:val="20"/>
                <w:color w:val="auto"/>
              </w:rPr>
            </w:pPr>
            <w:r>
              <w:rPr>
                <w:rFonts w:ascii="Arial" w:cs="Arial" w:eastAsia="Arial" w:hAnsi="Arial"/>
                <w:sz w:val="22"/>
                <w:szCs w:val="22"/>
                <w:color w:val="auto"/>
              </w:rPr>
              <w:t>-</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2"/>
                <w:szCs w:val="22"/>
                <w:color w:val="auto"/>
              </w:rPr>
              <w:t>-</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w:t>
            </w:r>
          </w:p>
        </w:tc>
        <w:tc>
          <w:tcPr>
            <w:tcW w:w="1000" w:type="dxa"/>
            <w:vAlign w:val="bottom"/>
            <w:gridSpan w:val="4"/>
          </w:tcPr>
          <w:p>
            <w:pPr>
              <w:jc w:val="right"/>
              <w:spacing w:after="0"/>
              <w:rPr>
                <w:sz w:val="20"/>
                <w:szCs w:val="20"/>
                <w:color w:val="auto"/>
              </w:rPr>
            </w:pPr>
            <w:r>
              <w:rPr>
                <w:rFonts w:ascii="Arial" w:cs="Arial" w:eastAsia="Arial" w:hAnsi="Arial"/>
                <w:sz w:val="22"/>
                <w:szCs w:val="22"/>
                <w:color w:val="auto"/>
              </w:rPr>
              <w:t>3,301</w:t>
            </w:r>
          </w:p>
        </w:tc>
        <w:tc>
          <w:tcPr>
            <w:tcW w:w="2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4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Borders>
              <w:bottom w:val="single" w:sz="8" w:color="336699"/>
            </w:tcBorders>
          </w:tcPr>
          <w:p>
            <w:pPr>
              <w:spacing w:after="0"/>
              <w:rPr>
                <w:sz w:val="8"/>
                <w:szCs w:val="8"/>
                <w:color w:val="auto"/>
              </w:rPr>
            </w:pPr>
          </w:p>
        </w:tc>
        <w:tc>
          <w:tcPr>
            <w:tcW w:w="82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bottom w:val="single" w:sz="8" w:color="336699"/>
            </w:tcBorders>
          </w:tcPr>
          <w:p>
            <w:pPr>
              <w:spacing w:after="0"/>
              <w:rPr>
                <w:sz w:val="8"/>
                <w:szCs w:val="8"/>
                <w:color w:val="auto"/>
              </w:rPr>
            </w:pPr>
          </w:p>
        </w:tc>
        <w:tc>
          <w:tcPr>
            <w:tcW w:w="98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Borders>
              <w:bottom w:val="single" w:sz="8" w:color="336699"/>
            </w:tcBorders>
          </w:tcPr>
          <w:p>
            <w:pPr>
              <w:spacing w:after="0"/>
              <w:rPr>
                <w:sz w:val="8"/>
                <w:szCs w:val="8"/>
                <w:color w:val="auto"/>
              </w:rPr>
            </w:pPr>
          </w:p>
        </w:tc>
        <w:tc>
          <w:tcPr>
            <w:tcW w:w="2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8"/>
        </w:trPr>
        <w:tc>
          <w:tcPr>
            <w:tcW w:w="4600" w:type="dxa"/>
            <w:vAlign w:val="bottom"/>
            <w:gridSpan w:val="2"/>
          </w:tcPr>
          <w:p>
            <w:pPr>
              <w:spacing w:after="0"/>
              <w:rPr>
                <w:sz w:val="20"/>
                <w:szCs w:val="20"/>
                <w:color w:val="auto"/>
              </w:rPr>
            </w:pPr>
            <w:r>
              <w:rPr>
                <w:rFonts w:ascii="Arial" w:cs="Arial" w:eastAsia="Arial" w:hAnsi="Arial"/>
                <w:sz w:val="22"/>
                <w:szCs w:val="22"/>
                <w:color w:val="auto"/>
              </w:rPr>
              <w:t>Earnings for diluted earnings (loss) per share</w:t>
            </w:r>
          </w:p>
        </w:tc>
        <w:tc>
          <w:tcPr>
            <w:tcW w:w="1100" w:type="dxa"/>
            <w:vAlign w:val="bottom"/>
          </w:tcPr>
          <w:p>
            <w:pPr>
              <w:jc w:val="right"/>
              <w:spacing w:after="0"/>
              <w:rPr>
                <w:sz w:val="20"/>
                <w:szCs w:val="20"/>
                <w:color w:val="auto"/>
              </w:rPr>
            </w:pPr>
            <w:r>
              <w:rPr>
                <w:rFonts w:ascii="Arial" w:cs="Arial" w:eastAsia="Arial" w:hAnsi="Arial"/>
                <w:sz w:val="22"/>
                <w:szCs w:val="22"/>
                <w:color w:val="auto"/>
                <w:w w:val="99"/>
              </w:rPr>
              <w:t>$(205,592)</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2"/>
                <w:szCs w:val="22"/>
                <w:color w:val="auto"/>
              </w:rPr>
              <w:t>$2,238</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w w:val="88"/>
              </w:rPr>
              <w:t>$(211,001)</w:t>
            </w:r>
          </w:p>
        </w:tc>
        <w:tc>
          <w:tcPr>
            <w:tcW w:w="1000" w:type="dxa"/>
            <w:vAlign w:val="bottom"/>
            <w:gridSpan w:val="4"/>
          </w:tcPr>
          <w:p>
            <w:pPr>
              <w:jc w:val="right"/>
              <w:spacing w:after="0"/>
              <w:rPr>
                <w:sz w:val="20"/>
                <w:szCs w:val="20"/>
                <w:color w:val="auto"/>
              </w:rPr>
            </w:pPr>
            <w:r>
              <w:rPr>
                <w:rFonts w:ascii="Arial" w:cs="Arial" w:eastAsia="Arial" w:hAnsi="Arial"/>
                <w:sz w:val="22"/>
                <w:szCs w:val="22"/>
                <w:color w:val="auto"/>
              </w:rPr>
              <w:t>$27,462</w:t>
            </w: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458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1100" w:type="dxa"/>
            <w:vAlign w:val="bottom"/>
            <w:tcBorders>
              <w:bottom w:val="single" w:sz="8" w:color="336699"/>
            </w:tcBorders>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Borders>
              <w:bottom w:val="single" w:sz="8" w:color="336699"/>
            </w:tcBorders>
          </w:tcPr>
          <w:p>
            <w:pPr>
              <w:spacing w:after="0"/>
              <w:rPr>
                <w:sz w:val="10"/>
                <w:szCs w:val="10"/>
                <w:color w:val="auto"/>
              </w:rPr>
            </w:pPr>
          </w:p>
        </w:tc>
        <w:tc>
          <w:tcPr>
            <w:tcW w:w="820" w:type="dxa"/>
            <w:vAlign w:val="bottom"/>
            <w:tcBorders>
              <w:bottom w:val="single" w:sz="8" w:color="336699"/>
            </w:tcBorders>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bottom w:val="single" w:sz="8" w:color="336699"/>
            </w:tcBorders>
          </w:tcPr>
          <w:p>
            <w:pPr>
              <w:spacing w:after="0"/>
              <w:rPr>
                <w:sz w:val="10"/>
                <w:szCs w:val="10"/>
                <w:color w:val="auto"/>
              </w:rPr>
            </w:pPr>
          </w:p>
        </w:tc>
        <w:tc>
          <w:tcPr>
            <w:tcW w:w="980" w:type="dxa"/>
            <w:vAlign w:val="bottom"/>
            <w:tcBorders>
              <w:bottom w:val="single" w:sz="8" w:color="336699"/>
            </w:tcBorders>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840" w:type="dxa"/>
            <w:vAlign w:val="bottom"/>
            <w:tcBorders>
              <w:bottom w:val="single" w:sz="8" w:color="336699"/>
            </w:tcBorders>
          </w:tcPr>
          <w:p>
            <w:pPr>
              <w:spacing w:after="0"/>
              <w:rPr>
                <w:sz w:val="10"/>
                <w:szCs w:val="10"/>
                <w:color w:val="auto"/>
              </w:rPr>
            </w:pPr>
          </w:p>
        </w:tc>
        <w:tc>
          <w:tcPr>
            <w:tcW w:w="2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6"/>
        </w:trPr>
        <w:tc>
          <w:tcPr>
            <w:tcW w:w="4600" w:type="dxa"/>
            <w:vAlign w:val="bottom"/>
            <w:gridSpan w:val="2"/>
          </w:tcPr>
          <w:p>
            <w:pPr>
              <w:spacing w:after="0"/>
              <w:rPr>
                <w:sz w:val="20"/>
                <w:szCs w:val="20"/>
                <w:color w:val="auto"/>
              </w:rPr>
            </w:pPr>
            <w:r>
              <w:rPr>
                <w:rFonts w:ascii="Arial" w:cs="Arial" w:eastAsia="Arial" w:hAnsi="Arial"/>
                <w:sz w:val="22"/>
                <w:szCs w:val="22"/>
                <w:color w:val="auto"/>
                <w:w w:val="94"/>
              </w:rPr>
              <w:t>Weighted average common shares computations:</w:t>
            </w: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00" w:type="dxa"/>
            <w:vAlign w:val="bottom"/>
            <w:gridSpan w:val="2"/>
          </w:tcPr>
          <w:p>
            <w:pPr>
              <w:ind w:left="160"/>
              <w:spacing w:after="0" w:line="243" w:lineRule="exact"/>
              <w:rPr>
                <w:sz w:val="20"/>
                <w:szCs w:val="20"/>
                <w:color w:val="auto"/>
              </w:rPr>
            </w:pPr>
            <w:r>
              <w:rPr>
                <w:rFonts w:ascii="Arial" w:cs="Arial" w:eastAsia="Arial" w:hAnsi="Arial"/>
                <w:sz w:val="22"/>
                <w:szCs w:val="22"/>
                <w:color w:val="auto"/>
              </w:rPr>
              <w:t>Weighted average common shares used for</w:t>
            </w: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0" w:type="dxa"/>
            <w:vAlign w:val="bottom"/>
            <w:gridSpan w:val="2"/>
          </w:tcPr>
          <w:p>
            <w:pPr>
              <w:ind w:left="280"/>
              <w:spacing w:after="0" w:line="243" w:lineRule="exact"/>
              <w:rPr>
                <w:sz w:val="20"/>
                <w:szCs w:val="20"/>
                <w:color w:val="auto"/>
              </w:rPr>
            </w:pPr>
            <w:r>
              <w:rPr>
                <w:rFonts w:ascii="Arial" w:cs="Arial" w:eastAsia="Arial" w:hAnsi="Arial"/>
                <w:sz w:val="22"/>
                <w:szCs w:val="22"/>
                <w:color w:val="auto"/>
              </w:rPr>
              <w:t>basic earnings (loss) per share</w:t>
            </w:r>
          </w:p>
        </w:tc>
        <w:tc>
          <w:tcPr>
            <w:tcW w:w="1100" w:type="dxa"/>
            <w:vAlign w:val="bottom"/>
          </w:tcPr>
          <w:p>
            <w:pPr>
              <w:jc w:val="right"/>
              <w:spacing w:after="0" w:line="243" w:lineRule="exact"/>
              <w:rPr>
                <w:sz w:val="20"/>
                <w:szCs w:val="20"/>
                <w:color w:val="auto"/>
              </w:rPr>
            </w:pPr>
            <w:r>
              <w:rPr>
                <w:rFonts w:ascii="Arial" w:cs="Arial" w:eastAsia="Arial" w:hAnsi="Arial"/>
                <w:sz w:val="22"/>
                <w:szCs w:val="22"/>
                <w:color w:val="auto"/>
              </w:rPr>
              <w:t>41,662</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jc w:val="right"/>
              <w:spacing w:after="0" w:line="243" w:lineRule="exact"/>
              <w:rPr>
                <w:sz w:val="20"/>
                <w:szCs w:val="20"/>
                <w:color w:val="auto"/>
              </w:rPr>
            </w:pPr>
            <w:r>
              <w:rPr>
                <w:rFonts w:ascii="Arial" w:cs="Arial" w:eastAsia="Arial" w:hAnsi="Arial"/>
                <w:sz w:val="22"/>
                <w:szCs w:val="22"/>
                <w:color w:val="auto"/>
              </w:rPr>
              <w:t>41,558</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41,642</w:t>
            </w:r>
          </w:p>
        </w:tc>
        <w:tc>
          <w:tcPr>
            <w:tcW w:w="1000" w:type="dxa"/>
            <w:vAlign w:val="bottom"/>
            <w:gridSpan w:val="4"/>
          </w:tcPr>
          <w:p>
            <w:pPr>
              <w:jc w:val="right"/>
              <w:spacing w:after="0" w:line="243" w:lineRule="exact"/>
              <w:rPr>
                <w:sz w:val="20"/>
                <w:szCs w:val="20"/>
                <w:color w:val="auto"/>
              </w:rPr>
            </w:pPr>
            <w:r>
              <w:rPr>
                <w:rFonts w:ascii="Arial" w:cs="Arial" w:eastAsia="Arial" w:hAnsi="Arial"/>
                <w:sz w:val="22"/>
                <w:szCs w:val="22"/>
                <w:color w:val="auto"/>
              </w:rPr>
              <w:t>41,515</w:t>
            </w:r>
          </w:p>
        </w:tc>
        <w:tc>
          <w:tcPr>
            <w:tcW w:w="2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0" w:type="dxa"/>
            <w:vAlign w:val="bottom"/>
            <w:gridSpan w:val="2"/>
          </w:tcPr>
          <w:p>
            <w:pPr>
              <w:ind w:left="180"/>
              <w:spacing w:after="0" w:line="243" w:lineRule="exact"/>
              <w:rPr>
                <w:sz w:val="20"/>
                <w:szCs w:val="20"/>
                <w:color w:val="auto"/>
              </w:rPr>
            </w:pPr>
            <w:r>
              <w:rPr>
                <w:rFonts w:ascii="Arial" w:cs="Arial" w:eastAsia="Arial" w:hAnsi="Arial"/>
                <w:sz w:val="22"/>
                <w:szCs w:val="22"/>
                <w:color w:val="auto"/>
              </w:rPr>
              <w:t>Effect of dilutive securities:</w:t>
            </w: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0" w:type="dxa"/>
            <w:vAlign w:val="bottom"/>
            <w:gridSpan w:val="2"/>
          </w:tcPr>
          <w:p>
            <w:pPr>
              <w:ind w:left="280"/>
              <w:spacing w:after="0" w:line="243" w:lineRule="exact"/>
              <w:rPr>
                <w:sz w:val="20"/>
                <w:szCs w:val="20"/>
                <w:color w:val="auto"/>
              </w:rPr>
            </w:pPr>
            <w:r>
              <w:rPr>
                <w:rFonts w:ascii="Arial" w:cs="Arial" w:eastAsia="Arial" w:hAnsi="Arial"/>
                <w:sz w:val="22"/>
                <w:szCs w:val="22"/>
                <w:color w:val="auto"/>
              </w:rPr>
              <w:t>Convertible notes</w:t>
            </w:r>
          </w:p>
        </w:tc>
        <w:tc>
          <w:tcPr>
            <w:tcW w:w="110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1000" w:type="dxa"/>
            <w:vAlign w:val="bottom"/>
            <w:gridSpan w:val="4"/>
          </w:tcPr>
          <w:p>
            <w:pPr>
              <w:jc w:val="right"/>
              <w:spacing w:after="0" w:line="243" w:lineRule="exact"/>
              <w:rPr>
                <w:sz w:val="20"/>
                <w:szCs w:val="20"/>
                <w:color w:val="auto"/>
              </w:rPr>
            </w:pPr>
            <w:r>
              <w:rPr>
                <w:rFonts w:ascii="Arial" w:cs="Arial" w:eastAsia="Arial" w:hAnsi="Arial"/>
                <w:sz w:val="22"/>
                <w:szCs w:val="22"/>
                <w:color w:val="auto"/>
              </w:rPr>
              <w:t>9,441</w:t>
            </w:r>
          </w:p>
        </w:tc>
        <w:tc>
          <w:tcPr>
            <w:tcW w:w="2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4600" w:type="dxa"/>
            <w:vAlign w:val="bottom"/>
            <w:gridSpan w:val="2"/>
          </w:tcPr>
          <w:p>
            <w:pPr>
              <w:ind w:left="280"/>
              <w:spacing w:after="0"/>
              <w:rPr>
                <w:sz w:val="20"/>
                <w:szCs w:val="20"/>
                <w:color w:val="auto"/>
              </w:rPr>
            </w:pPr>
            <w:r>
              <w:rPr>
                <w:rFonts w:ascii="Arial" w:cs="Arial" w:eastAsia="Arial" w:hAnsi="Arial"/>
                <w:sz w:val="22"/>
                <w:szCs w:val="22"/>
                <w:color w:val="auto"/>
              </w:rPr>
              <w:t>Employee stock options</w:t>
            </w:r>
          </w:p>
        </w:tc>
        <w:tc>
          <w:tcPr>
            <w:tcW w:w="1100" w:type="dxa"/>
            <w:vAlign w:val="bottom"/>
          </w:tcPr>
          <w:p>
            <w:pPr>
              <w:jc w:val="right"/>
              <w:spacing w:after="0"/>
              <w:rPr>
                <w:sz w:val="20"/>
                <w:szCs w:val="20"/>
                <w:color w:val="auto"/>
              </w:rPr>
            </w:pPr>
            <w:r>
              <w:rPr>
                <w:rFonts w:ascii="Arial" w:cs="Arial" w:eastAsia="Arial" w:hAnsi="Arial"/>
                <w:sz w:val="22"/>
                <w:szCs w:val="22"/>
                <w:color w:val="auto"/>
              </w:rPr>
              <w:t>-</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2"/>
                <w:szCs w:val="22"/>
                <w:color w:val="auto"/>
              </w:rPr>
              <w:t>306</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w:t>
            </w:r>
          </w:p>
        </w:tc>
        <w:tc>
          <w:tcPr>
            <w:tcW w:w="1000" w:type="dxa"/>
            <w:vAlign w:val="bottom"/>
            <w:gridSpan w:val="4"/>
          </w:tcPr>
          <w:p>
            <w:pPr>
              <w:jc w:val="right"/>
              <w:spacing w:after="0"/>
              <w:rPr>
                <w:sz w:val="20"/>
                <w:szCs w:val="20"/>
                <w:color w:val="auto"/>
              </w:rPr>
            </w:pPr>
            <w:r>
              <w:rPr>
                <w:rFonts w:ascii="Arial" w:cs="Arial" w:eastAsia="Arial" w:hAnsi="Arial"/>
                <w:sz w:val="22"/>
                <w:szCs w:val="22"/>
                <w:color w:val="auto"/>
              </w:rPr>
              <w:t>399</w:t>
            </w:r>
          </w:p>
        </w:tc>
        <w:tc>
          <w:tcPr>
            <w:tcW w:w="2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4600" w:type="dxa"/>
            <w:vAlign w:val="bottom"/>
            <w:gridSpan w:val="2"/>
          </w:tcPr>
          <w:p>
            <w:pPr>
              <w:spacing w:after="0"/>
              <w:rPr>
                <w:sz w:val="8"/>
                <w:szCs w:val="8"/>
                <w:color w:val="auto"/>
              </w:rPr>
            </w:pPr>
          </w:p>
        </w:tc>
        <w:tc>
          <w:tcPr>
            <w:tcW w:w="110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Borders>
              <w:bottom w:val="single" w:sz="8" w:color="336699"/>
            </w:tcBorders>
          </w:tcPr>
          <w:p>
            <w:pPr>
              <w:spacing w:after="0"/>
              <w:rPr>
                <w:sz w:val="8"/>
                <w:szCs w:val="8"/>
                <w:color w:val="auto"/>
              </w:rPr>
            </w:pPr>
          </w:p>
        </w:tc>
        <w:tc>
          <w:tcPr>
            <w:tcW w:w="82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bottom w:val="single" w:sz="8" w:color="336699"/>
            </w:tcBorders>
          </w:tcPr>
          <w:p>
            <w:pPr>
              <w:spacing w:after="0"/>
              <w:rPr>
                <w:sz w:val="8"/>
                <w:szCs w:val="8"/>
                <w:color w:val="auto"/>
              </w:rPr>
            </w:pPr>
          </w:p>
        </w:tc>
        <w:tc>
          <w:tcPr>
            <w:tcW w:w="980" w:type="dxa"/>
            <w:vAlign w:val="bottom"/>
            <w:tcBorders>
              <w:bottom w:val="single" w:sz="8" w:color="336699"/>
            </w:tcBorders>
          </w:tcPr>
          <w:p>
            <w:pPr>
              <w:spacing w:after="0"/>
              <w:rPr>
                <w:sz w:val="8"/>
                <w:szCs w:val="8"/>
                <w:color w:val="auto"/>
              </w:rPr>
            </w:pPr>
          </w:p>
        </w:tc>
        <w:tc>
          <w:tcPr>
            <w:tcW w:w="160" w:type="dxa"/>
            <w:vAlign w:val="bottom"/>
            <w:gridSpan w:val="3"/>
          </w:tcPr>
          <w:p>
            <w:pPr>
              <w:spacing w:after="0"/>
              <w:rPr>
                <w:sz w:val="8"/>
                <w:szCs w:val="8"/>
                <w:color w:val="auto"/>
              </w:rPr>
            </w:pPr>
          </w:p>
        </w:tc>
        <w:tc>
          <w:tcPr>
            <w:tcW w:w="840" w:type="dxa"/>
            <w:vAlign w:val="bottom"/>
            <w:tcBorders>
              <w:bottom w:val="single" w:sz="8" w:color="336699"/>
            </w:tcBorders>
          </w:tcPr>
          <w:p>
            <w:pPr>
              <w:spacing w:after="0"/>
              <w:rPr>
                <w:sz w:val="8"/>
                <w:szCs w:val="8"/>
                <w:color w:val="auto"/>
              </w:rPr>
            </w:pPr>
          </w:p>
        </w:tc>
        <w:tc>
          <w:tcPr>
            <w:tcW w:w="2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8"/>
        </w:trPr>
        <w:tc>
          <w:tcPr>
            <w:tcW w:w="4600" w:type="dxa"/>
            <w:vAlign w:val="bottom"/>
            <w:gridSpan w:val="2"/>
          </w:tcPr>
          <w:p>
            <w:pPr>
              <w:ind w:left="180"/>
              <w:spacing w:after="0"/>
              <w:rPr>
                <w:sz w:val="20"/>
                <w:szCs w:val="20"/>
                <w:color w:val="auto"/>
              </w:rPr>
            </w:pPr>
            <w:r>
              <w:rPr>
                <w:rFonts w:ascii="Arial" w:cs="Arial" w:eastAsia="Arial" w:hAnsi="Arial"/>
                <w:sz w:val="22"/>
                <w:szCs w:val="22"/>
                <w:color w:val="auto"/>
              </w:rPr>
              <w:t>Dilutive potential common shares</w:t>
            </w:r>
          </w:p>
        </w:tc>
        <w:tc>
          <w:tcPr>
            <w:tcW w:w="1100" w:type="dxa"/>
            <w:vAlign w:val="bottom"/>
          </w:tcPr>
          <w:p>
            <w:pPr>
              <w:jc w:val="right"/>
              <w:spacing w:after="0"/>
              <w:rPr>
                <w:sz w:val="20"/>
                <w:szCs w:val="20"/>
                <w:color w:val="auto"/>
              </w:rPr>
            </w:pPr>
            <w:r>
              <w:rPr>
                <w:rFonts w:ascii="Arial" w:cs="Arial" w:eastAsia="Arial" w:hAnsi="Arial"/>
                <w:sz w:val="22"/>
                <w:szCs w:val="22"/>
                <w:color w:val="auto"/>
              </w:rPr>
              <w: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2"/>
                <w:szCs w:val="22"/>
                <w:color w:val="auto"/>
              </w:rPr>
              <w:t>306</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w:t>
            </w:r>
          </w:p>
        </w:tc>
        <w:tc>
          <w:tcPr>
            <w:tcW w:w="1000" w:type="dxa"/>
            <w:vAlign w:val="bottom"/>
            <w:gridSpan w:val="4"/>
          </w:tcPr>
          <w:p>
            <w:pPr>
              <w:jc w:val="right"/>
              <w:spacing w:after="0"/>
              <w:rPr>
                <w:sz w:val="20"/>
                <w:szCs w:val="20"/>
                <w:color w:val="auto"/>
              </w:rPr>
            </w:pPr>
            <w:r>
              <w:rPr>
                <w:rFonts w:ascii="Arial" w:cs="Arial" w:eastAsia="Arial" w:hAnsi="Arial"/>
                <w:sz w:val="22"/>
                <w:szCs w:val="22"/>
                <w:color w:val="auto"/>
              </w:rPr>
              <w:t>9,840</w:t>
            </w: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600" w:type="dxa"/>
            <w:vAlign w:val="bottom"/>
            <w:gridSpan w:val="2"/>
            <w:vMerge w:val="restart"/>
          </w:tcPr>
          <w:p>
            <w:pPr>
              <w:spacing w:after="0"/>
              <w:rPr>
                <w:sz w:val="20"/>
                <w:szCs w:val="20"/>
                <w:color w:val="auto"/>
              </w:rPr>
            </w:pPr>
            <w:r>
              <w:rPr>
                <w:rFonts w:ascii="Arial" w:cs="Arial" w:eastAsia="Arial" w:hAnsi="Arial"/>
                <w:sz w:val="22"/>
                <w:szCs w:val="22"/>
                <w:color w:val="auto"/>
              </w:rPr>
              <w:t>Weighted average common shares used for</w:t>
            </w:r>
          </w:p>
        </w:tc>
        <w:tc>
          <w:tcPr>
            <w:tcW w:w="110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Borders>
              <w:bottom w:val="single" w:sz="8" w:color="336699"/>
            </w:tcBorders>
          </w:tcPr>
          <w:p>
            <w:pPr>
              <w:spacing w:after="0"/>
              <w:rPr>
                <w:sz w:val="8"/>
                <w:szCs w:val="8"/>
                <w:color w:val="auto"/>
              </w:rPr>
            </w:pPr>
          </w:p>
        </w:tc>
        <w:tc>
          <w:tcPr>
            <w:tcW w:w="82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bottom w:val="single" w:sz="8" w:color="336699"/>
            </w:tcBorders>
          </w:tcPr>
          <w:p>
            <w:pPr>
              <w:spacing w:after="0"/>
              <w:rPr>
                <w:sz w:val="8"/>
                <w:szCs w:val="8"/>
                <w:color w:val="auto"/>
              </w:rPr>
            </w:pPr>
          </w:p>
        </w:tc>
        <w:tc>
          <w:tcPr>
            <w:tcW w:w="98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Borders>
              <w:bottom w:val="single" w:sz="8" w:color="336699"/>
            </w:tcBorders>
          </w:tcPr>
          <w:p>
            <w:pPr>
              <w:spacing w:after="0"/>
              <w:rPr>
                <w:sz w:val="8"/>
                <w:szCs w:val="8"/>
                <w:color w:val="auto"/>
              </w:rPr>
            </w:pPr>
          </w:p>
        </w:tc>
        <w:tc>
          <w:tcPr>
            <w:tcW w:w="2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7"/>
        </w:trPr>
        <w:tc>
          <w:tcPr>
            <w:tcW w:w="4600" w:type="dxa"/>
            <w:vAlign w:val="bottom"/>
            <w:gridSpan w:val="2"/>
            <w:vMerge w:val="continue"/>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4600" w:type="dxa"/>
            <w:vAlign w:val="bottom"/>
            <w:gridSpan w:val="2"/>
          </w:tcPr>
          <w:p>
            <w:pPr>
              <w:ind w:left="180"/>
              <w:spacing w:after="0"/>
              <w:rPr>
                <w:sz w:val="20"/>
                <w:szCs w:val="20"/>
                <w:color w:val="auto"/>
              </w:rPr>
            </w:pPr>
            <w:r>
              <w:rPr>
                <w:rFonts w:ascii="Arial" w:cs="Arial" w:eastAsia="Arial" w:hAnsi="Arial"/>
                <w:sz w:val="22"/>
                <w:szCs w:val="22"/>
                <w:color w:val="auto"/>
              </w:rPr>
              <w:t>diluted earnings (loss) per share</w:t>
            </w:r>
          </w:p>
        </w:tc>
        <w:tc>
          <w:tcPr>
            <w:tcW w:w="1100" w:type="dxa"/>
            <w:vAlign w:val="bottom"/>
          </w:tcPr>
          <w:p>
            <w:pPr>
              <w:jc w:val="right"/>
              <w:spacing w:after="0"/>
              <w:rPr>
                <w:sz w:val="20"/>
                <w:szCs w:val="20"/>
                <w:color w:val="auto"/>
              </w:rPr>
            </w:pPr>
            <w:r>
              <w:rPr>
                <w:rFonts w:ascii="Arial" w:cs="Arial" w:eastAsia="Arial" w:hAnsi="Arial"/>
                <w:sz w:val="22"/>
                <w:szCs w:val="22"/>
                <w:color w:val="auto"/>
              </w:rPr>
              <w:t>41,662</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2"/>
                <w:szCs w:val="22"/>
                <w:color w:val="auto"/>
              </w:rPr>
              <w:t>41,864</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41,642</w:t>
            </w:r>
          </w:p>
        </w:tc>
        <w:tc>
          <w:tcPr>
            <w:tcW w:w="1000" w:type="dxa"/>
            <w:vAlign w:val="bottom"/>
            <w:gridSpan w:val="4"/>
          </w:tcPr>
          <w:p>
            <w:pPr>
              <w:jc w:val="right"/>
              <w:spacing w:after="0"/>
              <w:rPr>
                <w:sz w:val="20"/>
                <w:szCs w:val="20"/>
                <w:color w:val="auto"/>
              </w:rPr>
            </w:pPr>
            <w:r>
              <w:rPr>
                <w:rFonts w:ascii="Arial" w:cs="Arial" w:eastAsia="Arial" w:hAnsi="Arial"/>
                <w:sz w:val="22"/>
                <w:szCs w:val="22"/>
                <w:color w:val="auto"/>
              </w:rPr>
              <w:t>51,355</w:t>
            </w:r>
          </w:p>
        </w:tc>
        <w:tc>
          <w:tcPr>
            <w:tcW w:w="2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2"/>
        </w:trPr>
        <w:tc>
          <w:tcPr>
            <w:tcW w:w="458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1100" w:type="dxa"/>
            <w:vAlign w:val="bottom"/>
            <w:tcBorders>
              <w:bottom w:val="single" w:sz="8" w:color="336699"/>
            </w:tcBorders>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Borders>
              <w:bottom w:val="single" w:sz="8" w:color="336699"/>
            </w:tcBorders>
          </w:tcPr>
          <w:p>
            <w:pPr>
              <w:spacing w:after="0"/>
              <w:rPr>
                <w:sz w:val="10"/>
                <w:szCs w:val="10"/>
                <w:color w:val="auto"/>
              </w:rPr>
            </w:pPr>
          </w:p>
        </w:tc>
        <w:tc>
          <w:tcPr>
            <w:tcW w:w="820" w:type="dxa"/>
            <w:vAlign w:val="bottom"/>
            <w:tcBorders>
              <w:bottom w:val="single" w:sz="8" w:color="336699"/>
            </w:tcBorders>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bottom w:val="single" w:sz="8" w:color="336699"/>
            </w:tcBorders>
          </w:tcPr>
          <w:p>
            <w:pPr>
              <w:spacing w:after="0"/>
              <w:rPr>
                <w:sz w:val="10"/>
                <w:szCs w:val="10"/>
                <w:color w:val="auto"/>
              </w:rPr>
            </w:pPr>
          </w:p>
        </w:tc>
        <w:tc>
          <w:tcPr>
            <w:tcW w:w="980" w:type="dxa"/>
            <w:vAlign w:val="bottom"/>
            <w:tcBorders>
              <w:bottom w:val="single" w:sz="8" w:color="336699"/>
            </w:tcBorders>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840" w:type="dxa"/>
            <w:vAlign w:val="bottom"/>
            <w:tcBorders>
              <w:bottom w:val="single" w:sz="8" w:color="336699"/>
            </w:tcBorders>
          </w:tcPr>
          <w:p>
            <w:pPr>
              <w:spacing w:after="0"/>
              <w:rPr>
                <w:sz w:val="10"/>
                <w:szCs w:val="10"/>
                <w:color w:val="auto"/>
              </w:rPr>
            </w:pPr>
          </w:p>
        </w:tc>
        <w:tc>
          <w:tcPr>
            <w:tcW w:w="2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6"/>
        </w:trPr>
        <w:tc>
          <w:tcPr>
            <w:tcW w:w="4600" w:type="dxa"/>
            <w:vAlign w:val="bottom"/>
            <w:gridSpan w:val="2"/>
          </w:tcPr>
          <w:p>
            <w:pPr>
              <w:spacing w:after="0"/>
              <w:rPr>
                <w:sz w:val="20"/>
                <w:szCs w:val="20"/>
                <w:color w:val="auto"/>
              </w:rPr>
            </w:pPr>
            <w:r>
              <w:rPr>
                <w:rFonts w:ascii="Arial" w:cs="Arial" w:eastAsia="Arial" w:hAnsi="Arial"/>
                <w:sz w:val="22"/>
                <w:szCs w:val="22"/>
                <w:color w:val="auto"/>
              </w:rPr>
              <w:t>Earnings (loss) per share:</w:t>
            </w: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00" w:type="dxa"/>
            <w:vAlign w:val="bottom"/>
            <w:gridSpan w:val="2"/>
          </w:tcPr>
          <w:p>
            <w:pPr>
              <w:ind w:left="180"/>
              <w:spacing w:after="0" w:line="243" w:lineRule="exact"/>
              <w:rPr>
                <w:sz w:val="20"/>
                <w:szCs w:val="20"/>
                <w:color w:val="auto"/>
              </w:rPr>
            </w:pPr>
            <w:r>
              <w:rPr>
                <w:rFonts w:ascii="Arial" w:cs="Arial" w:eastAsia="Arial" w:hAnsi="Arial"/>
                <w:sz w:val="22"/>
                <w:szCs w:val="22"/>
                <w:color w:val="auto"/>
              </w:rPr>
              <w:t>Basic</w:t>
            </w:r>
          </w:p>
        </w:tc>
        <w:tc>
          <w:tcPr>
            <w:tcW w:w="1100" w:type="dxa"/>
            <w:vAlign w:val="bottom"/>
          </w:tcPr>
          <w:p>
            <w:pPr>
              <w:jc w:val="right"/>
              <w:spacing w:after="0" w:line="243" w:lineRule="exact"/>
              <w:rPr>
                <w:sz w:val="20"/>
                <w:szCs w:val="20"/>
                <w:color w:val="auto"/>
              </w:rPr>
            </w:pPr>
            <w:r>
              <w:rPr>
                <w:rFonts w:ascii="Arial" w:cs="Arial" w:eastAsia="Arial" w:hAnsi="Arial"/>
                <w:sz w:val="22"/>
                <w:szCs w:val="22"/>
                <w:color w:val="auto"/>
              </w:rPr>
              <w:t>$(4.93)</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jc w:val="right"/>
              <w:spacing w:after="0" w:line="243" w:lineRule="exact"/>
              <w:rPr>
                <w:sz w:val="20"/>
                <w:szCs w:val="20"/>
                <w:color w:val="auto"/>
              </w:rPr>
            </w:pPr>
            <w:r>
              <w:rPr>
                <w:rFonts w:ascii="Arial" w:cs="Arial" w:eastAsia="Arial" w:hAnsi="Arial"/>
                <w:sz w:val="22"/>
                <w:szCs w:val="22"/>
                <w:color w:val="auto"/>
              </w:rPr>
              <w:t>$0.05</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$(5.07)</w:t>
            </w:r>
          </w:p>
        </w:tc>
        <w:tc>
          <w:tcPr>
            <w:tcW w:w="1000" w:type="dxa"/>
            <w:vAlign w:val="bottom"/>
            <w:gridSpan w:val="4"/>
          </w:tcPr>
          <w:p>
            <w:pPr>
              <w:jc w:val="right"/>
              <w:spacing w:after="0" w:line="243" w:lineRule="exact"/>
              <w:rPr>
                <w:sz w:val="20"/>
                <w:szCs w:val="20"/>
                <w:color w:val="auto"/>
              </w:rPr>
            </w:pPr>
            <w:r>
              <w:rPr>
                <w:rFonts w:ascii="Arial" w:cs="Arial" w:eastAsia="Arial" w:hAnsi="Arial"/>
                <w:sz w:val="22"/>
                <w:szCs w:val="22"/>
                <w:color w:val="auto"/>
              </w:rPr>
              <w:t>$0.58</w:t>
            </w:r>
          </w:p>
        </w:tc>
        <w:tc>
          <w:tcPr>
            <w:tcW w:w="2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4600" w:type="dxa"/>
            <w:vAlign w:val="bottom"/>
            <w:gridSpan w:val="2"/>
          </w:tcPr>
          <w:p>
            <w:pPr>
              <w:ind w:left="180"/>
              <w:spacing w:after="0"/>
              <w:rPr>
                <w:sz w:val="20"/>
                <w:szCs w:val="20"/>
                <w:color w:val="auto"/>
              </w:rPr>
            </w:pPr>
            <w:r>
              <w:rPr>
                <w:rFonts w:ascii="Arial" w:cs="Arial" w:eastAsia="Arial" w:hAnsi="Arial"/>
                <w:sz w:val="22"/>
                <w:szCs w:val="22"/>
                <w:color w:val="auto"/>
              </w:rPr>
              <w:t>Diluted</w:t>
            </w:r>
          </w:p>
        </w:tc>
        <w:tc>
          <w:tcPr>
            <w:tcW w:w="1100" w:type="dxa"/>
            <w:vAlign w:val="bottom"/>
          </w:tcPr>
          <w:p>
            <w:pPr>
              <w:jc w:val="right"/>
              <w:spacing w:after="0"/>
              <w:rPr>
                <w:sz w:val="20"/>
                <w:szCs w:val="20"/>
                <w:color w:val="auto"/>
              </w:rPr>
            </w:pPr>
            <w:r>
              <w:rPr>
                <w:rFonts w:ascii="Arial" w:cs="Arial" w:eastAsia="Arial" w:hAnsi="Arial"/>
                <w:sz w:val="22"/>
                <w:szCs w:val="22"/>
                <w:color w:val="auto"/>
              </w:rPr>
              <w:t>$(4.93)</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2"/>
                <w:szCs w:val="22"/>
                <w:color w:val="auto"/>
              </w:rPr>
              <w:t>$0.05</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$(5.07)</w:t>
            </w:r>
          </w:p>
        </w:tc>
        <w:tc>
          <w:tcPr>
            <w:tcW w:w="1000" w:type="dxa"/>
            <w:vAlign w:val="bottom"/>
            <w:gridSpan w:val="4"/>
          </w:tcPr>
          <w:p>
            <w:pPr>
              <w:jc w:val="right"/>
              <w:spacing w:after="0"/>
              <w:rPr>
                <w:sz w:val="20"/>
                <w:szCs w:val="20"/>
                <w:color w:val="auto"/>
              </w:rPr>
            </w:pPr>
            <w:r>
              <w:rPr>
                <w:rFonts w:ascii="Arial" w:cs="Arial" w:eastAsia="Arial" w:hAnsi="Arial"/>
                <w:sz w:val="22"/>
                <w:szCs w:val="22"/>
                <w:color w:val="auto"/>
              </w:rPr>
              <w:t>$0.53</w:t>
            </w:r>
          </w:p>
        </w:tc>
        <w:tc>
          <w:tcPr>
            <w:tcW w:w="2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02"/>
        </w:trPr>
        <w:tc>
          <w:tcPr>
            <w:tcW w:w="4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gridSpan w:val="4"/>
          </w:tcPr>
          <w:p>
            <w:pPr>
              <w:jc w:val="right"/>
              <w:ind w:right="20"/>
              <w:spacing w:after="0"/>
              <w:rPr>
                <w:sz w:val="20"/>
                <w:szCs w:val="20"/>
                <w:color w:val="auto"/>
              </w:rPr>
            </w:pPr>
            <w:r>
              <w:rPr>
                <w:rFonts w:ascii="Arial" w:cs="Arial" w:eastAsia="Arial" w:hAnsi="Arial"/>
                <w:sz w:val="22"/>
                <w:szCs w:val="22"/>
                <w:color w:val="auto"/>
              </w:rPr>
              <w:t>- -9-</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5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48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3613150</wp:posOffset>
            </wp:positionH>
            <wp:positionV relativeFrom="paragraph">
              <wp:posOffset>-3020060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-3020060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-3020060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-3020060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-3020060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-3020060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-3020060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-3020060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-1158875</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-1158875</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-1158875</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-1158875</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-1158875</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-1158875</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-1158875</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-1158875</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both"/>
        <w:ind w:right="80" w:firstLine="266"/>
        <w:spacing w:after="0" w:line="297" w:lineRule="auto"/>
        <w:rPr>
          <w:sz w:val="20"/>
          <w:szCs w:val="20"/>
          <w:color w:val="auto"/>
        </w:rPr>
      </w:pPr>
      <w:r>
        <w:rPr>
          <w:rFonts w:ascii="Arial" w:cs="Arial" w:eastAsia="Arial" w:hAnsi="Arial"/>
          <w:sz w:val="19"/>
          <w:szCs w:val="19"/>
          <w:color w:val="auto"/>
        </w:rPr>
        <w:t>The potential effect of the conversion of the Company's convertible subordinated notes and the exercise of some of its employee stock options would be antidilutive. The following table shows the amount of incremental shares outstanding that would have been added if the assumed conversion of convertible subordinated notes and stock options had been dilutive.</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4280" w:type="dxa"/>
            <w:vAlign w:val="bottom"/>
          </w:tcPr>
          <w:p>
            <w:pPr>
              <w:spacing w:after="0"/>
              <w:rPr>
                <w:sz w:val="24"/>
                <w:szCs w:val="24"/>
                <w:color w:val="auto"/>
              </w:rPr>
            </w:pPr>
          </w:p>
        </w:tc>
        <w:tc>
          <w:tcPr>
            <w:tcW w:w="2380" w:type="dxa"/>
            <w:vAlign w:val="bottom"/>
            <w:gridSpan w:val="3"/>
          </w:tcPr>
          <w:p>
            <w:pPr>
              <w:jc w:val="right"/>
              <w:ind w:right="112"/>
              <w:spacing w:after="0"/>
              <w:rPr>
                <w:sz w:val="20"/>
                <w:szCs w:val="20"/>
                <w:color w:val="auto"/>
              </w:rPr>
            </w:pPr>
            <w:r>
              <w:rPr>
                <w:rFonts w:ascii="Arial" w:cs="Arial" w:eastAsia="Arial" w:hAnsi="Arial"/>
                <w:sz w:val="22"/>
                <w:szCs w:val="22"/>
                <w:b w:val="1"/>
                <w:bCs w:val="1"/>
                <w:color w:val="auto"/>
                <w:w w:val="98"/>
              </w:rPr>
              <w:t>Three Months Ended</w:t>
            </w:r>
          </w:p>
        </w:tc>
        <w:tc>
          <w:tcPr>
            <w:tcW w:w="20" w:type="dxa"/>
            <w:vAlign w:val="bottom"/>
          </w:tcPr>
          <w:p>
            <w:pPr>
              <w:spacing w:after="0"/>
              <w:rPr>
                <w:sz w:val="24"/>
                <w:szCs w:val="24"/>
                <w:color w:val="auto"/>
              </w:rPr>
            </w:pPr>
          </w:p>
        </w:tc>
        <w:tc>
          <w:tcPr>
            <w:tcW w:w="2260" w:type="dxa"/>
            <w:vAlign w:val="bottom"/>
            <w:gridSpan w:val="3"/>
          </w:tcPr>
          <w:p>
            <w:pPr>
              <w:jc w:val="right"/>
              <w:ind w:right="112"/>
              <w:spacing w:after="0"/>
              <w:rPr>
                <w:sz w:val="20"/>
                <w:szCs w:val="20"/>
                <w:color w:val="auto"/>
              </w:rPr>
            </w:pPr>
            <w:r>
              <w:rPr>
                <w:rFonts w:ascii="Arial" w:cs="Arial" w:eastAsia="Arial" w:hAnsi="Arial"/>
                <w:sz w:val="22"/>
                <w:szCs w:val="22"/>
                <w:b w:val="1"/>
                <w:bCs w:val="1"/>
                <w:color w:val="auto"/>
                <w:w w:val="98"/>
              </w:rPr>
              <w:t>Nine Months Ended</w:t>
            </w:r>
          </w:p>
        </w:tc>
      </w:tr>
      <w:tr>
        <w:trPr>
          <w:trHeight w:val="98"/>
        </w:trPr>
        <w:tc>
          <w:tcPr>
            <w:tcW w:w="428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r>
      <w:tr>
        <w:trPr>
          <w:trHeight w:val="331"/>
        </w:trPr>
        <w:tc>
          <w:tcPr>
            <w:tcW w:w="4280" w:type="dxa"/>
            <w:vAlign w:val="bottom"/>
          </w:tcPr>
          <w:p>
            <w:pPr>
              <w:spacing w:after="0"/>
              <w:rPr>
                <w:sz w:val="24"/>
                <w:szCs w:val="24"/>
                <w:color w:val="auto"/>
              </w:rPr>
            </w:pPr>
          </w:p>
        </w:tc>
        <w:tc>
          <w:tcPr>
            <w:tcW w:w="1140" w:type="dxa"/>
            <w:vAlign w:val="bottom"/>
          </w:tcPr>
          <w:p>
            <w:pPr>
              <w:jc w:val="right"/>
              <w:ind w:right="112"/>
              <w:spacing w:after="0"/>
              <w:rPr>
                <w:sz w:val="20"/>
                <w:szCs w:val="20"/>
                <w:color w:val="auto"/>
              </w:rPr>
            </w:pPr>
            <w:r>
              <w:rPr>
                <w:rFonts w:ascii="Arial" w:cs="Arial" w:eastAsia="Arial" w:hAnsi="Arial"/>
                <w:sz w:val="22"/>
                <w:szCs w:val="22"/>
                <w:b w:val="1"/>
                <w:bCs w:val="1"/>
                <w:color w:val="auto"/>
              </w:rPr>
              <w:t>July 27,</w:t>
            </w:r>
          </w:p>
        </w:tc>
        <w:tc>
          <w:tcPr>
            <w:tcW w:w="60" w:type="dxa"/>
            <w:vAlign w:val="bottom"/>
          </w:tcPr>
          <w:p>
            <w:pPr>
              <w:spacing w:after="0"/>
              <w:rPr>
                <w:sz w:val="24"/>
                <w:szCs w:val="24"/>
                <w:color w:val="auto"/>
              </w:rPr>
            </w:pPr>
          </w:p>
        </w:tc>
        <w:tc>
          <w:tcPr>
            <w:tcW w:w="1180" w:type="dxa"/>
            <w:vAlign w:val="bottom"/>
          </w:tcPr>
          <w:p>
            <w:pPr>
              <w:jc w:val="right"/>
              <w:ind w:right="132"/>
              <w:spacing w:after="0"/>
              <w:rPr>
                <w:sz w:val="20"/>
                <w:szCs w:val="20"/>
                <w:color w:val="auto"/>
              </w:rPr>
            </w:pPr>
            <w:r>
              <w:rPr>
                <w:rFonts w:ascii="Arial" w:cs="Arial" w:eastAsia="Arial" w:hAnsi="Arial"/>
                <w:sz w:val="22"/>
                <w:szCs w:val="22"/>
                <w:b w:val="1"/>
                <w:bCs w:val="1"/>
                <w:color w:val="auto"/>
              </w:rPr>
              <w:t>July 29,</w:t>
            </w:r>
          </w:p>
        </w:tc>
        <w:tc>
          <w:tcPr>
            <w:tcW w:w="20" w:type="dxa"/>
            <w:vAlign w:val="bottom"/>
          </w:tcPr>
          <w:p>
            <w:pPr>
              <w:spacing w:after="0"/>
              <w:rPr>
                <w:sz w:val="24"/>
                <w:szCs w:val="24"/>
                <w:color w:val="auto"/>
              </w:rPr>
            </w:pPr>
          </w:p>
        </w:tc>
        <w:tc>
          <w:tcPr>
            <w:tcW w:w="1100" w:type="dxa"/>
            <w:vAlign w:val="bottom"/>
          </w:tcPr>
          <w:p>
            <w:pPr>
              <w:jc w:val="right"/>
              <w:ind w:right="92"/>
              <w:spacing w:after="0"/>
              <w:rPr>
                <w:sz w:val="20"/>
                <w:szCs w:val="20"/>
                <w:color w:val="auto"/>
              </w:rPr>
            </w:pPr>
            <w:r>
              <w:rPr>
                <w:rFonts w:ascii="Arial" w:cs="Arial" w:eastAsia="Arial" w:hAnsi="Arial"/>
                <w:sz w:val="22"/>
                <w:szCs w:val="22"/>
                <w:b w:val="1"/>
                <w:bCs w:val="1"/>
                <w:color w:val="auto"/>
              </w:rPr>
              <w:t>July 27,</w:t>
            </w:r>
          </w:p>
        </w:tc>
        <w:tc>
          <w:tcPr>
            <w:tcW w:w="20" w:type="dxa"/>
            <w:vAlign w:val="bottom"/>
          </w:tcPr>
          <w:p>
            <w:pPr>
              <w:spacing w:after="0"/>
              <w:rPr>
                <w:sz w:val="24"/>
                <w:szCs w:val="24"/>
                <w:color w:val="auto"/>
              </w:rPr>
            </w:pPr>
          </w:p>
        </w:tc>
        <w:tc>
          <w:tcPr>
            <w:tcW w:w="1140" w:type="dxa"/>
            <w:vAlign w:val="bottom"/>
          </w:tcPr>
          <w:p>
            <w:pPr>
              <w:jc w:val="right"/>
              <w:ind w:right="112"/>
              <w:spacing w:after="0"/>
              <w:rPr>
                <w:sz w:val="20"/>
                <w:szCs w:val="20"/>
                <w:color w:val="auto"/>
              </w:rPr>
            </w:pPr>
            <w:r>
              <w:rPr>
                <w:rFonts w:ascii="Arial" w:cs="Arial" w:eastAsia="Arial" w:hAnsi="Arial"/>
                <w:sz w:val="22"/>
                <w:szCs w:val="22"/>
                <w:b w:val="1"/>
                <w:bCs w:val="1"/>
                <w:color w:val="auto"/>
              </w:rPr>
              <w:t>July 29,</w:t>
            </w:r>
          </w:p>
        </w:tc>
      </w:tr>
      <w:tr>
        <w:trPr>
          <w:trHeight w:val="281"/>
        </w:trPr>
        <w:tc>
          <w:tcPr>
            <w:tcW w:w="4280" w:type="dxa"/>
            <w:vAlign w:val="bottom"/>
          </w:tcPr>
          <w:p>
            <w:pPr>
              <w:spacing w:after="0"/>
              <w:rPr>
                <w:sz w:val="24"/>
                <w:szCs w:val="24"/>
                <w:color w:val="auto"/>
              </w:rPr>
            </w:pPr>
          </w:p>
        </w:tc>
        <w:tc>
          <w:tcPr>
            <w:tcW w:w="1140" w:type="dxa"/>
            <w:vAlign w:val="bottom"/>
          </w:tcPr>
          <w:p>
            <w:pPr>
              <w:jc w:val="right"/>
              <w:ind w:right="252"/>
              <w:spacing w:after="0"/>
              <w:rPr>
                <w:sz w:val="20"/>
                <w:szCs w:val="20"/>
                <w:color w:val="auto"/>
              </w:rPr>
            </w:pPr>
            <w:r>
              <w:rPr>
                <w:rFonts w:ascii="Arial" w:cs="Arial" w:eastAsia="Arial" w:hAnsi="Arial"/>
                <w:sz w:val="22"/>
                <w:szCs w:val="22"/>
                <w:b w:val="1"/>
                <w:bCs w:val="1"/>
                <w:color w:val="auto"/>
              </w:rPr>
              <w:t>2008</w:t>
            </w:r>
          </w:p>
        </w:tc>
        <w:tc>
          <w:tcPr>
            <w:tcW w:w="1240" w:type="dxa"/>
            <w:vAlign w:val="bottom"/>
            <w:gridSpan w:val="2"/>
          </w:tcPr>
          <w:p>
            <w:pPr>
              <w:jc w:val="right"/>
              <w:ind w:right="292"/>
              <w:spacing w:after="0"/>
              <w:rPr>
                <w:sz w:val="20"/>
                <w:szCs w:val="20"/>
                <w:color w:val="auto"/>
              </w:rPr>
            </w:pPr>
            <w:r>
              <w:rPr>
                <w:rFonts w:ascii="Arial" w:cs="Arial" w:eastAsia="Arial" w:hAnsi="Arial"/>
                <w:sz w:val="22"/>
                <w:szCs w:val="22"/>
                <w:b w:val="1"/>
                <w:bCs w:val="1"/>
                <w:color w:val="auto"/>
              </w:rPr>
              <w:t>2007</w:t>
            </w:r>
          </w:p>
        </w:tc>
        <w:tc>
          <w:tcPr>
            <w:tcW w:w="1120" w:type="dxa"/>
            <w:vAlign w:val="bottom"/>
            <w:gridSpan w:val="2"/>
          </w:tcPr>
          <w:p>
            <w:pPr>
              <w:jc w:val="right"/>
              <w:ind w:right="252"/>
              <w:spacing w:after="0"/>
              <w:rPr>
                <w:sz w:val="20"/>
                <w:szCs w:val="20"/>
                <w:color w:val="auto"/>
              </w:rPr>
            </w:pPr>
            <w:r>
              <w:rPr>
                <w:rFonts w:ascii="Arial" w:cs="Arial" w:eastAsia="Arial" w:hAnsi="Arial"/>
                <w:sz w:val="22"/>
                <w:szCs w:val="22"/>
                <w:b w:val="1"/>
                <w:bCs w:val="1"/>
                <w:color w:val="auto"/>
              </w:rPr>
              <w:t>2008</w:t>
            </w:r>
          </w:p>
        </w:tc>
        <w:tc>
          <w:tcPr>
            <w:tcW w:w="1160" w:type="dxa"/>
            <w:vAlign w:val="bottom"/>
            <w:gridSpan w:val="2"/>
          </w:tcPr>
          <w:p>
            <w:pPr>
              <w:jc w:val="right"/>
              <w:ind w:right="252"/>
              <w:spacing w:after="0"/>
              <w:rPr>
                <w:sz w:val="20"/>
                <w:szCs w:val="20"/>
                <w:color w:val="auto"/>
              </w:rPr>
            </w:pPr>
            <w:r>
              <w:rPr>
                <w:rFonts w:ascii="Arial" w:cs="Arial" w:eastAsia="Arial" w:hAnsi="Arial"/>
                <w:sz w:val="22"/>
                <w:szCs w:val="22"/>
                <w:b w:val="1"/>
                <w:bCs w:val="1"/>
                <w:color w:val="auto"/>
              </w:rPr>
              <w:t>2007</w:t>
            </w:r>
          </w:p>
        </w:tc>
      </w:tr>
      <w:tr>
        <w:trPr>
          <w:trHeight w:val="98"/>
        </w:trPr>
        <w:tc>
          <w:tcPr>
            <w:tcW w:w="428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r>
      <w:tr>
        <w:trPr>
          <w:trHeight w:val="580"/>
        </w:trPr>
        <w:tc>
          <w:tcPr>
            <w:tcW w:w="4280" w:type="dxa"/>
            <w:vAlign w:val="bottom"/>
          </w:tcPr>
          <w:p>
            <w:pPr>
              <w:spacing w:after="0"/>
              <w:rPr>
                <w:sz w:val="20"/>
                <w:szCs w:val="20"/>
                <w:color w:val="auto"/>
              </w:rPr>
            </w:pPr>
            <w:r>
              <w:rPr>
                <w:rFonts w:ascii="Arial" w:cs="Arial" w:eastAsia="Arial" w:hAnsi="Arial"/>
                <w:sz w:val="22"/>
                <w:szCs w:val="22"/>
                <w:color w:val="auto"/>
              </w:rPr>
              <w:t>Convertible notes</w:t>
            </w:r>
          </w:p>
        </w:tc>
        <w:tc>
          <w:tcPr>
            <w:tcW w:w="1140" w:type="dxa"/>
            <w:vAlign w:val="bottom"/>
          </w:tcPr>
          <w:p>
            <w:pPr>
              <w:jc w:val="right"/>
              <w:spacing w:after="0"/>
              <w:rPr>
                <w:sz w:val="20"/>
                <w:szCs w:val="20"/>
                <w:color w:val="auto"/>
              </w:rPr>
            </w:pPr>
            <w:r>
              <w:rPr>
                <w:rFonts w:ascii="Arial" w:cs="Arial" w:eastAsia="Arial" w:hAnsi="Arial"/>
                <w:sz w:val="22"/>
                <w:szCs w:val="22"/>
                <w:color w:val="auto"/>
              </w:rPr>
              <w:t>-</w:t>
            </w:r>
          </w:p>
        </w:tc>
        <w:tc>
          <w:tcPr>
            <w:tcW w:w="1240" w:type="dxa"/>
            <w:vAlign w:val="bottom"/>
            <w:gridSpan w:val="2"/>
          </w:tcPr>
          <w:p>
            <w:pPr>
              <w:jc w:val="right"/>
              <w:spacing w:after="0"/>
              <w:rPr>
                <w:sz w:val="20"/>
                <w:szCs w:val="20"/>
                <w:color w:val="auto"/>
              </w:rPr>
            </w:pPr>
            <w:r>
              <w:rPr>
                <w:rFonts w:ascii="Arial" w:cs="Arial" w:eastAsia="Arial" w:hAnsi="Arial"/>
                <w:sz w:val="22"/>
                <w:szCs w:val="22"/>
                <w:color w:val="auto"/>
              </w:rPr>
              <w:t>9,441</w:t>
            </w:r>
          </w:p>
        </w:tc>
        <w:tc>
          <w:tcPr>
            <w:tcW w:w="1120" w:type="dxa"/>
            <w:vAlign w:val="bottom"/>
            <w:gridSpan w:val="2"/>
          </w:tcPr>
          <w:p>
            <w:pPr>
              <w:jc w:val="right"/>
              <w:spacing w:after="0"/>
              <w:rPr>
                <w:sz w:val="20"/>
                <w:szCs w:val="20"/>
                <w:color w:val="auto"/>
              </w:rPr>
            </w:pPr>
            <w:r>
              <w:rPr>
                <w:rFonts w:ascii="Arial" w:cs="Arial" w:eastAsia="Arial" w:hAnsi="Arial"/>
                <w:sz w:val="22"/>
                <w:szCs w:val="22"/>
                <w:color w:val="auto"/>
              </w:rPr>
              <w:t>5,879</w:t>
            </w:r>
          </w:p>
        </w:tc>
        <w:tc>
          <w:tcPr>
            <w:tcW w:w="1160" w:type="dxa"/>
            <w:vAlign w:val="bottom"/>
            <w:gridSpan w:val="2"/>
          </w:tcPr>
          <w:p>
            <w:pPr>
              <w:jc w:val="right"/>
              <w:spacing w:after="0"/>
              <w:rPr>
                <w:sz w:val="20"/>
                <w:szCs w:val="20"/>
                <w:color w:val="auto"/>
              </w:rPr>
            </w:pPr>
            <w:r>
              <w:rPr>
                <w:rFonts w:ascii="Arial" w:cs="Arial" w:eastAsia="Arial" w:hAnsi="Arial"/>
                <w:sz w:val="22"/>
                <w:szCs w:val="22"/>
                <w:color w:val="auto"/>
              </w:rPr>
              <w:t>405</w:t>
            </w:r>
          </w:p>
        </w:tc>
      </w:tr>
      <w:tr>
        <w:trPr>
          <w:trHeight w:val="275"/>
        </w:trPr>
        <w:tc>
          <w:tcPr>
            <w:tcW w:w="4280" w:type="dxa"/>
            <w:vAlign w:val="bottom"/>
          </w:tcPr>
          <w:p>
            <w:pPr>
              <w:spacing w:after="0"/>
              <w:rPr>
                <w:sz w:val="20"/>
                <w:szCs w:val="20"/>
                <w:color w:val="auto"/>
              </w:rPr>
            </w:pPr>
            <w:r>
              <w:rPr>
                <w:rFonts w:ascii="Arial" w:cs="Arial" w:eastAsia="Arial" w:hAnsi="Arial"/>
                <w:sz w:val="22"/>
                <w:szCs w:val="22"/>
                <w:color w:val="auto"/>
              </w:rPr>
              <w:t>Employee stock options</w:t>
            </w:r>
          </w:p>
        </w:tc>
        <w:tc>
          <w:tcPr>
            <w:tcW w:w="1140" w:type="dxa"/>
            <w:vAlign w:val="bottom"/>
          </w:tcPr>
          <w:p>
            <w:pPr>
              <w:jc w:val="right"/>
              <w:spacing w:after="0"/>
              <w:rPr>
                <w:sz w:val="20"/>
                <w:szCs w:val="20"/>
                <w:color w:val="auto"/>
              </w:rPr>
            </w:pPr>
            <w:r>
              <w:rPr>
                <w:rFonts w:ascii="Arial" w:cs="Arial" w:eastAsia="Arial" w:hAnsi="Arial"/>
                <w:sz w:val="22"/>
                <w:szCs w:val="22"/>
                <w:color w:val="auto"/>
              </w:rPr>
              <w:t>2,465</w:t>
            </w:r>
          </w:p>
        </w:tc>
        <w:tc>
          <w:tcPr>
            <w:tcW w:w="1240" w:type="dxa"/>
            <w:vAlign w:val="bottom"/>
            <w:gridSpan w:val="2"/>
          </w:tcPr>
          <w:p>
            <w:pPr>
              <w:jc w:val="right"/>
              <w:spacing w:after="0"/>
              <w:rPr>
                <w:sz w:val="20"/>
                <w:szCs w:val="20"/>
                <w:color w:val="auto"/>
              </w:rPr>
            </w:pPr>
            <w:r>
              <w:rPr>
                <w:rFonts w:ascii="Arial" w:cs="Arial" w:eastAsia="Arial" w:hAnsi="Arial"/>
                <w:sz w:val="22"/>
                <w:szCs w:val="22"/>
                <w:color w:val="auto"/>
              </w:rPr>
              <w:t>2,034</w:t>
            </w:r>
          </w:p>
        </w:tc>
        <w:tc>
          <w:tcPr>
            <w:tcW w:w="1120" w:type="dxa"/>
            <w:vAlign w:val="bottom"/>
            <w:gridSpan w:val="2"/>
          </w:tcPr>
          <w:p>
            <w:pPr>
              <w:jc w:val="right"/>
              <w:spacing w:after="0"/>
              <w:rPr>
                <w:sz w:val="20"/>
                <w:szCs w:val="20"/>
                <w:color w:val="auto"/>
              </w:rPr>
            </w:pPr>
            <w:r>
              <w:rPr>
                <w:rFonts w:ascii="Arial" w:cs="Arial" w:eastAsia="Arial" w:hAnsi="Arial"/>
                <w:sz w:val="22"/>
                <w:szCs w:val="22"/>
                <w:color w:val="auto"/>
              </w:rPr>
              <w:t>2,353</w:t>
            </w:r>
          </w:p>
        </w:tc>
        <w:tc>
          <w:tcPr>
            <w:tcW w:w="1160" w:type="dxa"/>
            <w:vAlign w:val="bottom"/>
            <w:gridSpan w:val="2"/>
          </w:tcPr>
          <w:p>
            <w:pPr>
              <w:jc w:val="right"/>
              <w:spacing w:after="0"/>
              <w:rPr>
                <w:sz w:val="20"/>
                <w:szCs w:val="20"/>
                <w:color w:val="auto"/>
              </w:rPr>
            </w:pPr>
            <w:r>
              <w:rPr>
                <w:rFonts w:ascii="Arial" w:cs="Arial" w:eastAsia="Arial" w:hAnsi="Arial"/>
                <w:sz w:val="22"/>
                <w:szCs w:val="22"/>
                <w:color w:val="auto"/>
              </w:rPr>
              <w:t>1,870</w:t>
            </w:r>
          </w:p>
        </w:tc>
      </w:tr>
      <w:tr>
        <w:trPr>
          <w:trHeight w:val="98"/>
        </w:trPr>
        <w:tc>
          <w:tcPr>
            <w:tcW w:w="4280" w:type="dxa"/>
            <w:vAlign w:val="bottom"/>
          </w:tcPr>
          <w:p>
            <w:pPr>
              <w:spacing w:after="0"/>
              <w:rPr>
                <w:sz w:val="8"/>
                <w:szCs w:val="8"/>
                <w:color w:val="auto"/>
              </w:rPr>
            </w:pPr>
          </w:p>
        </w:tc>
        <w:tc>
          <w:tcPr>
            <w:tcW w:w="1140" w:type="dxa"/>
            <w:vAlign w:val="bottom"/>
            <w:tcBorders>
              <w:bottom w:val="single" w:sz="8" w:color="336699"/>
            </w:tcBorders>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tcBorders>
              <w:bottom w:val="single" w:sz="8" w:color="336699"/>
            </w:tcBorders>
          </w:tcPr>
          <w:p>
            <w:pPr>
              <w:spacing w:after="0"/>
              <w:rPr>
                <w:sz w:val="8"/>
                <w:szCs w:val="8"/>
                <w:color w:val="auto"/>
              </w:rPr>
            </w:pPr>
          </w:p>
        </w:tc>
      </w:tr>
    </w:tbl>
    <w:p>
      <w:pPr>
        <w:sectPr>
          <w:pgSz w:w="11900" w:h="16838" w:orient="portrait"/>
          <w:cols w:equalWidth="0" w:num="1">
            <w:col w:w="11440"/>
          </w:cols>
          <w:pgMar w:left="240" w:top="361" w:right="21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280" w:type="dxa"/>
            <w:vAlign w:val="bottom"/>
          </w:tcPr>
          <w:p>
            <w:pPr>
              <w:spacing w:after="0"/>
              <w:rPr>
                <w:sz w:val="20"/>
                <w:szCs w:val="20"/>
                <w:color w:val="auto"/>
              </w:rPr>
            </w:pPr>
            <w:r>
              <w:rPr>
                <w:rFonts w:ascii="Arial" w:cs="Arial" w:eastAsia="Arial" w:hAnsi="Arial"/>
                <w:sz w:val="22"/>
                <w:szCs w:val="22"/>
                <w:color w:val="auto"/>
              </w:rPr>
              <w:t>Total potentially dilutive shares excluded</w:t>
            </w:r>
          </w:p>
        </w:tc>
        <w:tc>
          <w:tcPr>
            <w:tcW w:w="1140" w:type="dxa"/>
            <w:vAlign w:val="bottom"/>
          </w:tcPr>
          <w:p>
            <w:pPr>
              <w:jc w:val="right"/>
              <w:spacing w:after="0"/>
              <w:rPr>
                <w:sz w:val="20"/>
                <w:szCs w:val="20"/>
                <w:color w:val="auto"/>
              </w:rPr>
            </w:pPr>
            <w:r>
              <w:rPr>
                <w:rFonts w:ascii="Arial" w:cs="Arial" w:eastAsia="Arial" w:hAnsi="Arial"/>
                <w:sz w:val="22"/>
                <w:szCs w:val="22"/>
                <w:color w:val="auto"/>
              </w:rPr>
              <w:t>2,465</w:t>
            </w:r>
          </w:p>
        </w:tc>
        <w:tc>
          <w:tcPr>
            <w:tcW w:w="1240" w:type="dxa"/>
            <w:vAlign w:val="bottom"/>
            <w:gridSpan w:val="2"/>
          </w:tcPr>
          <w:p>
            <w:pPr>
              <w:jc w:val="right"/>
              <w:ind w:right="80"/>
              <w:spacing w:after="0"/>
              <w:rPr>
                <w:sz w:val="20"/>
                <w:szCs w:val="20"/>
                <w:color w:val="auto"/>
              </w:rPr>
            </w:pPr>
            <w:r>
              <w:rPr>
                <w:rFonts w:ascii="Arial" w:cs="Arial" w:eastAsia="Arial" w:hAnsi="Arial"/>
                <w:sz w:val="22"/>
                <w:szCs w:val="22"/>
                <w:color w:val="auto"/>
              </w:rPr>
              <w:t>11,475</w:t>
            </w:r>
          </w:p>
        </w:tc>
        <w:tc>
          <w:tcPr>
            <w:tcW w:w="1120" w:type="dxa"/>
            <w:vAlign w:val="bottom"/>
            <w:gridSpan w:val="2"/>
          </w:tcPr>
          <w:p>
            <w:pPr>
              <w:jc w:val="right"/>
              <w:ind w:right="80"/>
              <w:spacing w:after="0"/>
              <w:rPr>
                <w:sz w:val="20"/>
                <w:szCs w:val="20"/>
                <w:color w:val="auto"/>
              </w:rPr>
            </w:pPr>
            <w:r>
              <w:rPr>
                <w:rFonts w:ascii="Arial" w:cs="Arial" w:eastAsia="Arial" w:hAnsi="Arial"/>
                <w:sz w:val="22"/>
                <w:szCs w:val="22"/>
                <w:color w:val="auto"/>
              </w:rPr>
              <w:t>8,232</w:t>
            </w:r>
          </w:p>
        </w:tc>
        <w:tc>
          <w:tcPr>
            <w:tcW w:w="1180" w:type="dxa"/>
            <w:vAlign w:val="bottom"/>
            <w:gridSpan w:val="2"/>
          </w:tcPr>
          <w:p>
            <w:pPr>
              <w:jc w:val="right"/>
              <w:ind w:right="100"/>
              <w:spacing w:after="0"/>
              <w:rPr>
                <w:sz w:val="20"/>
                <w:szCs w:val="20"/>
                <w:color w:val="auto"/>
              </w:rPr>
            </w:pPr>
            <w:r>
              <w:rPr>
                <w:rFonts w:ascii="Arial" w:cs="Arial" w:eastAsia="Arial" w:hAnsi="Arial"/>
                <w:sz w:val="22"/>
                <w:szCs w:val="22"/>
                <w:color w:val="auto"/>
              </w:rPr>
              <w:t>2,275</w:t>
            </w:r>
          </w:p>
        </w:tc>
      </w:tr>
      <w:tr>
        <w:trPr>
          <w:trHeight w:val="122"/>
        </w:trPr>
        <w:tc>
          <w:tcPr>
            <w:tcW w:w="4280" w:type="dxa"/>
            <w:vAlign w:val="bottom"/>
          </w:tcPr>
          <w:p>
            <w:pPr>
              <w:spacing w:after="0"/>
              <w:rPr>
                <w:sz w:val="10"/>
                <w:szCs w:val="10"/>
                <w:color w:val="auto"/>
              </w:rPr>
            </w:pPr>
          </w:p>
        </w:tc>
        <w:tc>
          <w:tcPr>
            <w:tcW w:w="1140" w:type="dxa"/>
            <w:vAlign w:val="bottom"/>
            <w:tcBorders>
              <w:bottom w:val="single" w:sz="8" w:color="336699"/>
            </w:tcBorders>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tcBorders>
              <w:bottom w:val="single" w:sz="8" w:color="336699"/>
            </w:tcBorders>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tcBorders>
              <w:bottom w:val="single" w:sz="8" w:color="336699"/>
            </w:tcBorders>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tcBorders>
              <w:bottom w:val="single" w:sz="8" w:color="336699"/>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3433445</wp:posOffset>
            </wp:positionH>
            <wp:positionV relativeFrom="paragraph">
              <wp:posOffset>-29210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-29210</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-29210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3475990</wp:posOffset>
            </wp:positionH>
            <wp:positionV relativeFrom="paragraph">
              <wp:posOffset>-29210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-29210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-29210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-29210</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-29210</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 STOCK-BASED COMPENSATION PLANS</w:t>
      </w:r>
    </w:p>
    <w:p>
      <w:pPr>
        <w:spacing w:after="0" w:line="212" w:lineRule="exact"/>
        <w:rPr>
          <w:sz w:val="20"/>
          <w:szCs w:val="20"/>
          <w:color w:val="auto"/>
        </w:rPr>
      </w:pPr>
    </w:p>
    <w:p>
      <w:pPr>
        <w:ind w:right="60" w:firstLine="270"/>
        <w:spacing w:after="0" w:line="273" w:lineRule="auto"/>
        <w:rPr>
          <w:sz w:val="20"/>
          <w:szCs w:val="20"/>
          <w:color w:val="auto"/>
        </w:rPr>
      </w:pPr>
      <w:r>
        <w:rPr>
          <w:rFonts w:ascii="Arial" w:cs="Arial" w:eastAsia="Arial" w:hAnsi="Arial"/>
          <w:sz w:val="19"/>
          <w:szCs w:val="19"/>
          <w:color w:val="auto"/>
        </w:rPr>
        <w:t>In March 2007, shareholders approved a new stock-based compensation plan ("Plan"), under which options, restricted stock, restricted stock units, stock appreciation rights, performance stock, performance units, and other awards based on, or related to shares of the Company's common stock may be granted from shares authorized but unissued, shares previously issued and reacquired by the Company or both. A maximum of three million shares of common stock may be issued under the Plan. Awards may be granted to Company officers, employees and directors, non-employee directors, consultants, advisors and independent contractors of the Company or a subsidiary of the Company. The Plan prohibits further awards from being issued under prior plans. The plans are more fully described below. The Company incurred compensation cost under the plans for the three and nine months ended July 27, 2008 of $0.8 million and $2.0 million, respectively, as compared to $0.8 million and $2.3 million, respectively, for the comparable prior year periods. No compensation cost was capitalized as part of inventory, and no income tax benefit was recorded in those periods. No equity awards were settled in cash during the periods presented.</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 Options</w:t>
      </w:r>
    </w:p>
    <w:p>
      <w:pPr>
        <w:spacing w:after="0" w:line="212" w:lineRule="exact"/>
        <w:rPr>
          <w:sz w:val="20"/>
          <w:szCs w:val="20"/>
          <w:color w:val="auto"/>
        </w:rPr>
      </w:pPr>
    </w:p>
    <w:p>
      <w:pPr>
        <w:ind w:right="320" w:firstLine="270"/>
        <w:spacing w:after="0" w:line="297" w:lineRule="auto"/>
        <w:rPr>
          <w:sz w:val="20"/>
          <w:szCs w:val="20"/>
          <w:color w:val="auto"/>
        </w:rPr>
      </w:pPr>
      <w:r>
        <w:rPr>
          <w:rFonts w:ascii="Arial" w:cs="Arial" w:eastAsia="Arial" w:hAnsi="Arial"/>
          <w:sz w:val="19"/>
          <w:szCs w:val="19"/>
          <w:color w:val="auto"/>
        </w:rPr>
        <w:t>Option awards generally vest in one to four years, and have a ten-year contractual term. All incentive and non-qualified stock option grants must have an exercise price equal to the market value of the underlying common stock on the date of grant. The option and share awards provide for accelerated vesting if there is a change in control as defined in the Plan.</w:t>
      </w:r>
    </w:p>
    <w:p>
      <w:pPr>
        <w:spacing w:after="0" w:line="134" w:lineRule="exact"/>
        <w:rPr>
          <w:sz w:val="20"/>
          <w:szCs w:val="20"/>
          <w:color w:val="auto"/>
        </w:rPr>
      </w:pPr>
    </w:p>
    <w:p>
      <w:pPr>
        <w:ind w:right="40" w:firstLine="266"/>
        <w:spacing w:after="0" w:line="248" w:lineRule="auto"/>
        <w:rPr>
          <w:sz w:val="20"/>
          <w:szCs w:val="20"/>
          <w:color w:val="auto"/>
        </w:rPr>
      </w:pPr>
      <w:r>
        <w:rPr>
          <w:rFonts w:ascii="Arial" w:cs="Arial" w:eastAsia="Arial" w:hAnsi="Arial"/>
          <w:sz w:val="21"/>
          <w:szCs w:val="21"/>
          <w:color w:val="auto"/>
        </w:rPr>
        <w:t>The fair value of option grants is determined with the closing price on the day of grant using the Black-Scholes option pricing model. Expected volatility is based on the historical volatility of the Company's stock. The Company uses historical option exercise behavior and employee termination data to estimate option life, which represents the period of time that the options granted are expected to remain outstanding. The risk-free rate of return for the estimated life of the option is based on the U.S. Treasury yield curve in effect at the time of grant. The weighted average assumptions used for the nine months ended July 27, 2008 and July 29, 2007 are noted in the following table.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80" w:type="dxa"/>
            <w:vAlign w:val="bottom"/>
          </w:tcPr>
          <w:p>
            <w:pPr>
              <w:spacing w:after="0"/>
              <w:rPr>
                <w:sz w:val="24"/>
                <w:szCs w:val="24"/>
                <w:color w:val="auto"/>
              </w:rPr>
            </w:pPr>
          </w:p>
        </w:tc>
        <w:tc>
          <w:tcPr>
            <w:tcW w:w="3060" w:type="dxa"/>
            <w:vAlign w:val="bottom"/>
            <w:gridSpan w:val="3"/>
          </w:tcPr>
          <w:p>
            <w:pPr>
              <w:jc w:val="right"/>
              <w:ind w:right="512"/>
              <w:spacing w:after="0"/>
              <w:rPr>
                <w:sz w:val="20"/>
                <w:szCs w:val="20"/>
                <w:color w:val="auto"/>
              </w:rPr>
            </w:pPr>
            <w:r>
              <w:rPr>
                <w:rFonts w:ascii="Arial" w:cs="Arial" w:eastAsia="Arial" w:hAnsi="Arial"/>
                <w:sz w:val="22"/>
                <w:szCs w:val="22"/>
                <w:b w:val="1"/>
                <w:bCs w:val="1"/>
                <w:color w:val="auto"/>
              </w:rPr>
              <w:t>Nine Months Ended</w:t>
            </w:r>
          </w:p>
        </w:tc>
        <w:tc>
          <w:tcPr>
            <w:tcW w:w="5100" w:type="dxa"/>
            <w:vAlign w:val="bottom"/>
          </w:tcPr>
          <w:p>
            <w:pPr>
              <w:spacing w:after="0"/>
              <w:rPr>
                <w:sz w:val="24"/>
                <w:szCs w:val="24"/>
                <w:color w:val="auto"/>
              </w:rPr>
            </w:pPr>
          </w:p>
        </w:tc>
      </w:tr>
      <w:tr>
        <w:trPr>
          <w:trHeight w:val="98"/>
        </w:trPr>
        <w:tc>
          <w:tcPr>
            <w:tcW w:w="3280" w:type="dxa"/>
            <w:vAlign w:val="bottom"/>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5100" w:type="dxa"/>
            <w:vAlign w:val="bottom"/>
          </w:tcPr>
          <w:p>
            <w:pPr>
              <w:spacing w:after="0"/>
              <w:rPr>
                <w:sz w:val="8"/>
                <w:szCs w:val="8"/>
                <w:color w:val="auto"/>
              </w:rPr>
            </w:pPr>
          </w:p>
        </w:tc>
      </w:tr>
      <w:tr>
        <w:trPr>
          <w:trHeight w:val="331"/>
        </w:trPr>
        <w:tc>
          <w:tcPr>
            <w:tcW w:w="3280" w:type="dxa"/>
            <w:vAlign w:val="bottom"/>
          </w:tcPr>
          <w:p>
            <w:pPr>
              <w:spacing w:after="0"/>
              <w:rPr>
                <w:sz w:val="24"/>
                <w:szCs w:val="24"/>
                <w:color w:val="auto"/>
              </w:rPr>
            </w:pPr>
          </w:p>
        </w:tc>
        <w:tc>
          <w:tcPr>
            <w:tcW w:w="1680" w:type="dxa"/>
            <w:vAlign w:val="bottom"/>
          </w:tcPr>
          <w:p>
            <w:pPr>
              <w:jc w:val="right"/>
              <w:ind w:right="392"/>
              <w:spacing w:after="0"/>
              <w:rPr>
                <w:sz w:val="20"/>
                <w:szCs w:val="20"/>
                <w:color w:val="auto"/>
              </w:rPr>
            </w:pPr>
            <w:r>
              <w:rPr>
                <w:rFonts w:ascii="Arial" w:cs="Arial" w:eastAsia="Arial" w:hAnsi="Arial"/>
                <w:sz w:val="22"/>
                <w:szCs w:val="22"/>
                <w:b w:val="1"/>
                <w:bCs w:val="1"/>
                <w:color w:val="auto"/>
              </w:rPr>
              <w:t>July 27,</w:t>
            </w:r>
          </w:p>
        </w:tc>
        <w:tc>
          <w:tcPr>
            <w:tcW w:w="14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22"/>
                <w:szCs w:val="22"/>
                <w:b w:val="1"/>
                <w:bCs w:val="1"/>
                <w:color w:val="auto"/>
                <w:w w:val="89"/>
              </w:rPr>
              <w:t>July 29,</w:t>
            </w:r>
          </w:p>
        </w:tc>
        <w:tc>
          <w:tcPr>
            <w:tcW w:w="5100" w:type="dxa"/>
            <w:vAlign w:val="bottom"/>
          </w:tcPr>
          <w:p>
            <w:pPr>
              <w:spacing w:after="0"/>
              <w:rPr>
                <w:sz w:val="24"/>
                <w:szCs w:val="24"/>
                <w:color w:val="auto"/>
              </w:rPr>
            </w:pPr>
          </w:p>
        </w:tc>
      </w:tr>
      <w:tr>
        <w:trPr>
          <w:trHeight w:val="281"/>
        </w:trPr>
        <w:tc>
          <w:tcPr>
            <w:tcW w:w="3280" w:type="dxa"/>
            <w:vAlign w:val="bottom"/>
          </w:tcPr>
          <w:p>
            <w:pPr>
              <w:spacing w:after="0"/>
              <w:rPr>
                <w:sz w:val="24"/>
                <w:szCs w:val="24"/>
                <w:color w:val="auto"/>
              </w:rPr>
            </w:pPr>
          </w:p>
        </w:tc>
        <w:tc>
          <w:tcPr>
            <w:tcW w:w="1680" w:type="dxa"/>
            <w:vAlign w:val="bottom"/>
          </w:tcPr>
          <w:p>
            <w:pPr>
              <w:jc w:val="right"/>
              <w:ind w:right="532"/>
              <w:spacing w:after="0"/>
              <w:rPr>
                <w:sz w:val="20"/>
                <w:szCs w:val="20"/>
                <w:color w:val="auto"/>
              </w:rPr>
            </w:pPr>
            <w:r>
              <w:rPr>
                <w:rFonts w:ascii="Arial" w:cs="Arial" w:eastAsia="Arial" w:hAnsi="Arial"/>
                <w:sz w:val="22"/>
                <w:szCs w:val="22"/>
                <w:b w:val="1"/>
                <w:bCs w:val="1"/>
                <w:color w:val="auto"/>
              </w:rPr>
              <w:t>2008</w:t>
            </w:r>
          </w:p>
        </w:tc>
        <w:tc>
          <w:tcPr>
            <w:tcW w:w="1380" w:type="dxa"/>
            <w:vAlign w:val="bottom"/>
            <w:gridSpan w:val="2"/>
          </w:tcPr>
          <w:p>
            <w:pPr>
              <w:jc w:val="center"/>
              <w:ind w:left="12"/>
              <w:spacing w:after="0"/>
              <w:rPr>
                <w:sz w:val="20"/>
                <w:szCs w:val="20"/>
                <w:color w:val="auto"/>
              </w:rPr>
            </w:pPr>
            <w:r>
              <w:rPr>
                <w:rFonts w:ascii="Arial" w:cs="Arial" w:eastAsia="Arial" w:hAnsi="Arial"/>
                <w:sz w:val="22"/>
                <w:szCs w:val="22"/>
                <w:b w:val="1"/>
                <w:bCs w:val="1"/>
                <w:color w:val="auto"/>
                <w:w w:val="85"/>
              </w:rPr>
              <w:t>2007</w:t>
            </w:r>
          </w:p>
        </w:tc>
        <w:tc>
          <w:tcPr>
            <w:tcW w:w="5100" w:type="dxa"/>
            <w:vAlign w:val="bottom"/>
          </w:tcPr>
          <w:p>
            <w:pPr>
              <w:spacing w:after="0"/>
              <w:rPr>
                <w:sz w:val="24"/>
                <w:szCs w:val="24"/>
                <w:color w:val="auto"/>
              </w:rPr>
            </w:pPr>
          </w:p>
        </w:tc>
      </w:tr>
      <w:tr>
        <w:trPr>
          <w:trHeight w:val="98"/>
        </w:trPr>
        <w:tc>
          <w:tcPr>
            <w:tcW w:w="3280" w:type="dxa"/>
            <w:vAlign w:val="bottom"/>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5100" w:type="dxa"/>
            <w:vAlign w:val="bottom"/>
          </w:tcPr>
          <w:p>
            <w:pPr>
              <w:spacing w:after="0"/>
              <w:rPr>
                <w:sz w:val="8"/>
                <w:szCs w:val="8"/>
                <w:color w:val="auto"/>
              </w:rPr>
            </w:pPr>
          </w:p>
        </w:tc>
      </w:tr>
      <w:tr>
        <w:trPr>
          <w:trHeight w:val="611"/>
        </w:trPr>
        <w:tc>
          <w:tcPr>
            <w:tcW w:w="3280" w:type="dxa"/>
            <w:vAlign w:val="bottom"/>
          </w:tcPr>
          <w:p>
            <w:pPr>
              <w:spacing w:after="0"/>
              <w:rPr>
                <w:sz w:val="20"/>
                <w:szCs w:val="20"/>
                <w:color w:val="auto"/>
              </w:rPr>
            </w:pPr>
            <w:r>
              <w:rPr>
                <w:rFonts w:ascii="Arial" w:cs="Arial" w:eastAsia="Arial" w:hAnsi="Arial"/>
                <w:sz w:val="22"/>
                <w:szCs w:val="22"/>
                <w:color w:val="auto"/>
              </w:rPr>
              <w:t>Volatility</w:t>
            </w:r>
          </w:p>
        </w:tc>
        <w:tc>
          <w:tcPr>
            <w:tcW w:w="1680" w:type="dxa"/>
            <w:vAlign w:val="bottom"/>
          </w:tcPr>
          <w:p>
            <w:pPr>
              <w:jc w:val="right"/>
              <w:spacing w:after="0"/>
              <w:rPr>
                <w:sz w:val="20"/>
                <w:szCs w:val="20"/>
                <w:color w:val="auto"/>
              </w:rPr>
            </w:pPr>
            <w:r>
              <w:rPr>
                <w:rFonts w:ascii="Arial" w:cs="Arial" w:eastAsia="Arial" w:hAnsi="Arial"/>
                <w:sz w:val="22"/>
                <w:szCs w:val="22"/>
                <w:color w:val="auto"/>
              </w:rPr>
              <w:t>43.1%</w:t>
            </w:r>
          </w:p>
        </w:tc>
        <w:tc>
          <w:tcPr>
            <w:tcW w:w="1380" w:type="dxa"/>
            <w:vAlign w:val="bottom"/>
            <w:gridSpan w:val="2"/>
          </w:tcPr>
          <w:p>
            <w:pPr>
              <w:jc w:val="right"/>
              <w:spacing w:after="0"/>
              <w:rPr>
                <w:sz w:val="20"/>
                <w:szCs w:val="20"/>
                <w:color w:val="auto"/>
              </w:rPr>
            </w:pPr>
            <w:r>
              <w:rPr>
                <w:rFonts w:ascii="Arial" w:cs="Arial" w:eastAsia="Arial" w:hAnsi="Arial"/>
                <w:sz w:val="22"/>
                <w:szCs w:val="22"/>
                <w:color w:val="auto"/>
              </w:rPr>
              <w:t>52.8%</w:t>
            </w:r>
          </w:p>
        </w:tc>
        <w:tc>
          <w:tcPr>
            <w:tcW w:w="5100" w:type="dxa"/>
            <w:vAlign w:val="bottom"/>
          </w:tcPr>
          <w:p>
            <w:pPr>
              <w:spacing w:after="0"/>
              <w:rPr>
                <w:sz w:val="24"/>
                <w:szCs w:val="24"/>
                <w:color w:val="auto"/>
              </w:rPr>
            </w:pPr>
          </w:p>
        </w:tc>
      </w:tr>
      <w:tr>
        <w:trPr>
          <w:trHeight w:val="486"/>
        </w:trPr>
        <w:tc>
          <w:tcPr>
            <w:tcW w:w="3280" w:type="dxa"/>
            <w:vAlign w:val="bottom"/>
          </w:tcPr>
          <w:p>
            <w:pPr>
              <w:spacing w:after="0"/>
              <w:rPr>
                <w:sz w:val="20"/>
                <w:szCs w:val="20"/>
                <w:color w:val="auto"/>
              </w:rPr>
            </w:pPr>
            <w:r>
              <w:rPr>
                <w:rFonts w:ascii="Arial" w:cs="Arial" w:eastAsia="Arial" w:hAnsi="Arial"/>
                <w:sz w:val="22"/>
                <w:szCs w:val="22"/>
                <w:color w:val="auto"/>
              </w:rPr>
              <w:t>Risk free rate of return</w:t>
            </w:r>
          </w:p>
        </w:tc>
        <w:tc>
          <w:tcPr>
            <w:tcW w:w="1680" w:type="dxa"/>
            <w:vAlign w:val="bottom"/>
          </w:tcPr>
          <w:p>
            <w:pPr>
              <w:jc w:val="right"/>
              <w:spacing w:after="0"/>
              <w:rPr>
                <w:sz w:val="20"/>
                <w:szCs w:val="20"/>
                <w:color w:val="auto"/>
              </w:rPr>
            </w:pPr>
            <w:r>
              <w:rPr>
                <w:rFonts w:ascii="Arial" w:cs="Arial" w:eastAsia="Arial" w:hAnsi="Arial"/>
                <w:sz w:val="22"/>
                <w:szCs w:val="22"/>
                <w:color w:val="auto"/>
              </w:rPr>
              <w:t>2.5% - 2.6%</w:t>
            </w:r>
          </w:p>
        </w:tc>
        <w:tc>
          <w:tcPr>
            <w:tcW w:w="1380" w:type="dxa"/>
            <w:vAlign w:val="bottom"/>
            <w:gridSpan w:val="2"/>
          </w:tcPr>
          <w:p>
            <w:pPr>
              <w:jc w:val="right"/>
              <w:spacing w:after="0"/>
              <w:rPr>
                <w:sz w:val="20"/>
                <w:szCs w:val="20"/>
                <w:color w:val="auto"/>
              </w:rPr>
            </w:pPr>
            <w:r>
              <w:rPr>
                <w:rFonts w:ascii="Arial" w:cs="Arial" w:eastAsia="Arial" w:hAnsi="Arial"/>
                <w:sz w:val="22"/>
                <w:szCs w:val="22"/>
                <w:color w:val="auto"/>
              </w:rPr>
              <w:t>4.5%</w:t>
            </w:r>
          </w:p>
        </w:tc>
        <w:tc>
          <w:tcPr>
            <w:tcW w:w="5100" w:type="dxa"/>
            <w:vAlign w:val="bottom"/>
          </w:tcPr>
          <w:p>
            <w:pPr>
              <w:spacing w:after="0"/>
              <w:rPr>
                <w:sz w:val="24"/>
                <w:szCs w:val="24"/>
                <w:color w:val="auto"/>
              </w:rPr>
            </w:pPr>
          </w:p>
        </w:tc>
      </w:tr>
      <w:tr>
        <w:trPr>
          <w:trHeight w:val="486"/>
        </w:trPr>
        <w:tc>
          <w:tcPr>
            <w:tcW w:w="3280" w:type="dxa"/>
            <w:vAlign w:val="bottom"/>
          </w:tcPr>
          <w:p>
            <w:pPr>
              <w:spacing w:after="0"/>
              <w:rPr>
                <w:sz w:val="20"/>
                <w:szCs w:val="20"/>
                <w:color w:val="auto"/>
              </w:rPr>
            </w:pPr>
            <w:r>
              <w:rPr>
                <w:rFonts w:ascii="Arial" w:cs="Arial" w:eastAsia="Arial" w:hAnsi="Arial"/>
                <w:sz w:val="22"/>
                <w:szCs w:val="22"/>
                <w:color w:val="auto"/>
              </w:rPr>
              <w:t>Dividend yield</w:t>
            </w:r>
          </w:p>
        </w:tc>
        <w:tc>
          <w:tcPr>
            <w:tcW w:w="1680" w:type="dxa"/>
            <w:vAlign w:val="bottom"/>
          </w:tcPr>
          <w:p>
            <w:pPr>
              <w:jc w:val="right"/>
              <w:spacing w:after="0"/>
              <w:rPr>
                <w:sz w:val="20"/>
                <w:szCs w:val="20"/>
                <w:color w:val="auto"/>
              </w:rPr>
            </w:pPr>
            <w:r>
              <w:rPr>
                <w:rFonts w:ascii="Arial" w:cs="Arial" w:eastAsia="Arial" w:hAnsi="Arial"/>
                <w:sz w:val="22"/>
                <w:szCs w:val="22"/>
                <w:color w:val="auto"/>
              </w:rPr>
              <w:t>0.0%</w:t>
            </w:r>
          </w:p>
        </w:tc>
        <w:tc>
          <w:tcPr>
            <w:tcW w:w="1380" w:type="dxa"/>
            <w:vAlign w:val="bottom"/>
            <w:gridSpan w:val="2"/>
          </w:tcPr>
          <w:p>
            <w:pPr>
              <w:jc w:val="right"/>
              <w:spacing w:after="0"/>
              <w:rPr>
                <w:sz w:val="20"/>
                <w:szCs w:val="20"/>
                <w:color w:val="auto"/>
              </w:rPr>
            </w:pPr>
            <w:r>
              <w:rPr>
                <w:rFonts w:ascii="Arial" w:cs="Arial" w:eastAsia="Arial" w:hAnsi="Arial"/>
                <w:sz w:val="22"/>
                <w:szCs w:val="22"/>
                <w:color w:val="auto"/>
              </w:rPr>
              <w:t>0.0%</w:t>
            </w:r>
          </w:p>
        </w:tc>
        <w:tc>
          <w:tcPr>
            <w:tcW w:w="5100" w:type="dxa"/>
            <w:vAlign w:val="bottom"/>
          </w:tcPr>
          <w:p>
            <w:pPr>
              <w:spacing w:after="0"/>
              <w:rPr>
                <w:sz w:val="24"/>
                <w:szCs w:val="24"/>
                <w:color w:val="auto"/>
              </w:rPr>
            </w:pPr>
          </w:p>
        </w:tc>
      </w:tr>
      <w:tr>
        <w:trPr>
          <w:trHeight w:val="486"/>
        </w:trPr>
        <w:tc>
          <w:tcPr>
            <w:tcW w:w="3280" w:type="dxa"/>
            <w:vAlign w:val="bottom"/>
          </w:tcPr>
          <w:p>
            <w:pPr>
              <w:spacing w:after="0"/>
              <w:rPr>
                <w:sz w:val="20"/>
                <w:szCs w:val="20"/>
                <w:color w:val="auto"/>
              </w:rPr>
            </w:pPr>
            <w:r>
              <w:rPr>
                <w:rFonts w:ascii="Arial" w:cs="Arial" w:eastAsia="Arial" w:hAnsi="Arial"/>
                <w:sz w:val="22"/>
                <w:szCs w:val="22"/>
                <w:color w:val="auto"/>
              </w:rPr>
              <w:t>Expected term</w:t>
            </w:r>
          </w:p>
        </w:tc>
        <w:tc>
          <w:tcPr>
            <w:tcW w:w="1680" w:type="dxa"/>
            <w:vAlign w:val="bottom"/>
          </w:tcPr>
          <w:p>
            <w:pPr>
              <w:jc w:val="right"/>
              <w:spacing w:after="0"/>
              <w:rPr>
                <w:sz w:val="20"/>
                <w:szCs w:val="20"/>
                <w:color w:val="auto"/>
              </w:rPr>
            </w:pPr>
            <w:r>
              <w:rPr>
                <w:rFonts w:ascii="Arial" w:cs="Arial" w:eastAsia="Arial" w:hAnsi="Arial"/>
                <w:sz w:val="22"/>
                <w:szCs w:val="22"/>
                <w:color w:val="auto"/>
              </w:rPr>
              <w:t>4.7 years</w:t>
            </w: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4.6 years</w:t>
            </w:r>
          </w:p>
        </w:tc>
        <w:tc>
          <w:tcPr>
            <w:tcW w:w="5100" w:type="dxa"/>
            <w:vAlign w:val="bottom"/>
          </w:tcPr>
          <w:p>
            <w:pPr>
              <w:spacing w:after="0"/>
              <w:rPr>
                <w:sz w:val="24"/>
                <w:szCs w:val="24"/>
                <w:color w:val="auto"/>
              </w:rPr>
            </w:pPr>
          </w:p>
        </w:tc>
      </w:tr>
      <w:tr>
        <w:trPr>
          <w:trHeight w:val="702"/>
        </w:trPr>
        <w:tc>
          <w:tcPr>
            <w:tcW w:w="3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80" w:type="dxa"/>
            <w:vAlign w:val="bottom"/>
            <w:gridSpan w:val="2"/>
          </w:tcPr>
          <w:p>
            <w:pPr>
              <w:jc w:val="center"/>
              <w:ind w:left="32"/>
              <w:spacing w:after="0"/>
              <w:rPr>
                <w:sz w:val="20"/>
                <w:szCs w:val="20"/>
                <w:color w:val="auto"/>
              </w:rPr>
            </w:pPr>
            <w:r>
              <w:rPr>
                <w:rFonts w:ascii="Arial" w:cs="Arial" w:eastAsia="Arial" w:hAnsi="Arial"/>
                <w:sz w:val="22"/>
                <w:szCs w:val="22"/>
                <w:color w:val="auto"/>
                <w:w w:val="91"/>
              </w:rPr>
              <w:t>-10-</w:t>
            </w:r>
          </w:p>
        </w:tc>
        <w:tc>
          <w:tcPr>
            <w:tcW w:w="5100" w:type="dxa"/>
            <w:vAlign w:val="bottom"/>
          </w:tcPr>
          <w:p>
            <w:pPr>
              <w:spacing w:after="0"/>
              <w:rPr>
                <w:sz w:val="24"/>
                <w:szCs w:val="24"/>
                <w:color w:val="auto"/>
              </w:rPr>
            </w:pPr>
          </w:p>
        </w:tc>
      </w:tr>
      <w:tr>
        <w:trPr>
          <w:trHeight w:val="213"/>
        </w:trPr>
        <w:tc>
          <w:tcPr>
            <w:tcW w:w="3280" w:type="dxa"/>
            <w:vAlign w:val="bottom"/>
            <w:tcBorders>
              <w:bottom w:val="single" w:sz="8" w:color="9A9A9A"/>
            </w:tcBorders>
          </w:tcPr>
          <w:p>
            <w:pPr>
              <w:spacing w:after="0"/>
              <w:rPr>
                <w:sz w:val="18"/>
                <w:szCs w:val="18"/>
                <w:color w:val="auto"/>
              </w:rPr>
            </w:pPr>
          </w:p>
        </w:tc>
        <w:tc>
          <w:tcPr>
            <w:tcW w:w="168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c>
          <w:tcPr>
            <w:tcW w:w="51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A summary of option awards under the plan as of July 27, 2008 is presented below:</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22"/>
                <w:szCs w:val="22"/>
                <w:b w:val="1"/>
                <w:bCs w:val="1"/>
                <w:color w:val="auto"/>
                <w:w w:val="88"/>
              </w:rPr>
              <w:t>Weighted</w:t>
            </w: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43"/>
        </w:trPr>
        <w:tc>
          <w:tcPr>
            <w:tcW w:w="3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Weighted</w:t>
            </w:r>
          </w:p>
        </w:tc>
        <w:tc>
          <w:tcPr>
            <w:tcW w:w="300" w:type="dxa"/>
            <w:vAlign w:val="bottom"/>
          </w:tcPr>
          <w:p>
            <w:pPr>
              <w:spacing w:after="0"/>
              <w:rPr>
                <w:sz w:val="21"/>
                <w:szCs w:val="21"/>
                <w:color w:val="auto"/>
              </w:rPr>
            </w:pPr>
          </w:p>
        </w:tc>
        <w:tc>
          <w:tcPr>
            <w:tcW w:w="14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Average</w:t>
            </w: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43"/>
        </w:trPr>
        <w:tc>
          <w:tcPr>
            <w:tcW w:w="3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Average</w:t>
            </w:r>
          </w:p>
        </w:tc>
        <w:tc>
          <w:tcPr>
            <w:tcW w:w="300" w:type="dxa"/>
            <w:vAlign w:val="bottom"/>
          </w:tcPr>
          <w:p>
            <w:pPr>
              <w:spacing w:after="0"/>
              <w:rPr>
                <w:sz w:val="21"/>
                <w:szCs w:val="21"/>
                <w:color w:val="auto"/>
              </w:rPr>
            </w:pPr>
          </w:p>
        </w:tc>
        <w:tc>
          <w:tcPr>
            <w:tcW w:w="14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Remaining</w:t>
            </w:r>
          </w:p>
        </w:tc>
        <w:tc>
          <w:tcPr>
            <w:tcW w:w="240" w:type="dxa"/>
            <w:vAlign w:val="bottom"/>
          </w:tcPr>
          <w:p>
            <w:pPr>
              <w:spacing w:after="0"/>
              <w:rPr>
                <w:sz w:val="21"/>
                <w:szCs w:val="21"/>
                <w:color w:val="auto"/>
              </w:rPr>
            </w:pPr>
          </w:p>
        </w:tc>
        <w:tc>
          <w:tcPr>
            <w:tcW w:w="12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Aggregate</w:t>
            </w:r>
          </w:p>
        </w:tc>
      </w:tr>
      <w:tr>
        <w:trPr>
          <w:trHeight w:val="243"/>
        </w:trPr>
        <w:tc>
          <w:tcPr>
            <w:tcW w:w="3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Exercise</w:t>
            </w:r>
          </w:p>
        </w:tc>
        <w:tc>
          <w:tcPr>
            <w:tcW w:w="300" w:type="dxa"/>
            <w:vAlign w:val="bottom"/>
          </w:tcPr>
          <w:p>
            <w:pPr>
              <w:spacing w:after="0"/>
              <w:rPr>
                <w:sz w:val="21"/>
                <w:szCs w:val="21"/>
                <w:color w:val="auto"/>
              </w:rPr>
            </w:pPr>
          </w:p>
        </w:tc>
        <w:tc>
          <w:tcPr>
            <w:tcW w:w="14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1"/>
              </w:rPr>
              <w:t>Contractual</w:t>
            </w:r>
          </w:p>
        </w:tc>
        <w:tc>
          <w:tcPr>
            <w:tcW w:w="240" w:type="dxa"/>
            <w:vAlign w:val="bottom"/>
          </w:tcPr>
          <w:p>
            <w:pPr>
              <w:spacing w:after="0"/>
              <w:rPr>
                <w:sz w:val="21"/>
                <w:szCs w:val="21"/>
                <w:color w:val="auto"/>
              </w:rPr>
            </w:pPr>
          </w:p>
        </w:tc>
        <w:tc>
          <w:tcPr>
            <w:tcW w:w="12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1"/>
              </w:rPr>
              <w:t>Intrinsic</w:t>
            </w:r>
          </w:p>
        </w:tc>
      </w:tr>
      <w:tr>
        <w:trPr>
          <w:trHeight w:val="281"/>
        </w:trPr>
        <w:tc>
          <w:tcPr>
            <w:tcW w:w="3120" w:type="dxa"/>
            <w:vAlign w:val="bottom"/>
          </w:tcPr>
          <w:p>
            <w:pPr>
              <w:ind w:left="1180"/>
              <w:spacing w:after="0"/>
              <w:rPr>
                <w:sz w:val="20"/>
                <w:szCs w:val="20"/>
                <w:color w:val="auto"/>
              </w:rPr>
            </w:pPr>
            <w:r>
              <w:rPr>
                <w:rFonts w:ascii="Arial" w:cs="Arial" w:eastAsia="Arial" w:hAnsi="Arial"/>
                <w:sz w:val="22"/>
                <w:szCs w:val="22"/>
                <w:b w:val="1"/>
                <w:bCs w:val="1"/>
                <w:color w:val="auto"/>
              </w:rPr>
              <w:t>Options</w:t>
            </w:r>
          </w:p>
        </w:tc>
        <w:tc>
          <w:tcPr>
            <w:tcW w:w="300" w:type="dxa"/>
            <w:vAlign w:val="bottom"/>
          </w:tcPr>
          <w:p>
            <w:pPr>
              <w:spacing w:after="0"/>
              <w:rPr>
                <w:sz w:val="24"/>
                <w:szCs w:val="24"/>
                <w:color w:val="auto"/>
              </w:rPr>
            </w:pPr>
          </w:p>
        </w:tc>
        <w:tc>
          <w:tcPr>
            <w:tcW w:w="1080" w:type="dxa"/>
            <w:vAlign w:val="bottom"/>
          </w:tcPr>
          <w:p>
            <w:pPr>
              <w:ind w:left="220"/>
              <w:spacing w:after="0"/>
              <w:rPr>
                <w:sz w:val="20"/>
                <w:szCs w:val="20"/>
                <w:color w:val="auto"/>
              </w:rPr>
            </w:pPr>
            <w:r>
              <w:rPr>
                <w:rFonts w:ascii="Arial" w:cs="Arial" w:eastAsia="Arial" w:hAnsi="Arial"/>
                <w:sz w:val="22"/>
                <w:szCs w:val="22"/>
                <w:b w:val="1"/>
                <w:bCs w:val="1"/>
                <w:color w:val="auto"/>
              </w:rPr>
              <w:t>Shares</w:t>
            </w:r>
          </w:p>
        </w:tc>
        <w:tc>
          <w:tcPr>
            <w:tcW w:w="24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22"/>
                <w:szCs w:val="22"/>
                <w:b w:val="1"/>
                <w:bCs w:val="1"/>
                <w:color w:val="auto"/>
                <w:w w:val="89"/>
              </w:rPr>
              <w:t>Price</w:t>
            </w:r>
          </w:p>
        </w:tc>
        <w:tc>
          <w:tcPr>
            <w:tcW w:w="3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22"/>
                <w:szCs w:val="22"/>
                <w:b w:val="1"/>
                <w:bCs w:val="1"/>
                <w:color w:val="auto"/>
                <w:w w:val="91"/>
              </w:rPr>
              <w:t>Life</w:t>
            </w:r>
          </w:p>
        </w:tc>
        <w:tc>
          <w:tcPr>
            <w:tcW w:w="24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88"/>
              </w:rPr>
              <w:t>Value</w:t>
            </w:r>
          </w:p>
        </w:tc>
      </w:tr>
      <w:tr>
        <w:trPr>
          <w:trHeight w:val="98"/>
        </w:trPr>
        <w:tc>
          <w:tcPr>
            <w:tcW w:w="31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r>
      <w:tr>
        <w:trPr>
          <w:trHeight w:val="580"/>
        </w:trPr>
        <w:tc>
          <w:tcPr>
            <w:tcW w:w="3120" w:type="dxa"/>
            <w:vAlign w:val="bottom"/>
          </w:tcPr>
          <w:p>
            <w:pPr>
              <w:spacing w:after="0"/>
              <w:rPr>
                <w:sz w:val="20"/>
                <w:szCs w:val="20"/>
                <w:color w:val="auto"/>
              </w:rPr>
            </w:pPr>
            <w:r>
              <w:rPr>
                <w:rFonts w:ascii="Arial" w:cs="Arial" w:eastAsia="Arial" w:hAnsi="Arial"/>
                <w:sz w:val="22"/>
                <w:szCs w:val="22"/>
                <w:color w:val="auto"/>
              </w:rPr>
              <w:t>Outstanding at July 27, 2008</w:t>
            </w:r>
          </w:p>
        </w:tc>
        <w:tc>
          <w:tcPr>
            <w:tcW w:w="1380" w:type="dxa"/>
            <w:vAlign w:val="bottom"/>
            <w:gridSpan w:val="2"/>
          </w:tcPr>
          <w:p>
            <w:pPr>
              <w:ind w:left="500"/>
              <w:spacing w:after="0"/>
              <w:rPr>
                <w:sz w:val="20"/>
                <w:szCs w:val="20"/>
                <w:color w:val="auto"/>
              </w:rPr>
            </w:pPr>
            <w:r>
              <w:rPr>
                <w:rFonts w:ascii="Arial" w:cs="Arial" w:eastAsia="Arial" w:hAnsi="Arial"/>
                <w:sz w:val="22"/>
                <w:szCs w:val="22"/>
                <w:color w:val="auto"/>
                <w:w w:val="87"/>
              </w:rPr>
              <w:t>2,155,781</w:t>
            </w:r>
          </w:p>
        </w:tc>
        <w:tc>
          <w:tcPr>
            <w:tcW w:w="1340" w:type="dxa"/>
            <w:vAlign w:val="bottom"/>
            <w:gridSpan w:val="2"/>
          </w:tcPr>
          <w:p>
            <w:pPr>
              <w:jc w:val="right"/>
              <w:spacing w:after="0"/>
              <w:rPr>
                <w:sz w:val="20"/>
                <w:szCs w:val="20"/>
                <w:color w:val="auto"/>
              </w:rPr>
            </w:pPr>
            <w:r>
              <w:rPr>
                <w:rFonts w:ascii="Arial" w:cs="Arial" w:eastAsia="Arial" w:hAnsi="Arial"/>
                <w:sz w:val="22"/>
                <w:szCs w:val="22"/>
                <w:color w:val="auto"/>
              </w:rPr>
              <w:t>$18.71</w:t>
            </w:r>
          </w:p>
        </w:tc>
        <w:tc>
          <w:tcPr>
            <w:tcW w:w="300" w:type="dxa"/>
            <w:vAlign w:val="bottom"/>
          </w:tcPr>
          <w:p>
            <w:pPr>
              <w:spacing w:after="0"/>
              <w:rPr>
                <w:sz w:val="24"/>
                <w:szCs w:val="24"/>
                <w:color w:val="auto"/>
              </w:rPr>
            </w:pPr>
          </w:p>
        </w:tc>
        <w:tc>
          <w:tcPr>
            <w:tcW w:w="1440" w:type="dxa"/>
            <w:vAlign w:val="bottom"/>
          </w:tcPr>
          <w:p>
            <w:pPr>
              <w:ind w:left="620"/>
              <w:spacing w:after="0"/>
              <w:rPr>
                <w:sz w:val="20"/>
                <w:szCs w:val="20"/>
                <w:color w:val="auto"/>
              </w:rPr>
            </w:pPr>
            <w:r>
              <w:rPr>
                <w:rFonts w:ascii="Arial" w:cs="Arial" w:eastAsia="Arial" w:hAnsi="Arial"/>
                <w:sz w:val="22"/>
                <w:szCs w:val="22"/>
                <w:color w:val="auto"/>
                <w:w w:val="88"/>
              </w:rPr>
              <w:t>5.7 years</w:t>
            </w:r>
          </w:p>
        </w:tc>
        <w:tc>
          <w:tcPr>
            <w:tcW w:w="1440" w:type="dxa"/>
            <w:vAlign w:val="bottom"/>
            <w:gridSpan w:val="2"/>
          </w:tcPr>
          <w:p>
            <w:pPr>
              <w:jc w:val="right"/>
              <w:spacing w:after="0"/>
              <w:rPr>
                <w:sz w:val="20"/>
                <w:szCs w:val="20"/>
                <w:color w:val="auto"/>
              </w:rPr>
            </w:pPr>
            <w:r>
              <w:rPr>
                <w:rFonts w:ascii="Arial" w:cs="Arial" w:eastAsia="Arial" w:hAnsi="Arial"/>
                <w:sz w:val="22"/>
                <w:szCs w:val="22"/>
                <w:color w:val="auto"/>
              </w:rPr>
              <w:t>$ -</w:t>
            </w:r>
          </w:p>
        </w:tc>
      </w:tr>
      <w:tr>
        <w:trPr>
          <w:trHeight w:val="275"/>
        </w:trPr>
        <w:tc>
          <w:tcPr>
            <w:tcW w:w="3120" w:type="dxa"/>
            <w:vAlign w:val="bottom"/>
          </w:tcPr>
          <w:p>
            <w:pPr>
              <w:spacing w:after="0"/>
              <w:rPr>
                <w:sz w:val="20"/>
                <w:szCs w:val="20"/>
                <w:color w:val="auto"/>
              </w:rPr>
            </w:pPr>
            <w:r>
              <w:rPr>
                <w:rFonts w:ascii="Arial" w:cs="Arial" w:eastAsia="Arial" w:hAnsi="Arial"/>
                <w:sz w:val="22"/>
                <w:szCs w:val="22"/>
                <w:color w:val="auto"/>
              </w:rPr>
              <w:t>Exercisable at July 27, 2008</w:t>
            </w:r>
          </w:p>
        </w:tc>
        <w:tc>
          <w:tcPr>
            <w:tcW w:w="1380" w:type="dxa"/>
            <w:vAlign w:val="bottom"/>
            <w:gridSpan w:val="2"/>
          </w:tcPr>
          <w:p>
            <w:pPr>
              <w:ind w:left="500"/>
              <w:spacing w:after="0"/>
              <w:rPr>
                <w:sz w:val="20"/>
                <w:szCs w:val="20"/>
                <w:color w:val="auto"/>
              </w:rPr>
            </w:pPr>
            <w:r>
              <w:rPr>
                <w:rFonts w:ascii="Arial" w:cs="Arial" w:eastAsia="Arial" w:hAnsi="Arial"/>
                <w:sz w:val="22"/>
                <w:szCs w:val="22"/>
                <w:color w:val="auto"/>
                <w:w w:val="87"/>
              </w:rPr>
              <w:t>1,800,768</w:t>
            </w:r>
          </w:p>
        </w:tc>
        <w:tc>
          <w:tcPr>
            <w:tcW w:w="1340" w:type="dxa"/>
            <w:vAlign w:val="bottom"/>
            <w:gridSpan w:val="2"/>
          </w:tcPr>
          <w:p>
            <w:pPr>
              <w:jc w:val="right"/>
              <w:spacing w:after="0"/>
              <w:rPr>
                <w:sz w:val="20"/>
                <w:szCs w:val="20"/>
                <w:color w:val="auto"/>
              </w:rPr>
            </w:pPr>
            <w:r>
              <w:rPr>
                <w:rFonts w:ascii="Arial" w:cs="Arial" w:eastAsia="Arial" w:hAnsi="Arial"/>
                <w:sz w:val="22"/>
                <w:szCs w:val="22"/>
                <w:color w:val="auto"/>
              </w:rPr>
              <w:t>$19.16</w:t>
            </w:r>
          </w:p>
        </w:tc>
        <w:tc>
          <w:tcPr>
            <w:tcW w:w="300" w:type="dxa"/>
            <w:vAlign w:val="bottom"/>
          </w:tcPr>
          <w:p>
            <w:pPr>
              <w:spacing w:after="0"/>
              <w:rPr>
                <w:sz w:val="23"/>
                <w:szCs w:val="23"/>
                <w:color w:val="auto"/>
              </w:rPr>
            </w:pPr>
          </w:p>
        </w:tc>
        <w:tc>
          <w:tcPr>
            <w:tcW w:w="1440" w:type="dxa"/>
            <w:vAlign w:val="bottom"/>
          </w:tcPr>
          <w:p>
            <w:pPr>
              <w:ind w:left="620"/>
              <w:spacing w:after="0"/>
              <w:rPr>
                <w:sz w:val="20"/>
                <w:szCs w:val="20"/>
                <w:color w:val="auto"/>
              </w:rPr>
            </w:pPr>
            <w:r>
              <w:rPr>
                <w:rFonts w:ascii="Arial" w:cs="Arial" w:eastAsia="Arial" w:hAnsi="Arial"/>
                <w:sz w:val="22"/>
                <w:szCs w:val="22"/>
                <w:color w:val="auto"/>
                <w:w w:val="88"/>
              </w:rPr>
              <w:t>5.3 years</w:t>
            </w:r>
          </w:p>
        </w:tc>
        <w:tc>
          <w:tcPr>
            <w:tcW w:w="1440" w:type="dxa"/>
            <w:vAlign w:val="bottom"/>
            <w:gridSpan w:val="2"/>
          </w:tcPr>
          <w:p>
            <w:pPr>
              <w:jc w:val="right"/>
              <w:spacing w:after="0"/>
              <w:rPr>
                <w:sz w:val="20"/>
                <w:szCs w:val="20"/>
                <w:color w:val="auto"/>
              </w:rPr>
            </w:pPr>
            <w:r>
              <w:rPr>
                <w:rFonts w:ascii="Arial" w:cs="Arial" w:eastAsia="Arial" w:hAnsi="Arial"/>
                <w:sz w:val="22"/>
                <w:szCs w:val="22"/>
                <w:color w:val="auto"/>
              </w:rPr>
              <w:t>$ -</w:t>
            </w: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120" w:firstLine="266"/>
        <w:spacing w:after="0" w:line="287" w:lineRule="auto"/>
        <w:rPr>
          <w:sz w:val="20"/>
          <w:szCs w:val="20"/>
          <w:color w:val="auto"/>
        </w:rPr>
      </w:pPr>
      <w:r>
        <w:rPr>
          <w:rFonts w:ascii="Arial" w:cs="Arial" w:eastAsia="Arial" w:hAnsi="Arial"/>
          <w:sz w:val="19"/>
          <w:szCs w:val="19"/>
          <w:color w:val="auto"/>
        </w:rPr>
        <w:t>There were 18,500 share options granted with a weighted average grant date fair value of $4.15 during the nine months ended July 27, 2008. For the comparable period last year 52,750 share options were granted with a weighted average grant date fair value of $7.31 per share. As of July 27, 2008 the total compensation cost related to non-vested option awards not yet recognized was approximately $2.7 million. That cost is expected to be recognized over a weighted average amortization period of 2.1 years.</w:t>
      </w:r>
    </w:p>
    <w:p>
      <w:pPr>
        <w:sectPr>
          <w:pgSz w:w="11900" w:h="16838" w:orient="portrait"/>
          <w:cols w:equalWidth="0" w:num="1">
            <w:col w:w="11440"/>
          </w:cols>
          <w:pgMar w:left="240" w:top="118" w:right="219" w:bottom="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color w:val="auto"/>
        </w:rPr>
        <w:t>Restricted Stock</w:t>
      </w:r>
    </w:p>
    <w:p>
      <w:pPr>
        <w:spacing w:after="0" w:line="213" w:lineRule="exact"/>
        <w:rPr>
          <w:sz w:val="20"/>
          <w:szCs w:val="20"/>
          <w:color w:val="auto"/>
        </w:rPr>
      </w:pPr>
    </w:p>
    <w:p>
      <w:pPr>
        <w:ind w:firstLine="266"/>
        <w:spacing w:after="0" w:line="247" w:lineRule="auto"/>
        <w:rPr>
          <w:sz w:val="20"/>
          <w:szCs w:val="20"/>
          <w:color w:val="auto"/>
        </w:rPr>
      </w:pPr>
      <w:r>
        <w:rPr>
          <w:rFonts w:ascii="Arial" w:cs="Arial" w:eastAsia="Arial" w:hAnsi="Arial"/>
          <w:sz w:val="21"/>
          <w:szCs w:val="21"/>
          <w:color w:val="auto"/>
        </w:rPr>
        <w:t>The Company also grants restricted stock awards periodically. The restrictions on these awards lapse over a service period that has ranged from less than one to eight years. During the nine months ended July 27, 2008, 151,300 shares were granted with a weighted average grant date fair value of $11.72 per share. For the comparable period last year 36,500 shares were granted with a weighted average grant date fair value of $14.11 per share. As of July 27, 2008, the total compensation cost related to non-vested restricted stock awards not yet recognized was approximately $4.1 million, which is expected to be recognized over a weighted average amortization period of 4.5 years. A summary of the status of the Company's nonvested restricted shares as of July 27, 2008 is presented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22"/>
                <w:szCs w:val="22"/>
                <w:b w:val="1"/>
                <w:bCs w:val="1"/>
                <w:color w:val="auto"/>
                <w:w w:val="88"/>
              </w:rPr>
              <w:t>Weighted</w:t>
            </w: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43"/>
        </w:trPr>
        <w:tc>
          <w:tcPr>
            <w:tcW w:w="2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Average</w:t>
            </w: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43"/>
        </w:trPr>
        <w:tc>
          <w:tcPr>
            <w:tcW w:w="2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Remaining</w:t>
            </w:r>
          </w:p>
        </w:tc>
        <w:tc>
          <w:tcPr>
            <w:tcW w:w="240" w:type="dxa"/>
            <w:vAlign w:val="bottom"/>
          </w:tcPr>
          <w:p>
            <w:pPr>
              <w:spacing w:after="0"/>
              <w:rPr>
                <w:sz w:val="21"/>
                <w:szCs w:val="21"/>
                <w:color w:val="auto"/>
              </w:rPr>
            </w:pPr>
          </w:p>
        </w:tc>
        <w:tc>
          <w:tcPr>
            <w:tcW w:w="96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Aggregate</w:t>
            </w:r>
          </w:p>
        </w:tc>
      </w:tr>
      <w:tr>
        <w:trPr>
          <w:trHeight w:val="243"/>
        </w:trPr>
        <w:tc>
          <w:tcPr>
            <w:tcW w:w="2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1"/>
              </w:rPr>
              <w:t>Contractual</w:t>
            </w:r>
          </w:p>
        </w:tc>
        <w:tc>
          <w:tcPr>
            <w:tcW w:w="240" w:type="dxa"/>
            <w:vAlign w:val="bottom"/>
          </w:tcPr>
          <w:p>
            <w:pPr>
              <w:spacing w:after="0"/>
              <w:rPr>
                <w:sz w:val="21"/>
                <w:szCs w:val="21"/>
                <w:color w:val="auto"/>
              </w:rPr>
            </w:pPr>
          </w:p>
        </w:tc>
        <w:tc>
          <w:tcPr>
            <w:tcW w:w="96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1"/>
              </w:rPr>
              <w:t>Intrinsic</w:t>
            </w:r>
          </w:p>
        </w:tc>
      </w:tr>
      <w:tr>
        <w:trPr>
          <w:trHeight w:val="281"/>
        </w:trPr>
        <w:tc>
          <w:tcPr>
            <w:tcW w:w="2540" w:type="dxa"/>
            <w:vAlign w:val="bottom"/>
          </w:tcPr>
          <w:p>
            <w:pPr>
              <w:jc w:val="center"/>
              <w:spacing w:after="0"/>
              <w:rPr>
                <w:sz w:val="20"/>
                <w:szCs w:val="20"/>
                <w:color w:val="auto"/>
              </w:rPr>
            </w:pPr>
            <w:r>
              <w:rPr>
                <w:rFonts w:ascii="Arial" w:cs="Arial" w:eastAsia="Arial" w:hAnsi="Arial"/>
                <w:sz w:val="22"/>
                <w:szCs w:val="22"/>
                <w:b w:val="1"/>
                <w:bCs w:val="1"/>
                <w:color w:val="auto"/>
                <w:w w:val="87"/>
              </w:rPr>
              <w:t>Restricted Stock</w:t>
            </w:r>
          </w:p>
        </w:tc>
        <w:tc>
          <w:tcPr>
            <w:tcW w:w="24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22"/>
                <w:szCs w:val="22"/>
                <w:b w:val="1"/>
                <w:bCs w:val="1"/>
                <w:color w:val="auto"/>
                <w:w w:val="84"/>
              </w:rPr>
              <w:t>Shares</w:t>
            </w:r>
          </w:p>
        </w:tc>
        <w:tc>
          <w:tcPr>
            <w:tcW w:w="24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22"/>
                <w:szCs w:val="22"/>
                <w:b w:val="1"/>
                <w:bCs w:val="1"/>
                <w:color w:val="auto"/>
                <w:w w:val="91"/>
              </w:rPr>
              <w:t>Life</w:t>
            </w:r>
          </w:p>
        </w:tc>
        <w:tc>
          <w:tcPr>
            <w:tcW w:w="24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22"/>
                <w:szCs w:val="22"/>
                <w:b w:val="1"/>
                <w:bCs w:val="1"/>
                <w:color w:val="auto"/>
                <w:w w:val="88"/>
              </w:rPr>
              <w:t>Value</w:t>
            </w:r>
          </w:p>
        </w:tc>
      </w:tr>
      <w:tr>
        <w:trPr>
          <w:trHeight w:val="98"/>
        </w:trPr>
        <w:tc>
          <w:tcPr>
            <w:tcW w:w="25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r>
      <w:tr>
        <w:trPr>
          <w:trHeight w:val="611"/>
        </w:trPr>
        <w:tc>
          <w:tcPr>
            <w:tcW w:w="2540" w:type="dxa"/>
            <w:vAlign w:val="bottom"/>
          </w:tcPr>
          <w:p>
            <w:pPr>
              <w:jc w:val="center"/>
              <w:spacing w:after="0"/>
              <w:rPr>
                <w:sz w:val="20"/>
                <w:szCs w:val="20"/>
                <w:color w:val="auto"/>
              </w:rPr>
            </w:pPr>
            <w:r>
              <w:rPr>
                <w:rFonts w:ascii="Arial" w:cs="Arial" w:eastAsia="Arial" w:hAnsi="Arial"/>
                <w:sz w:val="22"/>
                <w:szCs w:val="22"/>
                <w:color w:val="auto"/>
                <w:w w:val="89"/>
              </w:rPr>
              <w:t>Outstanding at July 27, 2008</w:t>
            </w:r>
          </w:p>
        </w:tc>
        <w:tc>
          <w:tcPr>
            <w:tcW w:w="1020" w:type="dxa"/>
            <w:vAlign w:val="bottom"/>
            <w:gridSpan w:val="2"/>
          </w:tcPr>
          <w:p>
            <w:pPr>
              <w:jc w:val="right"/>
              <w:spacing w:after="0"/>
              <w:rPr>
                <w:sz w:val="20"/>
                <w:szCs w:val="20"/>
                <w:color w:val="auto"/>
              </w:rPr>
            </w:pPr>
            <w:r>
              <w:rPr>
                <w:rFonts w:ascii="Arial" w:cs="Arial" w:eastAsia="Arial" w:hAnsi="Arial"/>
                <w:sz w:val="22"/>
                <w:szCs w:val="22"/>
                <w:color w:val="auto"/>
              </w:rPr>
              <w:t>311,302</w:t>
            </w:r>
          </w:p>
        </w:tc>
        <w:tc>
          <w:tcPr>
            <w:tcW w:w="240" w:type="dxa"/>
            <w:vAlign w:val="bottom"/>
          </w:tcPr>
          <w:p>
            <w:pPr>
              <w:spacing w:after="0"/>
              <w:rPr>
                <w:sz w:val="24"/>
                <w:szCs w:val="24"/>
                <w:color w:val="auto"/>
              </w:rPr>
            </w:pPr>
          </w:p>
        </w:tc>
        <w:tc>
          <w:tcPr>
            <w:tcW w:w="1160" w:type="dxa"/>
            <w:vAlign w:val="bottom"/>
          </w:tcPr>
          <w:p>
            <w:pPr>
              <w:ind w:left="340"/>
              <w:spacing w:after="0"/>
              <w:rPr>
                <w:sz w:val="20"/>
                <w:szCs w:val="20"/>
                <w:color w:val="auto"/>
              </w:rPr>
            </w:pPr>
            <w:r>
              <w:rPr>
                <w:rFonts w:ascii="Arial" w:cs="Arial" w:eastAsia="Arial" w:hAnsi="Arial"/>
                <w:sz w:val="22"/>
                <w:szCs w:val="22"/>
                <w:color w:val="auto"/>
                <w:w w:val="88"/>
              </w:rPr>
              <w:t>4.5 years</w:t>
            </w:r>
          </w:p>
        </w:tc>
        <w:tc>
          <w:tcPr>
            <w:tcW w:w="1200" w:type="dxa"/>
            <w:vAlign w:val="bottom"/>
            <w:gridSpan w:val="2"/>
          </w:tcPr>
          <w:p>
            <w:pPr>
              <w:jc w:val="right"/>
              <w:spacing w:after="0"/>
              <w:rPr>
                <w:sz w:val="20"/>
                <w:szCs w:val="20"/>
                <w:color w:val="auto"/>
              </w:rPr>
            </w:pPr>
            <w:r>
              <w:rPr>
                <w:rFonts w:ascii="Arial" w:cs="Arial" w:eastAsia="Arial" w:hAnsi="Arial"/>
                <w:sz w:val="22"/>
                <w:szCs w:val="22"/>
                <w:color w:val="auto"/>
              </w:rPr>
              <w:t>$1,429</w:t>
            </w:r>
          </w:p>
        </w:tc>
      </w:tr>
    </w:tbl>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 GEOGRAPHIC INFORMATION</w:t>
      </w:r>
    </w:p>
    <w:p>
      <w:pPr>
        <w:spacing w:after="0" w:line="212" w:lineRule="exact"/>
        <w:rPr>
          <w:sz w:val="20"/>
          <w:szCs w:val="20"/>
          <w:color w:val="auto"/>
        </w:rPr>
      </w:pPr>
    </w:p>
    <w:p>
      <w:pPr>
        <w:jc w:val="both"/>
        <w:ind w:right="180" w:firstLine="266"/>
        <w:spacing w:after="0" w:line="287" w:lineRule="auto"/>
        <w:rPr>
          <w:sz w:val="20"/>
          <w:szCs w:val="20"/>
          <w:color w:val="auto"/>
        </w:rPr>
      </w:pPr>
      <w:r>
        <w:rPr>
          <w:rFonts w:ascii="Arial" w:cs="Arial" w:eastAsia="Arial" w:hAnsi="Arial"/>
          <w:sz w:val="19"/>
          <w:szCs w:val="19"/>
          <w:color w:val="auto"/>
        </w:rPr>
        <w:t>The Company operates in a single operating segment as a manufacturer of photomasks, which are high precision quartz plates containing microscopic images of electronic circuits for use in the fabrication of semiconductors. Geographic net sales are based primarily on where the Company's facility is located. The Company's net sales for the three and nine months ended July 27, 2008 and July 29, 2007, and long-lived assets by geographic area as of July 27, 2008 and October 28, 2007, were as follows: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80" w:type="dxa"/>
            <w:vAlign w:val="bottom"/>
            <w:gridSpan w:val="3"/>
          </w:tcPr>
          <w:p>
            <w:pPr>
              <w:jc w:val="right"/>
              <w:ind w:right="412"/>
              <w:spacing w:after="0"/>
              <w:rPr>
                <w:sz w:val="20"/>
                <w:szCs w:val="20"/>
                <w:color w:val="auto"/>
              </w:rPr>
            </w:pPr>
            <w:r>
              <w:rPr>
                <w:rFonts w:ascii="Arial" w:cs="Arial" w:eastAsia="Arial" w:hAnsi="Arial"/>
                <w:sz w:val="22"/>
                <w:szCs w:val="22"/>
                <w:b w:val="1"/>
                <w:bCs w:val="1"/>
                <w:color w:val="auto"/>
              </w:rPr>
              <w:t>Three Months Ended</w:t>
            </w:r>
          </w:p>
        </w:tc>
        <w:tc>
          <w:tcPr>
            <w:tcW w:w="120" w:type="dxa"/>
            <w:vAlign w:val="bottom"/>
          </w:tcPr>
          <w:p>
            <w:pPr>
              <w:spacing w:after="0"/>
              <w:rPr>
                <w:sz w:val="24"/>
                <w:szCs w:val="24"/>
                <w:color w:val="auto"/>
              </w:rPr>
            </w:pPr>
          </w:p>
        </w:tc>
        <w:tc>
          <w:tcPr>
            <w:tcW w:w="2740" w:type="dxa"/>
            <w:vAlign w:val="bottom"/>
            <w:gridSpan w:val="3"/>
          </w:tcPr>
          <w:p>
            <w:pPr>
              <w:jc w:val="right"/>
              <w:ind w:right="352"/>
              <w:spacing w:after="0"/>
              <w:rPr>
                <w:sz w:val="20"/>
                <w:szCs w:val="20"/>
                <w:color w:val="auto"/>
              </w:rPr>
            </w:pPr>
            <w:r>
              <w:rPr>
                <w:rFonts w:ascii="Arial" w:cs="Arial" w:eastAsia="Arial" w:hAnsi="Arial"/>
                <w:sz w:val="22"/>
                <w:szCs w:val="22"/>
                <w:b w:val="1"/>
                <w:bCs w:val="1"/>
                <w:color w:val="auto"/>
              </w:rPr>
              <w:t>Nine Months Ended</w:t>
            </w:r>
          </w:p>
        </w:tc>
        <w:tc>
          <w:tcPr>
            <w:tcW w:w="0" w:type="dxa"/>
            <w:vAlign w:val="bottom"/>
          </w:tcPr>
          <w:p>
            <w:pPr>
              <w:spacing w:after="0"/>
              <w:rPr>
                <w:sz w:val="1"/>
                <w:szCs w:val="1"/>
                <w:color w:val="auto"/>
              </w:rPr>
            </w:pPr>
          </w:p>
        </w:tc>
      </w:tr>
      <w:tr>
        <w:trPr>
          <w:trHeight w:val="98"/>
        </w:trPr>
        <w:tc>
          <w:tcPr>
            <w:tcW w:w="2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31"/>
        </w:trPr>
        <w:tc>
          <w:tcPr>
            <w:tcW w:w="2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jc w:val="right"/>
              <w:ind w:right="172"/>
              <w:spacing w:after="0"/>
              <w:rPr>
                <w:sz w:val="20"/>
                <w:szCs w:val="20"/>
                <w:color w:val="auto"/>
              </w:rPr>
            </w:pPr>
            <w:r>
              <w:rPr>
                <w:rFonts w:ascii="Arial" w:cs="Arial" w:eastAsia="Arial" w:hAnsi="Arial"/>
                <w:sz w:val="22"/>
                <w:szCs w:val="22"/>
                <w:b w:val="1"/>
                <w:bCs w:val="1"/>
                <w:color w:val="auto"/>
              </w:rPr>
              <w:t>July 27,</w:t>
            </w:r>
          </w:p>
        </w:tc>
        <w:tc>
          <w:tcPr>
            <w:tcW w:w="120" w:type="dxa"/>
            <w:vAlign w:val="bottom"/>
          </w:tcPr>
          <w:p>
            <w:pPr>
              <w:spacing w:after="0"/>
              <w:rPr>
                <w:sz w:val="24"/>
                <w:szCs w:val="24"/>
                <w:color w:val="auto"/>
              </w:rPr>
            </w:pPr>
          </w:p>
        </w:tc>
        <w:tc>
          <w:tcPr>
            <w:tcW w:w="1600" w:type="dxa"/>
            <w:vAlign w:val="bottom"/>
          </w:tcPr>
          <w:p>
            <w:pPr>
              <w:jc w:val="right"/>
              <w:ind w:right="352"/>
              <w:spacing w:after="0"/>
              <w:rPr>
                <w:sz w:val="20"/>
                <w:szCs w:val="20"/>
                <w:color w:val="auto"/>
              </w:rPr>
            </w:pPr>
            <w:r>
              <w:rPr>
                <w:rFonts w:ascii="Arial" w:cs="Arial" w:eastAsia="Arial" w:hAnsi="Arial"/>
                <w:sz w:val="22"/>
                <w:szCs w:val="22"/>
                <w:b w:val="1"/>
                <w:bCs w:val="1"/>
                <w:color w:val="auto"/>
              </w:rPr>
              <w:t>July 29,</w:t>
            </w:r>
          </w:p>
        </w:tc>
        <w:tc>
          <w:tcPr>
            <w:tcW w:w="120" w:type="dxa"/>
            <w:vAlign w:val="bottom"/>
          </w:tcPr>
          <w:p>
            <w:pPr>
              <w:spacing w:after="0"/>
              <w:rPr>
                <w:sz w:val="24"/>
                <w:szCs w:val="24"/>
                <w:color w:val="auto"/>
              </w:rPr>
            </w:pPr>
          </w:p>
        </w:tc>
        <w:tc>
          <w:tcPr>
            <w:tcW w:w="1280" w:type="dxa"/>
            <w:vAlign w:val="bottom"/>
          </w:tcPr>
          <w:p>
            <w:pPr>
              <w:jc w:val="right"/>
              <w:ind w:right="192"/>
              <w:spacing w:after="0"/>
              <w:rPr>
                <w:sz w:val="20"/>
                <w:szCs w:val="20"/>
                <w:color w:val="auto"/>
              </w:rPr>
            </w:pPr>
            <w:r>
              <w:rPr>
                <w:rFonts w:ascii="Arial" w:cs="Arial" w:eastAsia="Arial" w:hAnsi="Arial"/>
                <w:sz w:val="22"/>
                <w:szCs w:val="22"/>
                <w:b w:val="1"/>
                <w:bCs w:val="1"/>
                <w:color w:val="auto"/>
              </w:rPr>
              <w:t>July 27,</w:t>
            </w:r>
          </w:p>
        </w:tc>
        <w:tc>
          <w:tcPr>
            <w:tcW w:w="120" w:type="dxa"/>
            <w:vAlign w:val="bottom"/>
          </w:tcPr>
          <w:p>
            <w:pPr>
              <w:spacing w:after="0"/>
              <w:rPr>
                <w:sz w:val="24"/>
                <w:szCs w:val="24"/>
                <w:color w:val="auto"/>
              </w:rPr>
            </w:pPr>
          </w:p>
        </w:tc>
        <w:tc>
          <w:tcPr>
            <w:tcW w:w="1340" w:type="dxa"/>
            <w:vAlign w:val="bottom"/>
          </w:tcPr>
          <w:p>
            <w:pPr>
              <w:jc w:val="right"/>
              <w:ind w:right="212"/>
              <w:spacing w:after="0"/>
              <w:rPr>
                <w:sz w:val="20"/>
                <w:szCs w:val="20"/>
                <w:color w:val="auto"/>
              </w:rPr>
            </w:pPr>
            <w:r>
              <w:rPr>
                <w:rFonts w:ascii="Arial" w:cs="Arial" w:eastAsia="Arial" w:hAnsi="Arial"/>
                <w:sz w:val="22"/>
                <w:szCs w:val="22"/>
                <w:b w:val="1"/>
                <w:bCs w:val="1"/>
                <w:color w:val="auto"/>
              </w:rPr>
              <w:t>July 29,</w:t>
            </w:r>
          </w:p>
        </w:tc>
        <w:tc>
          <w:tcPr>
            <w:tcW w:w="0" w:type="dxa"/>
            <w:vAlign w:val="bottom"/>
          </w:tcPr>
          <w:p>
            <w:pPr>
              <w:spacing w:after="0"/>
              <w:rPr>
                <w:sz w:val="1"/>
                <w:szCs w:val="1"/>
                <w:color w:val="auto"/>
              </w:rPr>
            </w:pPr>
          </w:p>
        </w:tc>
      </w:tr>
      <w:tr>
        <w:trPr>
          <w:trHeight w:val="281"/>
        </w:trPr>
        <w:tc>
          <w:tcPr>
            <w:tcW w:w="2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jc w:val="right"/>
              <w:ind w:right="332"/>
              <w:spacing w:after="0"/>
              <w:rPr>
                <w:sz w:val="20"/>
                <w:szCs w:val="20"/>
                <w:color w:val="auto"/>
              </w:rPr>
            </w:pPr>
            <w:r>
              <w:rPr>
                <w:rFonts w:ascii="Arial" w:cs="Arial" w:eastAsia="Arial" w:hAnsi="Arial"/>
                <w:sz w:val="22"/>
                <w:szCs w:val="22"/>
                <w:b w:val="1"/>
                <w:bCs w:val="1"/>
                <w:color w:val="auto"/>
              </w:rPr>
              <w:t>2008</w:t>
            </w:r>
          </w:p>
        </w:tc>
        <w:tc>
          <w:tcPr>
            <w:tcW w:w="1720" w:type="dxa"/>
            <w:vAlign w:val="bottom"/>
            <w:gridSpan w:val="2"/>
          </w:tcPr>
          <w:p>
            <w:pPr>
              <w:jc w:val="right"/>
              <w:ind w:right="492"/>
              <w:spacing w:after="0"/>
              <w:rPr>
                <w:sz w:val="20"/>
                <w:szCs w:val="20"/>
                <w:color w:val="auto"/>
              </w:rPr>
            </w:pPr>
            <w:r>
              <w:rPr>
                <w:rFonts w:ascii="Arial" w:cs="Arial" w:eastAsia="Arial" w:hAnsi="Arial"/>
                <w:sz w:val="22"/>
                <w:szCs w:val="22"/>
                <w:b w:val="1"/>
                <w:bCs w:val="1"/>
                <w:color w:val="auto"/>
              </w:rPr>
              <w:t>2007</w:t>
            </w:r>
          </w:p>
        </w:tc>
        <w:tc>
          <w:tcPr>
            <w:tcW w:w="1400" w:type="dxa"/>
            <w:vAlign w:val="bottom"/>
            <w:gridSpan w:val="2"/>
          </w:tcPr>
          <w:p>
            <w:pPr>
              <w:jc w:val="right"/>
              <w:ind w:right="332"/>
              <w:spacing w:after="0"/>
              <w:rPr>
                <w:sz w:val="20"/>
                <w:szCs w:val="20"/>
                <w:color w:val="auto"/>
              </w:rPr>
            </w:pPr>
            <w:r>
              <w:rPr>
                <w:rFonts w:ascii="Arial" w:cs="Arial" w:eastAsia="Arial" w:hAnsi="Arial"/>
                <w:sz w:val="22"/>
                <w:szCs w:val="22"/>
                <w:b w:val="1"/>
                <w:bCs w:val="1"/>
                <w:color w:val="auto"/>
              </w:rPr>
              <w:t>2008</w:t>
            </w:r>
          </w:p>
        </w:tc>
        <w:tc>
          <w:tcPr>
            <w:tcW w:w="1460" w:type="dxa"/>
            <w:vAlign w:val="bottom"/>
            <w:gridSpan w:val="2"/>
          </w:tcPr>
          <w:p>
            <w:pPr>
              <w:jc w:val="right"/>
              <w:ind w:right="352"/>
              <w:spacing w:after="0"/>
              <w:rPr>
                <w:sz w:val="20"/>
                <w:szCs w:val="20"/>
                <w:color w:val="auto"/>
              </w:rPr>
            </w:pPr>
            <w:r>
              <w:rPr>
                <w:rFonts w:ascii="Arial" w:cs="Arial" w:eastAsia="Arial" w:hAnsi="Arial"/>
                <w:sz w:val="22"/>
                <w:szCs w:val="22"/>
                <w:b w:val="1"/>
                <w:bCs w:val="1"/>
                <w:color w:val="auto"/>
              </w:rPr>
              <w:t>2007</w:t>
            </w:r>
          </w:p>
        </w:tc>
        <w:tc>
          <w:tcPr>
            <w:tcW w:w="0" w:type="dxa"/>
            <w:vAlign w:val="bottom"/>
          </w:tcPr>
          <w:p>
            <w:pPr>
              <w:spacing w:after="0"/>
              <w:rPr>
                <w:sz w:val="1"/>
                <w:szCs w:val="1"/>
                <w:color w:val="auto"/>
              </w:rPr>
            </w:pPr>
          </w:p>
        </w:tc>
      </w:tr>
      <w:tr>
        <w:trPr>
          <w:trHeight w:val="98"/>
        </w:trPr>
        <w:tc>
          <w:tcPr>
            <w:tcW w:w="2300" w:type="dxa"/>
            <w:vAlign w:val="bottom"/>
            <w:gridSpan w:val="2"/>
            <w:vMerge w:val="restart"/>
          </w:tcPr>
          <w:p>
            <w:pPr>
              <w:spacing w:after="0"/>
              <w:rPr>
                <w:sz w:val="20"/>
                <w:szCs w:val="20"/>
                <w:color w:val="auto"/>
              </w:rPr>
            </w:pPr>
            <w:r>
              <w:rPr>
                <w:rFonts w:ascii="Arial" w:cs="Arial" w:eastAsia="Arial" w:hAnsi="Arial"/>
                <w:sz w:val="22"/>
                <w:szCs w:val="22"/>
                <w:b w:val="1"/>
                <w:bCs w:val="1"/>
                <w:color w:val="auto"/>
              </w:rPr>
              <w:t>Net sales</w:t>
            </w:r>
          </w:p>
        </w:tc>
        <w:tc>
          <w:tcPr>
            <w:tcW w:w="12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37"/>
        </w:trPr>
        <w:tc>
          <w:tcPr>
            <w:tcW w:w="2300" w:type="dxa"/>
            <w:vAlign w:val="bottom"/>
            <w:gridSpan w:val="2"/>
            <w:vMerge w:val="continue"/>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300" w:type="dxa"/>
            <w:vAlign w:val="bottom"/>
            <w:gridSpan w:val="2"/>
          </w:tcPr>
          <w:p>
            <w:pPr>
              <w:spacing w:after="0" w:line="243" w:lineRule="exact"/>
              <w:rPr>
                <w:sz w:val="20"/>
                <w:szCs w:val="20"/>
                <w:color w:val="auto"/>
              </w:rPr>
            </w:pPr>
            <w:r>
              <w:rPr>
                <w:rFonts w:ascii="Arial" w:cs="Arial" w:eastAsia="Arial" w:hAnsi="Arial"/>
                <w:sz w:val="22"/>
                <w:szCs w:val="22"/>
                <w:color w:val="auto"/>
              </w:rPr>
              <w:t>Asia</w:t>
            </w:r>
          </w:p>
        </w:tc>
        <w:tc>
          <w:tcPr>
            <w:tcW w:w="1260" w:type="dxa"/>
            <w:vAlign w:val="bottom"/>
          </w:tcPr>
          <w:p>
            <w:pPr>
              <w:jc w:val="right"/>
              <w:spacing w:after="0" w:line="243" w:lineRule="exact"/>
              <w:rPr>
                <w:sz w:val="20"/>
                <w:szCs w:val="20"/>
                <w:color w:val="auto"/>
              </w:rPr>
            </w:pPr>
            <w:r>
              <w:rPr>
                <w:rFonts w:ascii="Arial" w:cs="Arial" w:eastAsia="Arial" w:hAnsi="Arial"/>
                <w:sz w:val="22"/>
                <w:szCs w:val="22"/>
                <w:color w:val="auto"/>
              </w:rPr>
              <w:t>$ 66,647</w:t>
            </w:r>
          </w:p>
        </w:tc>
        <w:tc>
          <w:tcPr>
            <w:tcW w:w="17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$ 60,469</w:t>
            </w:r>
          </w:p>
        </w:tc>
        <w:tc>
          <w:tcPr>
            <w:tcW w:w="14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$196,684</w:t>
            </w:r>
          </w:p>
        </w:tc>
        <w:tc>
          <w:tcPr>
            <w:tcW w:w="14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$183,074</w:t>
            </w:r>
          </w:p>
        </w:tc>
        <w:tc>
          <w:tcPr>
            <w:tcW w:w="0" w:type="dxa"/>
            <w:vAlign w:val="bottom"/>
          </w:tcPr>
          <w:p>
            <w:pPr>
              <w:spacing w:after="0"/>
              <w:rPr>
                <w:sz w:val="1"/>
                <w:szCs w:val="1"/>
                <w:color w:val="auto"/>
              </w:rPr>
            </w:pPr>
          </w:p>
        </w:tc>
      </w:tr>
      <w:tr>
        <w:trPr>
          <w:trHeight w:val="243"/>
        </w:trPr>
        <w:tc>
          <w:tcPr>
            <w:tcW w:w="2300" w:type="dxa"/>
            <w:vAlign w:val="bottom"/>
            <w:gridSpan w:val="2"/>
          </w:tcPr>
          <w:p>
            <w:pPr>
              <w:spacing w:after="0" w:line="243" w:lineRule="exact"/>
              <w:rPr>
                <w:sz w:val="20"/>
                <w:szCs w:val="20"/>
                <w:color w:val="auto"/>
              </w:rPr>
            </w:pPr>
            <w:r>
              <w:rPr>
                <w:rFonts w:ascii="Arial" w:cs="Arial" w:eastAsia="Arial" w:hAnsi="Arial"/>
                <w:sz w:val="22"/>
                <w:szCs w:val="22"/>
                <w:color w:val="auto"/>
              </w:rPr>
              <w:t>Europe</w:t>
            </w:r>
          </w:p>
        </w:tc>
        <w:tc>
          <w:tcPr>
            <w:tcW w:w="1260" w:type="dxa"/>
            <w:vAlign w:val="bottom"/>
          </w:tcPr>
          <w:p>
            <w:pPr>
              <w:jc w:val="right"/>
              <w:spacing w:after="0" w:line="243" w:lineRule="exact"/>
              <w:rPr>
                <w:sz w:val="20"/>
                <w:szCs w:val="20"/>
                <w:color w:val="auto"/>
              </w:rPr>
            </w:pPr>
            <w:r>
              <w:rPr>
                <w:rFonts w:ascii="Arial" w:cs="Arial" w:eastAsia="Arial" w:hAnsi="Arial"/>
                <w:sz w:val="22"/>
                <w:szCs w:val="22"/>
                <w:color w:val="auto"/>
              </w:rPr>
              <w:t>15,681</w:t>
            </w:r>
          </w:p>
        </w:tc>
        <w:tc>
          <w:tcPr>
            <w:tcW w:w="17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16,849</w:t>
            </w:r>
          </w:p>
        </w:tc>
        <w:tc>
          <w:tcPr>
            <w:tcW w:w="14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51,447</w:t>
            </w:r>
          </w:p>
        </w:tc>
        <w:tc>
          <w:tcPr>
            <w:tcW w:w="14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55,338</w:t>
            </w:r>
          </w:p>
        </w:tc>
        <w:tc>
          <w:tcPr>
            <w:tcW w:w="0" w:type="dxa"/>
            <w:vAlign w:val="bottom"/>
          </w:tcPr>
          <w:p>
            <w:pPr>
              <w:spacing w:after="0"/>
              <w:rPr>
                <w:sz w:val="1"/>
                <w:szCs w:val="1"/>
                <w:color w:val="auto"/>
              </w:rPr>
            </w:pPr>
          </w:p>
        </w:tc>
      </w:tr>
      <w:tr>
        <w:trPr>
          <w:trHeight w:val="275"/>
        </w:trPr>
        <w:tc>
          <w:tcPr>
            <w:tcW w:w="2300" w:type="dxa"/>
            <w:vAlign w:val="bottom"/>
            <w:gridSpan w:val="2"/>
          </w:tcPr>
          <w:p>
            <w:pPr>
              <w:spacing w:after="0"/>
              <w:rPr>
                <w:sz w:val="20"/>
                <w:szCs w:val="20"/>
                <w:color w:val="auto"/>
              </w:rPr>
            </w:pPr>
            <w:r>
              <w:rPr>
                <w:rFonts w:ascii="Arial" w:cs="Arial" w:eastAsia="Arial" w:hAnsi="Arial"/>
                <w:sz w:val="22"/>
                <w:szCs w:val="22"/>
                <w:color w:val="auto"/>
              </w:rPr>
              <w:t>North America</w:t>
            </w:r>
          </w:p>
        </w:tc>
        <w:tc>
          <w:tcPr>
            <w:tcW w:w="1260" w:type="dxa"/>
            <w:vAlign w:val="bottom"/>
          </w:tcPr>
          <w:p>
            <w:pPr>
              <w:jc w:val="right"/>
              <w:spacing w:after="0"/>
              <w:rPr>
                <w:sz w:val="20"/>
                <w:szCs w:val="20"/>
                <w:color w:val="auto"/>
              </w:rPr>
            </w:pPr>
            <w:r>
              <w:rPr>
                <w:rFonts w:ascii="Arial" w:cs="Arial" w:eastAsia="Arial" w:hAnsi="Arial"/>
                <w:sz w:val="22"/>
                <w:szCs w:val="22"/>
                <w:color w:val="auto"/>
              </w:rPr>
              <w:t>23,369</w:t>
            </w:r>
          </w:p>
        </w:tc>
        <w:tc>
          <w:tcPr>
            <w:tcW w:w="1720" w:type="dxa"/>
            <w:vAlign w:val="bottom"/>
            <w:gridSpan w:val="2"/>
          </w:tcPr>
          <w:p>
            <w:pPr>
              <w:jc w:val="right"/>
              <w:spacing w:after="0"/>
              <w:rPr>
                <w:sz w:val="20"/>
                <w:szCs w:val="20"/>
                <w:color w:val="auto"/>
              </w:rPr>
            </w:pPr>
            <w:r>
              <w:rPr>
                <w:rFonts w:ascii="Arial" w:cs="Arial" w:eastAsia="Arial" w:hAnsi="Arial"/>
                <w:sz w:val="22"/>
                <w:szCs w:val="22"/>
                <w:color w:val="auto"/>
              </w:rPr>
              <w:t>26,983</w:t>
            </w:r>
          </w:p>
        </w:tc>
        <w:tc>
          <w:tcPr>
            <w:tcW w:w="1400" w:type="dxa"/>
            <w:vAlign w:val="bottom"/>
            <w:gridSpan w:val="2"/>
          </w:tcPr>
          <w:p>
            <w:pPr>
              <w:jc w:val="right"/>
              <w:spacing w:after="0"/>
              <w:rPr>
                <w:sz w:val="20"/>
                <w:szCs w:val="20"/>
                <w:color w:val="auto"/>
              </w:rPr>
            </w:pPr>
            <w:r>
              <w:rPr>
                <w:rFonts w:ascii="Arial" w:cs="Arial" w:eastAsia="Arial" w:hAnsi="Arial"/>
                <w:sz w:val="22"/>
                <w:szCs w:val="22"/>
                <w:color w:val="auto"/>
              </w:rPr>
              <w:t>71,111</w:t>
            </w:r>
          </w:p>
        </w:tc>
        <w:tc>
          <w:tcPr>
            <w:tcW w:w="1460" w:type="dxa"/>
            <w:vAlign w:val="bottom"/>
            <w:gridSpan w:val="2"/>
          </w:tcPr>
          <w:p>
            <w:pPr>
              <w:jc w:val="right"/>
              <w:spacing w:after="0"/>
              <w:rPr>
                <w:sz w:val="20"/>
                <w:szCs w:val="20"/>
                <w:color w:val="auto"/>
              </w:rPr>
            </w:pPr>
            <w:r>
              <w:rPr>
                <w:rFonts w:ascii="Arial" w:cs="Arial" w:eastAsia="Arial" w:hAnsi="Arial"/>
                <w:sz w:val="22"/>
                <w:szCs w:val="22"/>
                <w:color w:val="auto"/>
              </w:rPr>
              <w:t>81,496</w:t>
            </w:r>
          </w:p>
        </w:tc>
        <w:tc>
          <w:tcPr>
            <w:tcW w:w="0" w:type="dxa"/>
            <w:vAlign w:val="bottom"/>
          </w:tcPr>
          <w:p>
            <w:pPr>
              <w:spacing w:after="0"/>
              <w:rPr>
                <w:sz w:val="1"/>
                <w:szCs w:val="1"/>
                <w:color w:val="auto"/>
              </w:rPr>
            </w:pPr>
          </w:p>
        </w:tc>
      </w:tr>
      <w:tr>
        <w:trPr>
          <w:trHeight w:val="98"/>
        </w:trPr>
        <w:tc>
          <w:tcPr>
            <w:tcW w:w="2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60" w:type="dxa"/>
            <w:vAlign w:val="bottom"/>
            <w:tcBorders>
              <w:bottom w:val="single" w:sz="8" w:color="336699"/>
            </w:tcBorders>
          </w:tcPr>
          <w:p>
            <w:pPr>
              <w:spacing w:after="0"/>
              <w:rPr>
                <w:sz w:val="8"/>
                <w:szCs w:val="8"/>
                <w:color w:val="auto"/>
              </w:rPr>
            </w:pPr>
          </w:p>
        </w:tc>
        <w:tc>
          <w:tcPr>
            <w:tcW w:w="120" w:type="dxa"/>
            <w:vAlign w:val="bottom"/>
          </w:tcPr>
          <w:p>
            <w:pPr>
              <w:spacing w:after="0"/>
              <w:rPr>
                <w:sz w:val="8"/>
                <w:szCs w:val="8"/>
                <w:color w:val="auto"/>
              </w:rPr>
            </w:pPr>
          </w:p>
        </w:tc>
        <w:tc>
          <w:tcPr>
            <w:tcW w:w="1600" w:type="dxa"/>
            <w:vAlign w:val="bottom"/>
            <w:tcBorders>
              <w:bottom w:val="single" w:sz="8" w:color="336699"/>
            </w:tcBorders>
          </w:tcPr>
          <w:p>
            <w:pPr>
              <w:spacing w:after="0"/>
              <w:rPr>
                <w:sz w:val="8"/>
                <w:szCs w:val="8"/>
                <w:color w:val="auto"/>
              </w:rPr>
            </w:pPr>
          </w:p>
        </w:tc>
        <w:tc>
          <w:tcPr>
            <w:tcW w:w="120" w:type="dxa"/>
            <w:vAlign w:val="bottom"/>
          </w:tcPr>
          <w:p>
            <w:pPr>
              <w:spacing w:after="0"/>
              <w:rPr>
                <w:sz w:val="8"/>
                <w:szCs w:val="8"/>
                <w:color w:val="auto"/>
              </w:rPr>
            </w:pPr>
          </w:p>
        </w:tc>
        <w:tc>
          <w:tcPr>
            <w:tcW w:w="1280" w:type="dxa"/>
            <w:vAlign w:val="bottom"/>
            <w:tcBorders>
              <w:bottom w:val="single" w:sz="8" w:color="336699"/>
            </w:tcBorders>
          </w:tcPr>
          <w:p>
            <w:pPr>
              <w:spacing w:after="0"/>
              <w:rPr>
                <w:sz w:val="8"/>
                <w:szCs w:val="8"/>
                <w:color w:val="auto"/>
              </w:rPr>
            </w:pPr>
          </w:p>
        </w:tc>
        <w:tc>
          <w:tcPr>
            <w:tcW w:w="120" w:type="dxa"/>
            <w:vAlign w:val="bottom"/>
          </w:tcPr>
          <w:p>
            <w:pPr>
              <w:spacing w:after="0"/>
              <w:rPr>
                <w:sz w:val="8"/>
                <w:szCs w:val="8"/>
                <w:color w:val="auto"/>
              </w:rPr>
            </w:pPr>
          </w:p>
        </w:tc>
        <w:tc>
          <w:tcPr>
            <w:tcW w:w="1340" w:type="dxa"/>
            <w:vAlign w:val="bottom"/>
            <w:tcBorders>
              <w:bottom w:val="single" w:sz="8" w:color="336699"/>
            </w:tcBorders>
          </w:tcPr>
          <w:p>
            <w:pPr>
              <w:spacing w:after="0"/>
              <w:rPr>
                <w:sz w:val="8"/>
                <w:szCs w:val="8"/>
                <w:color w:val="auto"/>
              </w:rPr>
            </w:pPr>
          </w:p>
        </w:tc>
        <w:tc>
          <w:tcPr>
            <w:tcW w:w="0" w:type="dxa"/>
            <w:vAlign w:val="bottom"/>
          </w:tcPr>
          <w:p>
            <w:pPr>
              <w:spacing w:after="0"/>
              <w:rPr>
                <w:sz w:val="1"/>
                <w:szCs w:val="1"/>
                <w:color w:val="auto"/>
              </w:rPr>
            </w:pPr>
          </w:p>
        </w:tc>
      </w:tr>
      <w:tr>
        <w:trPr>
          <w:trHeight w:val="368"/>
        </w:trPr>
        <w:tc>
          <w:tcPr>
            <w:tcW w:w="2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$105,697</w:t>
            </w:r>
          </w:p>
        </w:tc>
        <w:tc>
          <w:tcPr>
            <w:tcW w:w="1720" w:type="dxa"/>
            <w:vAlign w:val="bottom"/>
            <w:gridSpan w:val="2"/>
          </w:tcPr>
          <w:p>
            <w:pPr>
              <w:jc w:val="right"/>
              <w:spacing w:after="0"/>
              <w:rPr>
                <w:sz w:val="20"/>
                <w:szCs w:val="20"/>
                <w:color w:val="auto"/>
              </w:rPr>
            </w:pPr>
            <w:r>
              <w:rPr>
                <w:rFonts w:ascii="Arial" w:cs="Arial" w:eastAsia="Arial" w:hAnsi="Arial"/>
                <w:sz w:val="22"/>
                <w:szCs w:val="22"/>
                <w:color w:val="auto"/>
              </w:rPr>
              <w:t>$104,301</w:t>
            </w:r>
          </w:p>
        </w:tc>
        <w:tc>
          <w:tcPr>
            <w:tcW w:w="1400" w:type="dxa"/>
            <w:vAlign w:val="bottom"/>
            <w:gridSpan w:val="2"/>
          </w:tcPr>
          <w:p>
            <w:pPr>
              <w:jc w:val="right"/>
              <w:spacing w:after="0"/>
              <w:rPr>
                <w:sz w:val="20"/>
                <w:szCs w:val="20"/>
                <w:color w:val="auto"/>
              </w:rPr>
            </w:pPr>
            <w:r>
              <w:rPr>
                <w:rFonts w:ascii="Arial" w:cs="Arial" w:eastAsia="Arial" w:hAnsi="Arial"/>
                <w:sz w:val="22"/>
                <w:szCs w:val="22"/>
                <w:color w:val="auto"/>
              </w:rPr>
              <w:t>$319,242</w:t>
            </w:r>
          </w:p>
        </w:tc>
        <w:tc>
          <w:tcPr>
            <w:tcW w:w="1460" w:type="dxa"/>
            <w:vAlign w:val="bottom"/>
            <w:gridSpan w:val="2"/>
          </w:tcPr>
          <w:p>
            <w:pPr>
              <w:jc w:val="right"/>
              <w:spacing w:after="0"/>
              <w:rPr>
                <w:sz w:val="20"/>
                <w:szCs w:val="20"/>
                <w:color w:val="auto"/>
              </w:rPr>
            </w:pPr>
            <w:r>
              <w:rPr>
                <w:rFonts w:ascii="Arial" w:cs="Arial" w:eastAsia="Arial" w:hAnsi="Arial"/>
                <w:sz w:val="22"/>
                <w:szCs w:val="22"/>
                <w:color w:val="auto"/>
              </w:rPr>
              <w:t>$319,908</w:t>
            </w:r>
          </w:p>
        </w:tc>
        <w:tc>
          <w:tcPr>
            <w:tcW w:w="0" w:type="dxa"/>
            <w:vAlign w:val="bottom"/>
          </w:tcPr>
          <w:p>
            <w:pPr>
              <w:spacing w:after="0"/>
              <w:rPr>
                <w:sz w:val="1"/>
                <w:szCs w:val="1"/>
                <w:color w:val="auto"/>
              </w:rPr>
            </w:pPr>
          </w:p>
        </w:tc>
      </w:tr>
      <w:tr>
        <w:trPr>
          <w:trHeight w:val="122"/>
        </w:trPr>
        <w:tc>
          <w:tcPr>
            <w:tcW w:w="228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1260" w:type="dxa"/>
            <w:vAlign w:val="bottom"/>
            <w:tcBorders>
              <w:bottom w:val="single" w:sz="8" w:color="336699"/>
            </w:tcBorders>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tcBorders>
              <w:bottom w:val="single" w:sz="8" w:color="336699"/>
            </w:tcBorders>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Borders>
              <w:bottom w:val="single" w:sz="8" w:color="336699"/>
            </w:tcBorders>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tcBorders>
              <w:bottom w:val="single" w:sz="8" w:color="336699"/>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2249805</wp:posOffset>
            </wp:positionH>
            <wp:positionV relativeFrom="paragraph">
              <wp:posOffset>-29210</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1452245</wp:posOffset>
            </wp:positionH>
            <wp:positionV relativeFrom="paragraph">
              <wp:posOffset>-29210</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-29210</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-29210</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-29210</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-29210</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-29210</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-29210</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60" w:type="dxa"/>
            <w:vAlign w:val="bottom"/>
          </w:tcPr>
          <w:p>
            <w:pPr>
              <w:jc w:val="right"/>
              <w:ind w:right="172"/>
              <w:spacing w:after="0"/>
              <w:rPr>
                <w:sz w:val="20"/>
                <w:szCs w:val="20"/>
                <w:color w:val="auto"/>
              </w:rPr>
            </w:pPr>
            <w:r>
              <w:rPr>
                <w:rFonts w:ascii="Arial" w:cs="Arial" w:eastAsia="Arial" w:hAnsi="Arial"/>
                <w:sz w:val="22"/>
                <w:szCs w:val="22"/>
                <w:b w:val="1"/>
                <w:bCs w:val="1"/>
                <w:color w:val="auto"/>
              </w:rPr>
              <w:t>July 27,</w:t>
            </w:r>
          </w:p>
        </w:tc>
        <w:tc>
          <w:tcPr>
            <w:tcW w:w="120" w:type="dxa"/>
            <w:vAlign w:val="bottom"/>
          </w:tcPr>
          <w:p>
            <w:pPr>
              <w:spacing w:after="0"/>
              <w:rPr>
                <w:sz w:val="21"/>
                <w:szCs w:val="21"/>
                <w:color w:val="auto"/>
              </w:rPr>
            </w:pPr>
          </w:p>
        </w:tc>
        <w:tc>
          <w:tcPr>
            <w:tcW w:w="1600" w:type="dxa"/>
            <w:vAlign w:val="bottom"/>
          </w:tcPr>
          <w:p>
            <w:pPr>
              <w:jc w:val="right"/>
              <w:ind w:right="172"/>
              <w:spacing w:after="0"/>
              <w:rPr>
                <w:sz w:val="20"/>
                <w:szCs w:val="20"/>
                <w:color w:val="auto"/>
              </w:rPr>
            </w:pPr>
            <w:r>
              <w:rPr>
                <w:rFonts w:ascii="Arial" w:cs="Arial" w:eastAsia="Arial" w:hAnsi="Arial"/>
                <w:sz w:val="22"/>
                <w:szCs w:val="22"/>
                <w:b w:val="1"/>
                <w:bCs w:val="1"/>
                <w:color w:val="auto"/>
              </w:rPr>
              <w:t>October 28,</w:t>
            </w:r>
          </w:p>
        </w:tc>
        <w:tc>
          <w:tcPr>
            <w:tcW w:w="0" w:type="dxa"/>
            <w:vAlign w:val="bottom"/>
          </w:tcPr>
          <w:p>
            <w:pPr>
              <w:spacing w:after="0"/>
              <w:rPr>
                <w:sz w:val="1"/>
                <w:szCs w:val="1"/>
                <w:color w:val="auto"/>
              </w:rPr>
            </w:pPr>
          </w:p>
        </w:tc>
      </w:tr>
      <w:tr>
        <w:trPr>
          <w:trHeight w:val="281"/>
        </w:trPr>
        <w:tc>
          <w:tcPr>
            <w:tcW w:w="2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jc w:val="right"/>
              <w:ind w:right="332"/>
              <w:spacing w:after="0"/>
              <w:rPr>
                <w:sz w:val="20"/>
                <w:szCs w:val="20"/>
                <w:color w:val="auto"/>
              </w:rPr>
            </w:pPr>
            <w:r>
              <w:rPr>
                <w:rFonts w:ascii="Arial" w:cs="Arial" w:eastAsia="Arial" w:hAnsi="Arial"/>
                <w:sz w:val="22"/>
                <w:szCs w:val="22"/>
                <w:b w:val="1"/>
                <w:bCs w:val="1"/>
                <w:color w:val="auto"/>
              </w:rPr>
              <w:t>2008</w:t>
            </w:r>
          </w:p>
        </w:tc>
        <w:tc>
          <w:tcPr>
            <w:tcW w:w="1720" w:type="dxa"/>
            <w:vAlign w:val="bottom"/>
            <w:gridSpan w:val="2"/>
          </w:tcPr>
          <w:p>
            <w:pPr>
              <w:jc w:val="right"/>
              <w:ind w:right="492"/>
              <w:spacing w:after="0"/>
              <w:rPr>
                <w:sz w:val="20"/>
                <w:szCs w:val="20"/>
                <w:color w:val="auto"/>
              </w:rPr>
            </w:pPr>
            <w:r>
              <w:rPr>
                <w:rFonts w:ascii="Arial" w:cs="Arial" w:eastAsia="Arial" w:hAnsi="Arial"/>
                <w:sz w:val="22"/>
                <w:szCs w:val="22"/>
                <w:b w:val="1"/>
                <w:bCs w:val="1"/>
                <w:color w:val="auto"/>
              </w:rPr>
              <w:t>2007</w:t>
            </w:r>
          </w:p>
        </w:tc>
        <w:tc>
          <w:tcPr>
            <w:tcW w:w="0" w:type="dxa"/>
            <w:vAlign w:val="bottom"/>
          </w:tcPr>
          <w:p>
            <w:pPr>
              <w:spacing w:after="0"/>
              <w:rPr>
                <w:sz w:val="1"/>
                <w:szCs w:val="1"/>
                <w:color w:val="auto"/>
              </w:rPr>
            </w:pPr>
          </w:p>
        </w:tc>
      </w:tr>
      <w:tr>
        <w:trPr>
          <w:trHeight w:val="98"/>
        </w:trPr>
        <w:tc>
          <w:tcPr>
            <w:tcW w:w="2300" w:type="dxa"/>
            <w:vAlign w:val="bottom"/>
            <w:gridSpan w:val="2"/>
            <w:vMerge w:val="restart"/>
          </w:tcPr>
          <w:p>
            <w:pPr>
              <w:spacing w:after="0"/>
              <w:rPr>
                <w:sz w:val="20"/>
                <w:szCs w:val="20"/>
                <w:color w:val="auto"/>
              </w:rPr>
            </w:pPr>
            <w:r>
              <w:rPr>
                <w:rFonts w:ascii="Arial" w:cs="Arial" w:eastAsia="Arial" w:hAnsi="Arial"/>
                <w:sz w:val="22"/>
                <w:szCs w:val="22"/>
                <w:b w:val="1"/>
                <w:bCs w:val="1"/>
                <w:color w:val="auto"/>
              </w:rPr>
              <w:t>Long-lived assets</w:t>
            </w:r>
          </w:p>
        </w:tc>
        <w:tc>
          <w:tcPr>
            <w:tcW w:w="12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37"/>
        </w:trPr>
        <w:tc>
          <w:tcPr>
            <w:tcW w:w="2300" w:type="dxa"/>
            <w:vAlign w:val="bottom"/>
            <w:gridSpan w:val="2"/>
            <w:vMerge w:val="continue"/>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300" w:type="dxa"/>
            <w:vAlign w:val="bottom"/>
            <w:gridSpan w:val="2"/>
          </w:tcPr>
          <w:p>
            <w:pPr>
              <w:spacing w:after="0" w:line="243" w:lineRule="exact"/>
              <w:rPr>
                <w:sz w:val="20"/>
                <w:szCs w:val="20"/>
                <w:color w:val="auto"/>
              </w:rPr>
            </w:pPr>
            <w:r>
              <w:rPr>
                <w:rFonts w:ascii="Arial" w:cs="Arial" w:eastAsia="Arial" w:hAnsi="Arial"/>
                <w:sz w:val="22"/>
                <w:szCs w:val="22"/>
                <w:color w:val="auto"/>
              </w:rPr>
              <w:t>Asia</w:t>
            </w:r>
          </w:p>
        </w:tc>
        <w:tc>
          <w:tcPr>
            <w:tcW w:w="1260" w:type="dxa"/>
            <w:vAlign w:val="bottom"/>
          </w:tcPr>
          <w:p>
            <w:pPr>
              <w:jc w:val="right"/>
              <w:spacing w:after="0" w:line="243" w:lineRule="exact"/>
              <w:rPr>
                <w:sz w:val="20"/>
                <w:szCs w:val="20"/>
                <w:color w:val="auto"/>
              </w:rPr>
            </w:pPr>
            <w:r>
              <w:rPr>
                <w:rFonts w:ascii="Arial" w:cs="Arial" w:eastAsia="Arial" w:hAnsi="Arial"/>
                <w:sz w:val="22"/>
                <w:szCs w:val="22"/>
                <w:color w:val="auto"/>
              </w:rPr>
              <w:t>$280,772</w:t>
            </w:r>
          </w:p>
        </w:tc>
        <w:tc>
          <w:tcPr>
            <w:tcW w:w="17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$329,619</w:t>
            </w:r>
          </w:p>
        </w:tc>
        <w:tc>
          <w:tcPr>
            <w:tcW w:w="0" w:type="dxa"/>
            <w:vAlign w:val="bottom"/>
          </w:tcPr>
          <w:p>
            <w:pPr>
              <w:spacing w:after="0"/>
              <w:rPr>
                <w:sz w:val="1"/>
                <w:szCs w:val="1"/>
                <w:color w:val="auto"/>
              </w:rPr>
            </w:pPr>
          </w:p>
        </w:tc>
      </w:tr>
      <w:tr>
        <w:trPr>
          <w:trHeight w:val="243"/>
        </w:trPr>
        <w:tc>
          <w:tcPr>
            <w:tcW w:w="2300" w:type="dxa"/>
            <w:vAlign w:val="bottom"/>
            <w:gridSpan w:val="2"/>
          </w:tcPr>
          <w:p>
            <w:pPr>
              <w:spacing w:after="0" w:line="243" w:lineRule="exact"/>
              <w:rPr>
                <w:sz w:val="20"/>
                <w:szCs w:val="20"/>
                <w:color w:val="auto"/>
              </w:rPr>
            </w:pPr>
            <w:r>
              <w:rPr>
                <w:rFonts w:ascii="Arial" w:cs="Arial" w:eastAsia="Arial" w:hAnsi="Arial"/>
                <w:sz w:val="22"/>
                <w:szCs w:val="22"/>
                <w:color w:val="auto"/>
              </w:rPr>
              <w:t>Europe</w:t>
            </w:r>
          </w:p>
        </w:tc>
        <w:tc>
          <w:tcPr>
            <w:tcW w:w="1260" w:type="dxa"/>
            <w:vAlign w:val="bottom"/>
          </w:tcPr>
          <w:p>
            <w:pPr>
              <w:jc w:val="right"/>
              <w:spacing w:after="0" w:line="243" w:lineRule="exact"/>
              <w:rPr>
                <w:sz w:val="20"/>
                <w:szCs w:val="20"/>
                <w:color w:val="auto"/>
              </w:rPr>
            </w:pPr>
            <w:r>
              <w:rPr>
                <w:rFonts w:ascii="Arial" w:cs="Arial" w:eastAsia="Arial" w:hAnsi="Arial"/>
                <w:sz w:val="22"/>
                <w:szCs w:val="22"/>
                <w:color w:val="auto"/>
              </w:rPr>
              <w:t>19,309</w:t>
            </w:r>
          </w:p>
        </w:tc>
        <w:tc>
          <w:tcPr>
            <w:tcW w:w="17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67,084</w:t>
            </w:r>
          </w:p>
        </w:tc>
        <w:tc>
          <w:tcPr>
            <w:tcW w:w="0" w:type="dxa"/>
            <w:vAlign w:val="bottom"/>
          </w:tcPr>
          <w:p>
            <w:pPr>
              <w:spacing w:after="0"/>
              <w:rPr>
                <w:sz w:val="1"/>
                <w:szCs w:val="1"/>
                <w:color w:val="auto"/>
              </w:rPr>
            </w:pPr>
          </w:p>
        </w:tc>
      </w:tr>
      <w:tr>
        <w:trPr>
          <w:trHeight w:val="275"/>
        </w:trPr>
        <w:tc>
          <w:tcPr>
            <w:tcW w:w="2300" w:type="dxa"/>
            <w:vAlign w:val="bottom"/>
            <w:gridSpan w:val="2"/>
          </w:tcPr>
          <w:p>
            <w:pPr>
              <w:spacing w:after="0"/>
              <w:rPr>
                <w:sz w:val="20"/>
                <w:szCs w:val="20"/>
                <w:color w:val="auto"/>
              </w:rPr>
            </w:pPr>
            <w:r>
              <w:rPr>
                <w:rFonts w:ascii="Arial" w:cs="Arial" w:eastAsia="Arial" w:hAnsi="Arial"/>
                <w:sz w:val="22"/>
                <w:szCs w:val="22"/>
                <w:color w:val="auto"/>
              </w:rPr>
              <w:t>North America</w:t>
            </w:r>
          </w:p>
        </w:tc>
        <w:tc>
          <w:tcPr>
            <w:tcW w:w="1260" w:type="dxa"/>
            <w:vAlign w:val="bottom"/>
          </w:tcPr>
          <w:p>
            <w:pPr>
              <w:jc w:val="right"/>
              <w:spacing w:after="0"/>
              <w:rPr>
                <w:sz w:val="20"/>
                <w:szCs w:val="20"/>
                <w:color w:val="auto"/>
              </w:rPr>
            </w:pPr>
            <w:r>
              <w:rPr>
                <w:rFonts w:ascii="Arial" w:cs="Arial" w:eastAsia="Arial" w:hAnsi="Arial"/>
                <w:sz w:val="22"/>
                <w:szCs w:val="22"/>
                <w:color w:val="auto"/>
              </w:rPr>
              <w:t>200,322</w:t>
            </w:r>
          </w:p>
        </w:tc>
        <w:tc>
          <w:tcPr>
            <w:tcW w:w="1720" w:type="dxa"/>
            <w:vAlign w:val="bottom"/>
            <w:gridSpan w:val="2"/>
          </w:tcPr>
          <w:p>
            <w:pPr>
              <w:jc w:val="right"/>
              <w:spacing w:after="0"/>
              <w:rPr>
                <w:sz w:val="20"/>
                <w:szCs w:val="20"/>
                <w:color w:val="auto"/>
              </w:rPr>
            </w:pPr>
            <w:r>
              <w:rPr>
                <w:rFonts w:ascii="Arial" w:cs="Arial" w:eastAsia="Arial" w:hAnsi="Arial"/>
                <w:sz w:val="22"/>
                <w:szCs w:val="22"/>
                <w:color w:val="auto"/>
              </w:rPr>
              <w:t>134,875</w:t>
            </w:r>
          </w:p>
        </w:tc>
        <w:tc>
          <w:tcPr>
            <w:tcW w:w="0" w:type="dxa"/>
            <w:vAlign w:val="bottom"/>
          </w:tcPr>
          <w:p>
            <w:pPr>
              <w:spacing w:after="0"/>
              <w:rPr>
                <w:sz w:val="1"/>
                <w:szCs w:val="1"/>
                <w:color w:val="auto"/>
              </w:rPr>
            </w:pPr>
          </w:p>
        </w:tc>
      </w:tr>
      <w:tr>
        <w:trPr>
          <w:trHeight w:val="98"/>
        </w:trPr>
        <w:tc>
          <w:tcPr>
            <w:tcW w:w="2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60" w:type="dxa"/>
            <w:vAlign w:val="bottom"/>
            <w:tcBorders>
              <w:bottom w:val="single" w:sz="8" w:color="336699"/>
            </w:tcBorders>
          </w:tcPr>
          <w:p>
            <w:pPr>
              <w:spacing w:after="0"/>
              <w:rPr>
                <w:sz w:val="8"/>
                <w:szCs w:val="8"/>
                <w:color w:val="auto"/>
              </w:rPr>
            </w:pPr>
          </w:p>
        </w:tc>
        <w:tc>
          <w:tcPr>
            <w:tcW w:w="120" w:type="dxa"/>
            <w:vAlign w:val="bottom"/>
          </w:tcPr>
          <w:p>
            <w:pPr>
              <w:spacing w:after="0"/>
              <w:rPr>
                <w:sz w:val="8"/>
                <w:szCs w:val="8"/>
                <w:color w:val="auto"/>
              </w:rPr>
            </w:pPr>
          </w:p>
        </w:tc>
        <w:tc>
          <w:tcPr>
            <w:tcW w:w="1600" w:type="dxa"/>
            <w:vAlign w:val="bottom"/>
            <w:tcBorders>
              <w:bottom w:val="single" w:sz="8" w:color="336699"/>
            </w:tcBorders>
          </w:tcPr>
          <w:p>
            <w:pPr>
              <w:spacing w:after="0"/>
              <w:rPr>
                <w:sz w:val="8"/>
                <w:szCs w:val="8"/>
                <w:color w:val="auto"/>
              </w:rPr>
            </w:pPr>
          </w:p>
        </w:tc>
        <w:tc>
          <w:tcPr>
            <w:tcW w:w="0" w:type="dxa"/>
            <w:vAlign w:val="bottom"/>
          </w:tcPr>
          <w:p>
            <w:pPr>
              <w:spacing w:after="0"/>
              <w:rPr>
                <w:sz w:val="1"/>
                <w:szCs w:val="1"/>
                <w:color w:val="auto"/>
              </w:rPr>
            </w:pPr>
          </w:p>
        </w:tc>
      </w:tr>
      <w:tr>
        <w:trPr>
          <w:trHeight w:val="368"/>
        </w:trPr>
        <w:tc>
          <w:tcPr>
            <w:tcW w:w="2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$500,403</w:t>
            </w:r>
          </w:p>
        </w:tc>
        <w:tc>
          <w:tcPr>
            <w:tcW w:w="1720" w:type="dxa"/>
            <w:vAlign w:val="bottom"/>
            <w:gridSpan w:val="2"/>
          </w:tcPr>
          <w:p>
            <w:pPr>
              <w:jc w:val="right"/>
              <w:spacing w:after="0"/>
              <w:rPr>
                <w:sz w:val="20"/>
                <w:szCs w:val="20"/>
                <w:color w:val="auto"/>
              </w:rPr>
            </w:pPr>
            <w:r>
              <w:rPr>
                <w:rFonts w:ascii="Arial" w:cs="Arial" w:eastAsia="Arial" w:hAnsi="Arial"/>
                <w:sz w:val="22"/>
                <w:szCs w:val="22"/>
                <w:color w:val="auto"/>
              </w:rPr>
              <w:t>$531,578</w:t>
            </w:r>
          </w:p>
        </w:tc>
        <w:tc>
          <w:tcPr>
            <w:tcW w:w="0" w:type="dxa"/>
            <w:vAlign w:val="bottom"/>
          </w:tcPr>
          <w:p>
            <w:pPr>
              <w:spacing w:after="0"/>
              <w:rPr>
                <w:sz w:val="1"/>
                <w:szCs w:val="1"/>
                <w:color w:val="auto"/>
              </w:rPr>
            </w:pPr>
          </w:p>
        </w:tc>
      </w:tr>
      <w:tr>
        <w:trPr>
          <w:trHeight w:val="122"/>
        </w:trPr>
        <w:tc>
          <w:tcPr>
            <w:tcW w:w="228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1260" w:type="dxa"/>
            <w:vAlign w:val="bottom"/>
            <w:tcBorders>
              <w:bottom w:val="single" w:sz="8" w:color="336699"/>
            </w:tcBorders>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tcBorders>
              <w:bottom w:val="single" w:sz="8" w:color="336699"/>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2249805</wp:posOffset>
            </wp:positionH>
            <wp:positionV relativeFrom="paragraph">
              <wp:posOffset>-29210</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1452245</wp:posOffset>
            </wp:positionH>
            <wp:positionV relativeFrom="paragraph">
              <wp:posOffset>-29210</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-29210</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-29210</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100" w:firstLine="266"/>
        <w:spacing w:after="0" w:line="251" w:lineRule="auto"/>
        <w:rPr>
          <w:sz w:val="20"/>
          <w:szCs w:val="20"/>
          <w:color w:val="auto"/>
        </w:rPr>
      </w:pPr>
      <w:r>
        <w:rPr>
          <w:rFonts w:ascii="Arial" w:cs="Arial" w:eastAsia="Arial" w:hAnsi="Arial"/>
          <w:sz w:val="22"/>
          <w:szCs w:val="22"/>
          <w:color w:val="auto"/>
        </w:rPr>
        <w:t>The Company is typically impacted during its first fiscal quarter by the North American and European holiday periods as some customers reduce their effective workdays and orders during this period.</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INCOME TAXES</w:t>
      </w:r>
    </w:p>
    <w:p>
      <w:pPr>
        <w:sectPr>
          <w:pgSz w:w="11900" w:h="16838" w:orient="portrait"/>
          <w:cols w:equalWidth="0" w:num="1">
            <w:col w:w="11360"/>
          </w:cols>
          <w:pgMar w:left="240" w:top="111" w:right="299" w:bottom="161" w:gutter="0" w:footer="0" w:header="0"/>
        </w:sectPr>
      </w:pPr>
    </w:p>
    <w:bookmarkStart w:id="10" w:name="page11"/>
    <w:bookmarkEnd w:id="10"/>
    <w:p>
      <w:pPr>
        <w:ind w:right="20" w:firstLine="266"/>
        <w:spacing w:after="0" w:line="282" w:lineRule="auto"/>
        <w:rPr>
          <w:sz w:val="20"/>
          <w:szCs w:val="20"/>
          <w:color w:val="auto"/>
        </w:rPr>
      </w:pPr>
      <w:r>
        <w:rPr>
          <w:rFonts w:ascii="Arial" w:cs="Arial" w:eastAsia="Arial" w:hAnsi="Arial"/>
          <w:sz w:val="19"/>
          <w:szCs w:val="19"/>
          <w:color w:val="auto"/>
        </w:rPr>
        <w:t>The income tax benefit for the three and nine months ended July 27, 2008 differs from the amount computed by applying the U.S. statutory rate of 35% to the income before taxes, primarily due to tax benefits related to the impairments of goodwill and long-lived assets (see Note 2). The income tax benefit (provision) for the three and nine months ended July 29, 2007 differs from the amount computed by applying the U.S. statutory rate of 35% to income before taxes, primarily due to the benefit recorded for the resolution and settlement of U.S. and foreign tax matters that were associated with uncertain tax positions in prior years.</w:t>
      </w:r>
    </w:p>
    <w:p>
      <w:pPr>
        <w:spacing w:after="0" w:line="148" w:lineRule="exact"/>
        <w:rPr>
          <w:sz w:val="20"/>
          <w:szCs w:val="20"/>
          <w:color w:val="auto"/>
        </w:rPr>
      </w:pPr>
    </w:p>
    <w:p>
      <w:pPr>
        <w:ind w:right="180" w:firstLine="266"/>
        <w:spacing w:after="0" w:line="235" w:lineRule="auto"/>
        <w:rPr>
          <w:sz w:val="20"/>
          <w:szCs w:val="20"/>
          <w:color w:val="auto"/>
        </w:rPr>
      </w:pPr>
      <w:r>
        <w:rPr>
          <w:rFonts w:ascii="Arial" w:cs="Arial" w:eastAsia="Arial" w:hAnsi="Arial"/>
          <w:sz w:val="22"/>
          <w:szCs w:val="22"/>
          <w:color w:val="auto"/>
        </w:rPr>
        <w:t>The Company's operations have followed the migration of semiconductor industry fabrication to Asia, where the Company operates in countries where it is accorded favorable tax treatment. PKLT, the Company's FPD manufacturing facility in Taiwan, is accorded a tax holiday, which is expected to expire in 2012. In addition, the Company has been accorded a tax holiday in China which is expected to expire in 2011. These tax holidays had no dollar or per share effect in the three and nine months ended July 27, 2008 and July 29, 2007. In Korea and Taiwan, various investment tax credits have been utilized to reduce the Company's effective income tax rate.</w:t>
      </w:r>
    </w:p>
    <w:p>
      <w:pPr>
        <w:spacing w:after="0" w:line="188" w:lineRule="exact"/>
        <w:rPr>
          <w:sz w:val="20"/>
          <w:szCs w:val="20"/>
          <w:color w:val="auto"/>
        </w:rPr>
      </w:pPr>
    </w:p>
    <w:p>
      <w:pPr>
        <w:ind w:right="80" w:firstLine="270"/>
        <w:spacing w:after="0" w:line="244" w:lineRule="auto"/>
        <w:rPr>
          <w:sz w:val="20"/>
          <w:szCs w:val="20"/>
          <w:color w:val="auto"/>
        </w:rPr>
      </w:pPr>
      <w:r>
        <w:rPr>
          <w:rFonts w:ascii="Arial" w:cs="Arial" w:eastAsia="Arial" w:hAnsi="Arial"/>
          <w:sz w:val="21"/>
          <w:szCs w:val="21"/>
          <w:color w:val="auto"/>
        </w:rPr>
        <w:t>In June 2006, the FASB issued FASB Interpretation Number 48 ("FIN 48"), "Accounting for Uncertainty in Income Taxes - an Interpretation of FASB Statement No. 109" ("SFAS 109"). The interpretation contains a two-step approach to recognizing and measuring uncertain tax positions accounted for in accordance with SFAS 109. The first step is to evaluate the tax position for recognition by determining if the weight of available evidence indicates it is more likely than not that the position will be sustained on audit, including resolution of related appeals or litigation processes, if any. The second step is to measure the tax benefit as the largest amount that is more than 50% likely of being realized upon ultimate settlement. The Company adopted FIN 48 as of the beginning of its 2008 fiscal year. Prior to adoption, the Company's pre-existing policy was to establish reserves, including interest and penalties, for uncertain tax positions that reflected the probable outcome of known tax contingencies. As of the date of adoption of FIN 48, the Company has elected to recognize interest, and penalties if applicable, related to uncertain tax positions in the income tax provision in its condensed consolidated statements of operations. As compared to the Company's historical approach, the application of FIN 48 resulted in a net increase to accrued income taxes payable of approximately $1.0 million (including interest and penalties of approximately $0.2 million), and a decrease to retained earnings of the same amount. There were no</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140"/>
        <w:spacing w:after="0" w:line="251" w:lineRule="auto"/>
        <w:rPr>
          <w:sz w:val="20"/>
          <w:szCs w:val="20"/>
          <w:color w:val="auto"/>
        </w:rPr>
      </w:pPr>
      <w:r>
        <w:rPr>
          <w:rFonts w:ascii="Arial" w:cs="Arial" w:eastAsia="Arial" w:hAnsi="Arial"/>
          <w:sz w:val="22"/>
          <w:szCs w:val="22"/>
          <w:color w:val="auto"/>
        </w:rPr>
        <w:t>significant changes to the liability for uncertain tax positions (or accrued interest and penalties) during the nine months ended July 27, 2008.</w:t>
      </w:r>
    </w:p>
    <w:p>
      <w:pPr>
        <w:spacing w:after="0" w:line="173" w:lineRule="exact"/>
        <w:rPr>
          <w:sz w:val="20"/>
          <w:szCs w:val="20"/>
          <w:color w:val="auto"/>
        </w:rPr>
      </w:pPr>
    </w:p>
    <w:p>
      <w:pPr>
        <w:ind w:firstLine="258"/>
        <w:spacing w:after="0"/>
        <w:rPr>
          <w:sz w:val="20"/>
          <w:szCs w:val="20"/>
          <w:color w:val="auto"/>
        </w:rPr>
      </w:pPr>
      <w:r>
        <w:rPr>
          <w:rFonts w:ascii="Arial" w:cs="Arial" w:eastAsia="Arial" w:hAnsi="Arial"/>
          <w:sz w:val="22"/>
          <w:szCs w:val="22"/>
          <w:color w:val="auto"/>
        </w:rPr>
        <w:t>As of the date of adoption of FIN 48 the gross unrecognized tax benefits for income taxes associated with uncertain tax positions totaled approximately $3.5 million. If recognized, the benefits would favorably affect the Company's effective rate in future periods.</w:t>
      </w:r>
    </w:p>
    <w:p>
      <w:pPr>
        <w:spacing w:after="0" w:line="186" w:lineRule="exact"/>
        <w:rPr>
          <w:sz w:val="20"/>
          <w:szCs w:val="20"/>
          <w:color w:val="auto"/>
        </w:rPr>
      </w:pPr>
    </w:p>
    <w:p>
      <w:pPr>
        <w:ind w:right="160" w:firstLine="270"/>
        <w:spacing w:after="0" w:line="238" w:lineRule="auto"/>
        <w:rPr>
          <w:sz w:val="20"/>
          <w:szCs w:val="20"/>
          <w:color w:val="auto"/>
        </w:rPr>
      </w:pPr>
      <w:r>
        <w:rPr>
          <w:rFonts w:ascii="Arial" w:cs="Arial" w:eastAsia="Arial" w:hAnsi="Arial"/>
          <w:sz w:val="22"/>
          <w:szCs w:val="22"/>
          <w:color w:val="auto"/>
        </w:rPr>
        <w:t>It is possible that material changes to the gross unrecognized tax benefits may be required during fiscal year 2008. These changes relate to possible settlements in the U.K. and Germany during fiscal year 2008. Though the Company expects these items may result in a net reduction of its unrecognized tax benefits, an estimate of the expected reduction and related income tax benefit cannot be made at this time.</w:t>
      </w:r>
    </w:p>
    <w:p>
      <w:pPr>
        <w:spacing w:after="0" w:line="185" w:lineRule="exact"/>
        <w:rPr>
          <w:sz w:val="20"/>
          <w:szCs w:val="20"/>
          <w:color w:val="auto"/>
        </w:rPr>
      </w:pPr>
    </w:p>
    <w:p>
      <w:pPr>
        <w:ind w:right="60" w:firstLine="270"/>
        <w:spacing w:after="0" w:line="251" w:lineRule="auto"/>
        <w:rPr>
          <w:sz w:val="20"/>
          <w:szCs w:val="20"/>
          <w:color w:val="auto"/>
        </w:rPr>
      </w:pPr>
      <w:r>
        <w:rPr>
          <w:rFonts w:ascii="Arial" w:cs="Arial" w:eastAsia="Arial" w:hAnsi="Arial"/>
          <w:sz w:val="22"/>
          <w:szCs w:val="22"/>
          <w:color w:val="auto"/>
        </w:rPr>
        <w:t>Currently, the statutes of limitations remain open subsequent to and including 2003 in the U.S. and Korea, 2002 in the U.K., and 2001 in Germany.</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6160" w:type="dxa"/>
            <w:vAlign w:val="bottom"/>
          </w:tcPr>
          <w:p>
            <w:pPr>
              <w:spacing w:after="0"/>
              <w:rPr>
                <w:sz w:val="20"/>
                <w:szCs w:val="20"/>
                <w:color w:val="auto"/>
              </w:rPr>
            </w:pPr>
            <w:r>
              <w:rPr>
                <w:rFonts w:ascii="Arial" w:cs="Arial" w:eastAsia="Arial" w:hAnsi="Arial"/>
                <w:sz w:val="22"/>
                <w:szCs w:val="22"/>
                <w:b w:val="1"/>
                <w:bCs w:val="1"/>
                <w:color w:val="auto"/>
              </w:rPr>
              <w:t>NOTE 8 - LONG -TERM BORROWINGS</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160" w:type="dxa"/>
            <w:vAlign w:val="bottom"/>
          </w:tcPr>
          <w:p>
            <w:pPr>
              <w:ind w:left="280"/>
              <w:spacing w:after="0"/>
              <w:rPr>
                <w:sz w:val="20"/>
                <w:szCs w:val="20"/>
                <w:color w:val="auto"/>
              </w:rPr>
            </w:pPr>
            <w:r>
              <w:rPr>
                <w:rFonts w:ascii="Arial" w:cs="Arial" w:eastAsia="Arial" w:hAnsi="Arial"/>
                <w:sz w:val="22"/>
                <w:szCs w:val="22"/>
                <w:color w:val="auto"/>
              </w:rPr>
              <w:t>Long-term borrowings consist of the following:</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6160" w:type="dxa"/>
            <w:vAlign w:val="bottom"/>
          </w:tcPr>
          <w:p>
            <w:pPr>
              <w:spacing w:after="0"/>
              <w:rPr>
                <w:sz w:val="24"/>
                <w:szCs w:val="24"/>
                <w:color w:val="auto"/>
              </w:rPr>
            </w:pPr>
          </w:p>
        </w:tc>
        <w:tc>
          <w:tcPr>
            <w:tcW w:w="920" w:type="dxa"/>
            <w:vAlign w:val="bottom"/>
          </w:tcPr>
          <w:p>
            <w:pPr>
              <w:jc w:val="right"/>
              <w:ind w:right="12"/>
              <w:spacing w:after="0"/>
              <w:rPr>
                <w:sz w:val="20"/>
                <w:szCs w:val="20"/>
                <w:color w:val="auto"/>
              </w:rPr>
            </w:pPr>
            <w:r>
              <w:rPr>
                <w:rFonts w:ascii="Arial" w:cs="Arial" w:eastAsia="Arial" w:hAnsi="Arial"/>
                <w:sz w:val="22"/>
                <w:szCs w:val="22"/>
                <w:b w:val="1"/>
                <w:bCs w:val="1"/>
                <w:color w:val="auto"/>
                <w:w w:val="96"/>
              </w:rPr>
              <w:t>July 27,</w:t>
            </w:r>
          </w:p>
        </w:tc>
        <w:tc>
          <w:tcPr>
            <w:tcW w:w="12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Arial" w:cs="Arial" w:eastAsia="Arial" w:hAnsi="Arial"/>
                <w:sz w:val="22"/>
                <w:szCs w:val="22"/>
                <w:b w:val="1"/>
                <w:bCs w:val="1"/>
                <w:color w:val="auto"/>
                <w:w w:val="90"/>
              </w:rPr>
              <w:t>October 28,</w:t>
            </w:r>
          </w:p>
        </w:tc>
        <w:tc>
          <w:tcPr>
            <w:tcW w:w="0" w:type="dxa"/>
            <w:vAlign w:val="bottom"/>
          </w:tcPr>
          <w:p>
            <w:pPr>
              <w:spacing w:after="0"/>
              <w:rPr>
                <w:sz w:val="1"/>
                <w:szCs w:val="1"/>
                <w:color w:val="auto"/>
              </w:rPr>
            </w:pPr>
          </w:p>
        </w:tc>
      </w:tr>
      <w:tr>
        <w:trPr>
          <w:trHeight w:val="281"/>
        </w:trPr>
        <w:tc>
          <w:tcPr>
            <w:tcW w:w="6160" w:type="dxa"/>
            <w:vAlign w:val="bottom"/>
          </w:tcPr>
          <w:p>
            <w:pPr>
              <w:spacing w:after="0"/>
              <w:rPr>
                <w:sz w:val="24"/>
                <w:szCs w:val="24"/>
                <w:color w:val="auto"/>
              </w:rPr>
            </w:pPr>
          </w:p>
        </w:tc>
        <w:tc>
          <w:tcPr>
            <w:tcW w:w="920" w:type="dxa"/>
            <w:vAlign w:val="bottom"/>
          </w:tcPr>
          <w:p>
            <w:pPr>
              <w:jc w:val="right"/>
              <w:ind w:right="152"/>
              <w:spacing w:after="0"/>
              <w:rPr>
                <w:sz w:val="20"/>
                <w:szCs w:val="20"/>
                <w:color w:val="auto"/>
              </w:rPr>
            </w:pPr>
            <w:r>
              <w:rPr>
                <w:rFonts w:ascii="Arial" w:cs="Arial" w:eastAsia="Arial" w:hAnsi="Arial"/>
                <w:sz w:val="22"/>
                <w:szCs w:val="22"/>
                <w:b w:val="1"/>
                <w:bCs w:val="1"/>
                <w:color w:val="auto"/>
              </w:rPr>
              <w:t>2008</w:t>
            </w:r>
          </w:p>
        </w:tc>
        <w:tc>
          <w:tcPr>
            <w:tcW w:w="1280" w:type="dxa"/>
            <w:vAlign w:val="bottom"/>
            <w:gridSpan w:val="3"/>
          </w:tcPr>
          <w:p>
            <w:pPr>
              <w:jc w:val="right"/>
              <w:ind w:right="272"/>
              <w:spacing w:after="0"/>
              <w:rPr>
                <w:sz w:val="20"/>
                <w:szCs w:val="20"/>
                <w:color w:val="auto"/>
              </w:rPr>
            </w:pPr>
            <w:r>
              <w:rPr>
                <w:rFonts w:ascii="Arial" w:cs="Arial" w:eastAsia="Arial" w:hAnsi="Arial"/>
                <w:sz w:val="22"/>
                <w:szCs w:val="22"/>
                <w:b w:val="1"/>
                <w:bCs w:val="1"/>
                <w:color w:val="auto"/>
              </w:rPr>
              <w:t>2007</w:t>
            </w:r>
          </w:p>
        </w:tc>
        <w:tc>
          <w:tcPr>
            <w:tcW w:w="0" w:type="dxa"/>
            <w:vAlign w:val="bottom"/>
          </w:tcPr>
          <w:p>
            <w:pPr>
              <w:spacing w:after="0"/>
              <w:rPr>
                <w:sz w:val="1"/>
                <w:szCs w:val="1"/>
                <w:color w:val="auto"/>
              </w:rPr>
            </w:pPr>
          </w:p>
        </w:tc>
      </w:tr>
      <w:tr>
        <w:trPr>
          <w:trHeight w:val="98"/>
        </w:trPr>
        <w:tc>
          <w:tcPr>
            <w:tcW w:w="6160" w:type="dxa"/>
            <w:vAlign w:val="bottom"/>
            <w:vMerge w:val="restart"/>
          </w:tcPr>
          <w:p>
            <w:pPr>
              <w:spacing w:after="0"/>
              <w:rPr>
                <w:sz w:val="20"/>
                <w:szCs w:val="20"/>
                <w:color w:val="auto"/>
              </w:rPr>
            </w:pPr>
            <w:r>
              <w:rPr>
                <w:rFonts w:ascii="Arial" w:cs="Arial" w:eastAsia="Arial" w:hAnsi="Arial"/>
                <w:sz w:val="22"/>
                <w:szCs w:val="22"/>
                <w:color w:val="auto"/>
              </w:rPr>
              <w:t>Borrowings under revolving credit facility, which bears interest</w:t>
            </w:r>
          </w:p>
        </w:tc>
        <w:tc>
          <w:tcPr>
            <w:tcW w:w="9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37"/>
        </w:trPr>
        <w:tc>
          <w:tcPr>
            <w:tcW w:w="616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6160" w:type="dxa"/>
            <w:vAlign w:val="bottom"/>
          </w:tcPr>
          <w:p>
            <w:pPr>
              <w:ind w:left="180"/>
              <w:spacing w:after="0"/>
              <w:rPr>
                <w:sz w:val="20"/>
                <w:szCs w:val="20"/>
                <w:color w:val="auto"/>
              </w:rPr>
            </w:pPr>
            <w:r>
              <w:rPr>
                <w:rFonts w:ascii="Arial" w:cs="Arial" w:eastAsia="Arial" w:hAnsi="Arial"/>
                <w:sz w:val="22"/>
                <w:szCs w:val="22"/>
                <w:color w:val="auto"/>
              </w:rPr>
              <w:t>at a variable rate, as defined (4.0% at July 27, 2008)</w:t>
            </w:r>
          </w:p>
        </w:tc>
        <w:tc>
          <w:tcPr>
            <w:tcW w:w="920" w:type="dxa"/>
            <w:vAlign w:val="bottom"/>
          </w:tcPr>
          <w:p>
            <w:pPr>
              <w:jc w:val="right"/>
              <w:spacing w:after="0"/>
              <w:rPr>
                <w:sz w:val="20"/>
                <w:szCs w:val="20"/>
                <w:color w:val="auto"/>
              </w:rPr>
            </w:pPr>
            <w:r>
              <w:rPr>
                <w:rFonts w:ascii="Arial" w:cs="Arial" w:eastAsia="Arial" w:hAnsi="Arial"/>
                <w:sz w:val="22"/>
                <w:szCs w:val="22"/>
                <w:color w:val="auto"/>
                <w:w w:val="89"/>
              </w:rPr>
              <w:t>$122,500</w:t>
            </w:r>
          </w:p>
        </w:tc>
        <w:tc>
          <w:tcPr>
            <w:tcW w:w="58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700" w:type="dxa"/>
            <w:vAlign w:val="bottom"/>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486"/>
        </w:trPr>
        <w:tc>
          <w:tcPr>
            <w:tcW w:w="6160" w:type="dxa"/>
            <w:vAlign w:val="bottom"/>
          </w:tcPr>
          <w:p>
            <w:pPr>
              <w:spacing w:after="0"/>
              <w:rPr>
                <w:sz w:val="20"/>
                <w:szCs w:val="20"/>
                <w:color w:val="auto"/>
              </w:rPr>
            </w:pPr>
            <w:r>
              <w:rPr>
                <w:rFonts w:ascii="Arial" w:cs="Arial" w:eastAsia="Arial" w:hAnsi="Arial"/>
                <w:sz w:val="22"/>
                <w:szCs w:val="22"/>
                <w:color w:val="auto"/>
                <w:w w:val="95"/>
              </w:rPr>
              <w:t>2.25% convertible subordinated notes redeemed on April 15, 2008</w:t>
            </w:r>
          </w:p>
        </w:tc>
        <w:tc>
          <w:tcPr>
            <w:tcW w:w="920" w:type="dxa"/>
            <w:vAlign w:val="bottom"/>
          </w:tcPr>
          <w:p>
            <w:pPr>
              <w:jc w:val="right"/>
              <w:spacing w:after="0"/>
              <w:rPr>
                <w:sz w:val="20"/>
                <w:szCs w:val="20"/>
                <w:color w:val="auto"/>
              </w:rPr>
            </w:pPr>
            <w:r>
              <w:rPr>
                <w:rFonts w:ascii="Arial" w:cs="Arial" w:eastAsia="Arial" w:hAnsi="Arial"/>
                <w:sz w:val="22"/>
                <w:szCs w:val="22"/>
                <w:color w:val="auto"/>
              </w:rPr>
              <w:t>-</w:t>
            </w:r>
          </w:p>
        </w:tc>
        <w:tc>
          <w:tcPr>
            <w:tcW w:w="1280" w:type="dxa"/>
            <w:vAlign w:val="bottom"/>
            <w:gridSpan w:val="3"/>
          </w:tcPr>
          <w:p>
            <w:pPr>
              <w:jc w:val="right"/>
              <w:spacing w:after="0"/>
              <w:rPr>
                <w:sz w:val="20"/>
                <w:szCs w:val="20"/>
                <w:color w:val="auto"/>
              </w:rPr>
            </w:pPr>
            <w:r>
              <w:rPr>
                <w:rFonts w:ascii="Arial" w:cs="Arial" w:eastAsia="Arial" w:hAnsi="Arial"/>
                <w:sz w:val="22"/>
                <w:szCs w:val="22"/>
                <w:color w:val="auto"/>
              </w:rPr>
              <w:t>150,000</w:t>
            </w:r>
          </w:p>
        </w:tc>
        <w:tc>
          <w:tcPr>
            <w:tcW w:w="0" w:type="dxa"/>
            <w:vAlign w:val="bottom"/>
          </w:tcPr>
          <w:p>
            <w:pPr>
              <w:spacing w:after="0"/>
              <w:rPr>
                <w:sz w:val="1"/>
                <w:szCs w:val="1"/>
                <w:color w:val="auto"/>
              </w:rPr>
            </w:pPr>
          </w:p>
        </w:tc>
      </w:tr>
      <w:tr>
        <w:trPr>
          <w:trHeight w:val="486"/>
        </w:trPr>
        <w:tc>
          <w:tcPr>
            <w:tcW w:w="6160" w:type="dxa"/>
            <w:vAlign w:val="bottom"/>
          </w:tcPr>
          <w:p>
            <w:pPr>
              <w:spacing w:after="0"/>
              <w:rPr>
                <w:sz w:val="20"/>
                <w:szCs w:val="20"/>
                <w:color w:val="auto"/>
              </w:rPr>
            </w:pPr>
            <w:r>
              <w:rPr>
                <w:rFonts w:ascii="Arial" w:cs="Arial" w:eastAsia="Arial" w:hAnsi="Arial"/>
                <w:sz w:val="22"/>
                <w:szCs w:val="22"/>
                <w:color w:val="auto"/>
              </w:rPr>
              <w:t>8.0% capital lease obligation payable through January 2013</w:t>
            </w:r>
          </w:p>
        </w:tc>
        <w:tc>
          <w:tcPr>
            <w:tcW w:w="920" w:type="dxa"/>
            <w:vAlign w:val="bottom"/>
          </w:tcPr>
          <w:p>
            <w:pPr>
              <w:jc w:val="right"/>
              <w:spacing w:after="0"/>
              <w:rPr>
                <w:sz w:val="20"/>
                <w:szCs w:val="20"/>
                <w:color w:val="auto"/>
              </w:rPr>
            </w:pPr>
            <w:r>
              <w:rPr>
                <w:rFonts w:ascii="Arial" w:cs="Arial" w:eastAsia="Arial" w:hAnsi="Arial"/>
                <w:sz w:val="22"/>
                <w:szCs w:val="22"/>
                <w:color w:val="auto"/>
              </w:rPr>
              <w:t>56,535</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486"/>
        </w:trPr>
        <w:tc>
          <w:tcPr>
            <w:tcW w:w="6160" w:type="dxa"/>
            <w:vAlign w:val="bottom"/>
          </w:tcPr>
          <w:p>
            <w:pPr>
              <w:spacing w:after="0"/>
              <w:rPr>
                <w:sz w:val="20"/>
                <w:szCs w:val="20"/>
                <w:color w:val="auto"/>
              </w:rPr>
            </w:pPr>
            <w:r>
              <w:rPr>
                <w:rFonts w:ascii="Arial" w:cs="Arial" w:eastAsia="Arial" w:hAnsi="Arial"/>
                <w:sz w:val="22"/>
                <w:szCs w:val="22"/>
                <w:color w:val="auto"/>
              </w:rPr>
              <w:t>5.6% capital lease obligation payable through October 2012</w:t>
            </w:r>
          </w:p>
        </w:tc>
        <w:tc>
          <w:tcPr>
            <w:tcW w:w="920" w:type="dxa"/>
            <w:vAlign w:val="bottom"/>
          </w:tcPr>
          <w:p>
            <w:pPr>
              <w:jc w:val="right"/>
              <w:spacing w:after="0"/>
              <w:rPr>
                <w:sz w:val="20"/>
                <w:szCs w:val="20"/>
                <w:color w:val="auto"/>
              </w:rPr>
            </w:pPr>
            <w:r>
              <w:rPr>
                <w:rFonts w:ascii="Arial" w:cs="Arial" w:eastAsia="Arial" w:hAnsi="Arial"/>
                <w:sz w:val="22"/>
                <w:szCs w:val="22"/>
                <w:color w:val="auto"/>
              </w:rPr>
              <w:t>17,571</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2"/>
                <w:szCs w:val="22"/>
                <w:color w:val="auto"/>
                <w:w w:val="89"/>
              </w:rPr>
              <w:t>19,912</w:t>
            </w:r>
          </w:p>
        </w:tc>
        <w:tc>
          <w:tcPr>
            <w:tcW w:w="0" w:type="dxa"/>
            <w:vAlign w:val="bottom"/>
          </w:tcPr>
          <w:p>
            <w:pPr>
              <w:spacing w:after="0"/>
              <w:rPr>
                <w:sz w:val="1"/>
                <w:szCs w:val="1"/>
                <w:color w:val="auto"/>
              </w:rPr>
            </w:pPr>
          </w:p>
        </w:tc>
      </w:tr>
      <w:tr>
        <w:trPr>
          <w:trHeight w:val="486"/>
        </w:trPr>
        <w:tc>
          <w:tcPr>
            <w:tcW w:w="6160" w:type="dxa"/>
            <w:vAlign w:val="bottom"/>
          </w:tcPr>
          <w:p>
            <w:pPr>
              <w:spacing w:after="0"/>
              <w:rPr>
                <w:sz w:val="20"/>
                <w:szCs w:val="20"/>
                <w:color w:val="auto"/>
              </w:rPr>
            </w:pPr>
            <w:r>
              <w:rPr>
                <w:rFonts w:ascii="Arial" w:cs="Arial" w:eastAsia="Arial" w:hAnsi="Arial"/>
                <w:sz w:val="22"/>
                <w:szCs w:val="22"/>
                <w:color w:val="auto"/>
              </w:rPr>
              <w:t>Foreign notes payable and other</w:t>
            </w:r>
          </w:p>
        </w:tc>
        <w:tc>
          <w:tcPr>
            <w:tcW w:w="920" w:type="dxa"/>
            <w:vAlign w:val="bottom"/>
          </w:tcPr>
          <w:p>
            <w:pPr>
              <w:jc w:val="right"/>
              <w:spacing w:after="0"/>
              <w:rPr>
                <w:sz w:val="20"/>
                <w:szCs w:val="20"/>
                <w:color w:val="auto"/>
              </w:rPr>
            </w:pPr>
            <w:r>
              <w:rPr>
                <w:rFonts w:ascii="Arial" w:cs="Arial" w:eastAsia="Arial" w:hAnsi="Arial"/>
                <w:sz w:val="22"/>
                <w:szCs w:val="22"/>
                <w:color w:val="auto"/>
              </w:rPr>
              <w:t>31,935</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2"/>
                <w:szCs w:val="22"/>
                <w:color w:val="auto"/>
                <w:w w:val="89"/>
              </w:rPr>
              <w:t>25,823</w:t>
            </w:r>
          </w:p>
        </w:tc>
        <w:tc>
          <w:tcPr>
            <w:tcW w:w="0" w:type="dxa"/>
            <w:vAlign w:val="bottom"/>
          </w:tcPr>
          <w:p>
            <w:pPr>
              <w:spacing w:after="0"/>
              <w:rPr>
                <w:sz w:val="1"/>
                <w:szCs w:val="1"/>
                <w:color w:val="auto"/>
              </w:rPr>
            </w:pPr>
          </w:p>
        </w:tc>
      </w:tr>
      <w:tr>
        <w:trPr>
          <w:trHeight w:val="98"/>
        </w:trPr>
        <w:tc>
          <w:tcPr>
            <w:tcW w:w="6160" w:type="dxa"/>
            <w:vAlign w:val="bottom"/>
          </w:tcPr>
          <w:p>
            <w:pPr>
              <w:spacing w:after="0"/>
              <w:rPr>
                <w:sz w:val="8"/>
                <w:szCs w:val="8"/>
                <w:color w:val="auto"/>
              </w:rPr>
            </w:pPr>
          </w:p>
        </w:tc>
        <w:tc>
          <w:tcPr>
            <w:tcW w:w="920" w:type="dxa"/>
            <w:vAlign w:val="bottom"/>
            <w:tcBorders>
              <w:bottom w:val="single" w:sz="8" w:color="336699"/>
            </w:tcBorders>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Borders>
              <w:bottom w:val="single" w:sz="8" w:color="336699"/>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337"/>
        </w:trPr>
        <w:tc>
          <w:tcPr>
            <w:tcW w:w="6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228,541</w:t>
            </w:r>
          </w:p>
        </w:tc>
        <w:tc>
          <w:tcPr>
            <w:tcW w:w="1280" w:type="dxa"/>
            <w:vAlign w:val="bottom"/>
            <w:gridSpan w:val="3"/>
          </w:tcPr>
          <w:p>
            <w:pPr>
              <w:jc w:val="right"/>
              <w:spacing w:after="0"/>
              <w:rPr>
                <w:sz w:val="20"/>
                <w:szCs w:val="20"/>
                <w:color w:val="auto"/>
              </w:rPr>
            </w:pPr>
            <w:r>
              <w:rPr>
                <w:rFonts w:ascii="Arial" w:cs="Arial" w:eastAsia="Arial" w:hAnsi="Arial"/>
                <w:sz w:val="22"/>
                <w:szCs w:val="22"/>
                <w:color w:val="auto"/>
              </w:rPr>
              <w:t>195,735</w:t>
            </w:r>
          </w:p>
        </w:tc>
        <w:tc>
          <w:tcPr>
            <w:tcW w:w="0" w:type="dxa"/>
            <w:vAlign w:val="bottom"/>
          </w:tcPr>
          <w:p>
            <w:pPr>
              <w:spacing w:after="0"/>
              <w:rPr>
                <w:sz w:val="1"/>
                <w:szCs w:val="1"/>
                <w:color w:val="auto"/>
              </w:rPr>
            </w:pPr>
          </w:p>
        </w:tc>
      </w:tr>
      <w:tr>
        <w:trPr>
          <w:trHeight w:val="275"/>
        </w:trPr>
        <w:tc>
          <w:tcPr>
            <w:tcW w:w="6160" w:type="dxa"/>
            <w:vAlign w:val="bottom"/>
          </w:tcPr>
          <w:p>
            <w:pPr>
              <w:spacing w:after="0"/>
              <w:rPr>
                <w:sz w:val="20"/>
                <w:szCs w:val="20"/>
                <w:color w:val="auto"/>
              </w:rPr>
            </w:pPr>
            <w:r>
              <w:rPr>
                <w:rFonts w:ascii="Arial" w:cs="Arial" w:eastAsia="Arial" w:hAnsi="Arial"/>
                <w:sz w:val="22"/>
                <w:szCs w:val="22"/>
                <w:color w:val="auto"/>
              </w:rPr>
              <w:t>Less current portion</w:t>
            </w:r>
          </w:p>
        </w:tc>
        <w:tc>
          <w:tcPr>
            <w:tcW w:w="920" w:type="dxa"/>
            <w:vAlign w:val="bottom"/>
          </w:tcPr>
          <w:p>
            <w:pPr>
              <w:jc w:val="right"/>
              <w:spacing w:after="0"/>
              <w:rPr>
                <w:sz w:val="20"/>
                <w:szCs w:val="20"/>
                <w:color w:val="auto"/>
              </w:rPr>
            </w:pPr>
            <w:r>
              <w:rPr>
                <w:rFonts w:ascii="Arial" w:cs="Arial" w:eastAsia="Arial" w:hAnsi="Arial"/>
                <w:sz w:val="22"/>
                <w:szCs w:val="22"/>
                <w:color w:val="auto"/>
              </w:rPr>
              <w:t>19,213</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22"/>
                <w:szCs w:val="22"/>
                <w:color w:val="auto"/>
              </w:rPr>
              <w:t>4,482</w:t>
            </w:r>
          </w:p>
        </w:tc>
        <w:tc>
          <w:tcPr>
            <w:tcW w:w="0" w:type="dxa"/>
            <w:vAlign w:val="bottom"/>
          </w:tcPr>
          <w:p>
            <w:pPr>
              <w:spacing w:after="0"/>
              <w:rPr>
                <w:sz w:val="1"/>
                <w:szCs w:val="1"/>
                <w:color w:val="auto"/>
              </w:rPr>
            </w:pPr>
          </w:p>
        </w:tc>
      </w:tr>
      <w:tr>
        <w:trPr>
          <w:trHeight w:val="98"/>
        </w:trPr>
        <w:tc>
          <w:tcPr>
            <w:tcW w:w="6160" w:type="dxa"/>
            <w:vAlign w:val="bottom"/>
          </w:tcPr>
          <w:p>
            <w:pPr>
              <w:spacing w:after="0"/>
              <w:rPr>
                <w:sz w:val="8"/>
                <w:szCs w:val="8"/>
                <w:color w:val="auto"/>
              </w:rPr>
            </w:pPr>
          </w:p>
        </w:tc>
        <w:tc>
          <w:tcPr>
            <w:tcW w:w="920" w:type="dxa"/>
            <w:vAlign w:val="bottom"/>
            <w:tcBorders>
              <w:bottom w:val="single" w:sz="8" w:color="336699"/>
            </w:tcBorders>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Borders>
              <w:bottom w:val="single" w:sz="8" w:color="336699"/>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368"/>
        </w:trPr>
        <w:tc>
          <w:tcPr>
            <w:tcW w:w="6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w w:val="89"/>
              </w:rPr>
              <w:t>$209,328</w:t>
            </w:r>
          </w:p>
        </w:tc>
        <w:tc>
          <w:tcPr>
            <w:tcW w:w="1280" w:type="dxa"/>
            <w:vAlign w:val="bottom"/>
            <w:gridSpan w:val="3"/>
          </w:tcPr>
          <w:p>
            <w:pPr>
              <w:jc w:val="right"/>
              <w:spacing w:after="0"/>
              <w:rPr>
                <w:sz w:val="20"/>
                <w:szCs w:val="20"/>
                <w:color w:val="auto"/>
              </w:rPr>
            </w:pPr>
            <w:r>
              <w:rPr>
                <w:rFonts w:ascii="Arial" w:cs="Arial" w:eastAsia="Arial" w:hAnsi="Arial"/>
                <w:sz w:val="22"/>
                <w:szCs w:val="22"/>
                <w:color w:val="auto"/>
              </w:rPr>
              <w:t>$191,253</w:t>
            </w: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0" w:gutter="0" w:footer="0" w:header="0"/>
        </w:sectPr>
      </w:pPr>
    </w:p>
    <w:bookmarkStart w:id="11" w:name="page12"/>
    <w:bookmarkEnd w:id="11"/>
    <w:p>
      <w:pPr>
        <w:ind w:firstLine="270"/>
        <w:spacing w:after="0" w:line="272"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4057650</wp:posOffset>
            </wp:positionH>
            <wp:positionV relativeFrom="page">
              <wp:posOffset>88900</wp:posOffset>
            </wp:positionV>
            <wp:extent cx="141033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410335" cy="27940"/>
                    </a:xfrm>
                    <a:prstGeom prst="rect">
                      <a:avLst/>
                    </a:prstGeom>
                    <a:noFill/>
                  </pic:spPr>
                </pic:pic>
              </a:graphicData>
            </a:graphic>
          </wp:anchor>
        </w:drawing>
        <w:t>On April 15, 2008, the Company redeemed its $150.0 million 2.25% convertible subordinated notes. The Company had net borrowings of $122.5 million under its revolving credit facility ("credit facility") at July 27, 2008. The Company entered into the credit facility agreement on June 6, 2007 with a group of financial institutions. The credit facility provides for an aggregate commitment of $155.0 million over a 5-year term, and allows for borrowings in various currencies. The applicable interest rate spread and facility fee vary based upon the Company's senior leverage ratio. Under the terms of the credit facility, the Company is subject to compliance with certain financial and other covenants, as defined, including, but not limited to: Senior Leverage Ratio, Total Leverage Ratio, and Minimum Unrestricted Cash Balances. The credit facility also limits the amounts of both secured and unsecured debt. The credit facility is secured by a pledge of the Company's stock in certain of its subsidiaries. Borrowings under the credit facility bear interest at certain benchmarked interest rates, as defined, plus a spread based on the Company's senior leverage ratio. On April 25, 2008, the credit facility was amended, primarily amending the Applicable Rate chart and the Maximum Senior Leverage Ratio terms, and providing that the Company enter into an agreement evidencing permanent long-term capital of at least $75.0 million by November 2, 2008. As of July 27, 2008, $122.5 million was borrowed under the credit facility, $3.6 million was utilized for a standby letter of credit, and the remaining balance of $28.9 million was available to the Company.</w:t>
      </w:r>
    </w:p>
    <w:p>
      <w:pPr>
        <w:spacing w:after="0" w:line="157" w:lineRule="exact"/>
        <w:rPr>
          <w:sz w:val="20"/>
          <w:szCs w:val="20"/>
          <w:color w:val="auto"/>
        </w:rPr>
      </w:pPr>
    </w:p>
    <w:p>
      <w:pPr>
        <w:ind w:right="380" w:firstLine="270"/>
        <w:spacing w:after="0" w:line="297" w:lineRule="auto"/>
        <w:rPr>
          <w:sz w:val="20"/>
          <w:szCs w:val="20"/>
          <w:color w:val="auto"/>
        </w:rPr>
      </w:pPr>
      <w:r>
        <w:rPr>
          <w:rFonts w:ascii="Arial" w:cs="Arial" w:eastAsia="Arial" w:hAnsi="Arial"/>
          <w:sz w:val="19"/>
          <w:szCs w:val="19"/>
          <w:color w:val="auto"/>
        </w:rPr>
        <w:t>During the three months ended January 27, 2008, a capital lease agreement commenced and was also modified, as discussed below, for the U.S. Nanofab. Quarterly lease payments, which bear interest at 8%, are $3.8 million for the period April 2008 through January 2013. As of July 27, 2008 total capital lease amounts payable were $67.8 million of</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which $56.5 million represents principal and $11.3 million represents interest. At the end of the 5-year lease term, ownership of the property transfers to the Company. The modification during the three months ended January 27, 2008 changed the initial lease payment from January 1, 2008 to April 1, 2008, the final lease payment from October 1, 2012 to January 1, 2013, and increased the total payments under the lease from $73.9 million to $75.4 million.</w:t>
      </w:r>
    </w:p>
    <w:p>
      <w:pPr>
        <w:spacing w:after="0" w:line="185" w:lineRule="exact"/>
        <w:rPr>
          <w:sz w:val="20"/>
          <w:szCs w:val="20"/>
          <w:color w:val="auto"/>
        </w:rPr>
      </w:pPr>
    </w:p>
    <w:p>
      <w:pPr>
        <w:ind w:right="40" w:firstLine="270"/>
        <w:spacing w:after="0" w:line="238" w:lineRule="auto"/>
        <w:rPr>
          <w:sz w:val="20"/>
          <w:szCs w:val="20"/>
          <w:color w:val="auto"/>
        </w:rPr>
      </w:pPr>
      <w:r>
        <w:rPr>
          <w:rFonts w:ascii="Arial" w:cs="Arial" w:eastAsia="Arial" w:hAnsi="Arial"/>
          <w:sz w:val="22"/>
          <w:szCs w:val="22"/>
          <w:color w:val="auto"/>
        </w:rPr>
        <w:t>In October 2007, the Company entered into a capital lease agreement in the amount of $19.9 million associated with certain equipment. Under the capital lease agreement, the Company is required to maintain the equipment in good working condition, and is required to comply with certain non-financial covenants. Payments under the lease are $0.4 million per month over a 5-year term at a 5.6% interest rate.</w:t>
      </w:r>
    </w:p>
    <w:p>
      <w:pPr>
        <w:spacing w:after="0" w:line="185" w:lineRule="exact"/>
        <w:rPr>
          <w:sz w:val="20"/>
          <w:szCs w:val="20"/>
          <w:color w:val="auto"/>
        </w:rPr>
      </w:pPr>
    </w:p>
    <w:p>
      <w:pPr>
        <w:ind w:right="140" w:firstLine="270"/>
        <w:spacing w:after="0" w:line="279" w:lineRule="auto"/>
        <w:rPr>
          <w:sz w:val="20"/>
          <w:szCs w:val="20"/>
          <w:color w:val="auto"/>
        </w:rPr>
      </w:pPr>
      <w:r>
        <w:rPr>
          <w:rFonts w:ascii="Arial" w:cs="Arial" w:eastAsia="Arial" w:hAnsi="Arial"/>
          <w:sz w:val="19"/>
          <w:szCs w:val="19"/>
          <w:color w:val="auto"/>
        </w:rPr>
        <w:t>Foreign notes payable and other, as of July 27, 2008, primarily consist of a China term and revolving debt credit facility and a short-term credit line facility, both of which are fully outstanding, and amount to RMB 186 million ($27.3 million) and RMB 22.5 million ($3.3 million), respectively. As of July 27, 2008, the term loan interest rate was 7.74%, the revolver was 7.47%, and the short-term credit line was 6.72%. Rates are subject to change based on the People's Bank of China base rate, as defined. The term and revolving debt credit facility is due in October, 2010, and the short-term credit line is due in March, 2009. The Company is subject to certain financial and other covenants similar to those of its credit facility described above.</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 COMMITMENTS AND CONTINGENCIES</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21"/>
          <w:szCs w:val="21"/>
          <w:color w:val="auto"/>
        </w:rPr>
        <w:t>As of July 27, 2008, the Company had commitments outstanding for capital expenditures of approximately $20 million.</w:t>
      </w:r>
    </w:p>
    <w:p>
      <w:pPr>
        <w:spacing w:after="0" w:line="218" w:lineRule="exact"/>
        <w:rPr>
          <w:sz w:val="20"/>
          <w:szCs w:val="20"/>
          <w:color w:val="auto"/>
        </w:rPr>
      </w:pPr>
    </w:p>
    <w:p>
      <w:pPr>
        <w:ind w:right="480" w:firstLine="266"/>
        <w:spacing w:after="0" w:line="274" w:lineRule="auto"/>
        <w:rPr>
          <w:sz w:val="20"/>
          <w:szCs w:val="20"/>
          <w:color w:val="auto"/>
        </w:rPr>
      </w:pPr>
      <w:r>
        <w:rPr>
          <w:rFonts w:ascii="Arial" w:cs="Arial" w:eastAsia="Arial" w:hAnsi="Arial"/>
          <w:sz w:val="21"/>
          <w:szCs w:val="21"/>
          <w:color w:val="auto"/>
        </w:rPr>
        <w:t>The Company is subject to various claims that arise in the ordinary course of business. The Company believes such claims, individually or in the aggregate, will not have a material adverse effect on the business of the Company.</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 RECENT ACCOUNTING PRONOUNCEMENTS</w:t>
      </w:r>
    </w:p>
    <w:p>
      <w:pPr>
        <w:spacing w:after="0" w:line="212" w:lineRule="exact"/>
        <w:rPr>
          <w:sz w:val="20"/>
          <w:szCs w:val="20"/>
          <w:color w:val="auto"/>
        </w:rPr>
      </w:pPr>
    </w:p>
    <w:p>
      <w:pPr>
        <w:ind w:firstLine="270"/>
        <w:spacing w:after="0" w:line="277" w:lineRule="auto"/>
        <w:rPr>
          <w:sz w:val="20"/>
          <w:szCs w:val="20"/>
          <w:color w:val="auto"/>
        </w:rPr>
      </w:pPr>
      <w:r>
        <w:rPr>
          <w:rFonts w:ascii="Arial" w:cs="Arial" w:eastAsia="Arial" w:hAnsi="Arial"/>
          <w:sz w:val="19"/>
          <w:szCs w:val="19"/>
          <w:color w:val="auto"/>
        </w:rPr>
        <w:t>In May 2008, the Financial Accounting Standards Board ("FASB") issued FASB Staff Position ("FSP") No. APB 14-1, "Accounting for Convertible Debt Instruments That May Be Settled in Cash upon Conversion (Including Partial Cash Settlement)." FSP No. APB 14-1 requires that issuers of convertible debt instruments that may be settled in cash upon conversion separately account for the liability and equity components in a manner that will reflect the entity's nonconvertible debt borrowing rate when interest cost is recognized in subsequent periods. FSP No. APB 14-1 is effective for fiscal years beginning after December 15, 2008 and interim periods within those fiscal years, and is required to be retrospectively applied. The Company is evaluating the impact that the adoption of FSP No. APB 14-1 will have on its consolidated financial statements.</w:t>
      </w:r>
    </w:p>
    <w:p>
      <w:pPr>
        <w:spacing w:after="0" w:line="153" w:lineRule="exact"/>
        <w:rPr>
          <w:sz w:val="20"/>
          <w:szCs w:val="20"/>
          <w:color w:val="auto"/>
        </w:rPr>
      </w:pPr>
    </w:p>
    <w:p>
      <w:pPr>
        <w:ind w:right="200" w:firstLine="270"/>
        <w:spacing w:after="0" w:line="234" w:lineRule="auto"/>
        <w:rPr>
          <w:sz w:val="20"/>
          <w:szCs w:val="20"/>
          <w:color w:val="auto"/>
        </w:rPr>
      </w:pPr>
      <w:r>
        <w:rPr>
          <w:rFonts w:ascii="Arial" w:cs="Arial" w:eastAsia="Arial" w:hAnsi="Arial"/>
          <w:sz w:val="22"/>
          <w:szCs w:val="22"/>
          <w:color w:val="auto"/>
        </w:rPr>
        <w:t>In May 2008, The FASB issued SFAS No. 162, "The Hierarchy of Generally Accepted Accounting Principles." SFAS No. 162 identifies the sources of accounting principles and the framework for selecting the principles to be used in the preparation of financial statements of nongovernmental entities that are presented in conformity with generally accepted accounting principles. SFAS No. 162 will be effective 60 days following the Security and Exchange Commission's approval of the Public Company Accounting Oversight Board's amendments to AU Section 411, "The Meaning of Present Fairly in Conformity With Generally Accepted Accounting Principles." The Company is evaluating the impact, if any, SFAS No. 162 will have on its consolidated financial statements.</w:t>
      </w:r>
    </w:p>
    <w:p>
      <w:pPr>
        <w:sectPr>
          <w:pgSz w:w="11900" w:h="16838" w:orient="portrait"/>
          <w:cols w:equalWidth="0" w:num="1">
            <w:col w:w="11400"/>
          </w:cols>
          <w:pgMar w:left="240" w:top="1036" w:right="259" w:bottom="0" w:gutter="0" w:footer="0" w:header="0"/>
        </w:sectPr>
      </w:pPr>
    </w:p>
    <w:bookmarkStart w:id="12" w:name="page13"/>
    <w:bookmarkEnd w:id="12"/>
    <w:p>
      <w:pPr>
        <w:spacing w:after="0" w:line="110" w:lineRule="exact"/>
        <w:rPr>
          <w:sz w:val="20"/>
          <w:szCs w:val="20"/>
          <w:color w:val="auto"/>
        </w:rPr>
      </w:pPr>
    </w:p>
    <w:p>
      <w:pPr>
        <w:ind w:right="40" w:firstLine="270"/>
        <w:spacing w:after="0" w:line="277" w:lineRule="auto"/>
        <w:rPr>
          <w:sz w:val="20"/>
          <w:szCs w:val="20"/>
          <w:color w:val="auto"/>
        </w:rPr>
      </w:pPr>
      <w:r>
        <w:rPr>
          <w:rFonts w:ascii="Arial" w:cs="Arial" w:eastAsia="Arial" w:hAnsi="Arial"/>
          <w:sz w:val="19"/>
          <w:szCs w:val="19"/>
          <w:color w:val="auto"/>
        </w:rPr>
        <w:t>In March 2008, the FASB issued SFAS No. 161, "Disclosures about Derivative Instruments and Hedging Activities - an amendment of FASB Statement No. 133." SFAS No. 161 changes the disclosure requirements for derivative instruments and hedging activities by requiring entities to provide enhanced disclosures about how and why an entity uses derivative instruments, how derivative instruments and related hedged items are accounted for under SFAS No. 133 and its related interpretations, and how derivative instruments and related hedged items affect an entity's financial position, financial performance, and cash flows. SFAS No. 161 is effective for financial statements issued for fiscal years beginning after November 15, 2008 and interim periods within those fiscal years. The Company is evaluating the impact, if any, SFAS No. 161 will have on its consolidated financial statements.</w:t>
      </w:r>
    </w:p>
    <w:p>
      <w:pPr>
        <w:spacing w:after="0" w:line="153" w:lineRule="exact"/>
        <w:rPr>
          <w:sz w:val="20"/>
          <w:szCs w:val="20"/>
          <w:color w:val="auto"/>
        </w:rPr>
      </w:pPr>
    </w:p>
    <w:p>
      <w:pPr>
        <w:ind w:right="660" w:firstLine="324"/>
        <w:spacing w:after="0" w:line="328" w:lineRule="auto"/>
        <w:rPr>
          <w:sz w:val="20"/>
          <w:szCs w:val="20"/>
          <w:color w:val="auto"/>
        </w:rPr>
      </w:pPr>
      <w:r>
        <w:rPr>
          <w:rFonts w:ascii="Arial" w:cs="Arial" w:eastAsia="Arial" w:hAnsi="Arial"/>
          <w:sz w:val="19"/>
          <w:szCs w:val="19"/>
          <w:color w:val="auto"/>
        </w:rPr>
        <w:t>In December 2007, the FASB issued SFAS No. 160, "Noncontrolling Interests in Consolidated Financial Statements - an amendment of Accounting Research Bulletin No. 51." SFAS No. 160 establishes accounting and reporting standards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300"/>
        <w:spacing w:after="0" w:line="297" w:lineRule="auto"/>
        <w:rPr>
          <w:sz w:val="20"/>
          <w:szCs w:val="20"/>
          <w:color w:val="auto"/>
        </w:rPr>
      </w:pPr>
      <w:r>
        <w:rPr>
          <w:rFonts w:ascii="Arial" w:cs="Arial" w:eastAsia="Arial" w:hAnsi="Arial"/>
          <w:sz w:val="19"/>
          <w:szCs w:val="19"/>
          <w:color w:val="auto"/>
        </w:rPr>
        <w:t>for the noncontrolling interest in a subsidiary and for the deconsolidation of a subsidiary. SFAS No. 160 is effective for financial statements issued for fiscal years beginning after December 15, 2008, and interim statements within those fiscal years. The Company is currently evaluating the impact SFAS No. 160 will have on its consolidated financial statements.</w:t>
      </w:r>
    </w:p>
    <w:p>
      <w:pPr>
        <w:spacing w:after="0" w:line="134" w:lineRule="exact"/>
        <w:rPr>
          <w:sz w:val="20"/>
          <w:szCs w:val="20"/>
          <w:color w:val="auto"/>
        </w:rPr>
      </w:pPr>
    </w:p>
    <w:p>
      <w:pPr>
        <w:ind w:firstLine="270"/>
        <w:spacing w:after="0" w:line="277" w:lineRule="auto"/>
        <w:rPr>
          <w:sz w:val="20"/>
          <w:szCs w:val="20"/>
          <w:color w:val="auto"/>
        </w:rPr>
      </w:pPr>
      <w:r>
        <w:rPr>
          <w:rFonts w:ascii="Arial" w:cs="Arial" w:eastAsia="Arial" w:hAnsi="Arial"/>
          <w:sz w:val="19"/>
          <w:szCs w:val="19"/>
          <w:color w:val="auto"/>
        </w:rPr>
        <w:t>In December 2007, the FASB issued SFAS No. 141R, "Business Combinations." SFAS No. 141R establishes principles and requirements for how the acquirer of a business recognizes and measures in its financial statements the identifiable assets acquired, the liabilities assumed, and any noncontrolling interest in the acquiree. The statement also provides guidance for recognizing and measuring the goodwill acquired in the business combination and determines what information to disclose to enable users of the financial statement to evaluate the nature and financial effects of the business combination. SFAS No. 141R applies prospectively to business combinations for which the acquisition date is on or after the beginning of the first annual reporting period beginning on or after December 15, 2008, and, therefore will not impact the Company's consolidated financial statements upon adoption.</w:t>
      </w:r>
    </w:p>
    <w:p>
      <w:pPr>
        <w:spacing w:after="0" w:line="153" w:lineRule="exact"/>
        <w:rPr>
          <w:sz w:val="20"/>
          <w:szCs w:val="20"/>
          <w:color w:val="auto"/>
        </w:rPr>
      </w:pPr>
    </w:p>
    <w:p>
      <w:pPr>
        <w:ind w:right="200" w:firstLine="270"/>
        <w:spacing w:after="0" w:line="236" w:lineRule="auto"/>
        <w:rPr>
          <w:sz w:val="20"/>
          <w:szCs w:val="20"/>
          <w:color w:val="auto"/>
        </w:rPr>
      </w:pPr>
      <w:r>
        <w:rPr>
          <w:rFonts w:ascii="Arial" w:cs="Arial" w:eastAsia="Arial" w:hAnsi="Arial"/>
          <w:sz w:val="22"/>
          <w:szCs w:val="22"/>
          <w:color w:val="auto"/>
        </w:rPr>
        <w:t>In February 2007, the FASB issued SFAS No. 159, "The Fair Value Option for Financial Assets and Financial Liabilities - Including an Amendment of FASB Statement No. 115." SFAS No. 159 permits entities to choose to measure many financial instruments and certain other items at fair value, and is effective as of the beginning of an entity's first fiscal year that begins after November 15, 2007. The Company is currently evaluating the impact that the adoption of SFAS No. 159 will have on its consolidated financial statements.</w:t>
      </w:r>
    </w:p>
    <w:p>
      <w:pPr>
        <w:spacing w:after="0" w:line="188" w:lineRule="exact"/>
        <w:rPr>
          <w:sz w:val="20"/>
          <w:szCs w:val="20"/>
          <w:color w:val="auto"/>
        </w:rPr>
      </w:pPr>
    </w:p>
    <w:p>
      <w:pPr>
        <w:ind w:right="100" w:firstLine="270"/>
        <w:spacing w:after="0" w:line="271" w:lineRule="auto"/>
        <w:rPr>
          <w:sz w:val="20"/>
          <w:szCs w:val="20"/>
          <w:color w:val="auto"/>
        </w:rPr>
      </w:pPr>
      <w:r>
        <w:rPr>
          <w:rFonts w:ascii="Arial" w:cs="Arial" w:eastAsia="Arial" w:hAnsi="Arial"/>
          <w:sz w:val="19"/>
          <w:szCs w:val="19"/>
          <w:color w:val="auto"/>
        </w:rPr>
        <w:t>In September 2006, the FASB issued SFAS No. 157, "Fair Value Measurements," which provides a consistent definition of fair value which focuses on exit price and prioritizes, within a measurement of fair value, the use of market-based inputs over entity-specific inputs. SFAS No. 157 requires expanded disclosures about fair value measurements and establishes a three-level hierarchy for fair value measurements based on the transparency of inputs to the valuation of an asset or liability as of the measurement date. The standard also requires that a company use its own nonperformance risk when measuring liabilities carried at fair value, including derivatives. In February 2008, the FASB approved a FASB Staff Position ("FSP") that permits companies to partially defer the effective date of SFAS No. 157 for one year for nonfinancial assets and nonfinancial liabilities that are recognized or disclosed at fair value in the financial statements on a nonrecurring basis. The FSP did not permit companies to defer recognition and disclosure requirements for financial assets and financial liabilities or for nonfinancial assets and nonfinancial liabilities that are remeasured at least annually. SFAS No. 157 is effective for financial assets and financial liabilities and for nonfinancial assets and nonfinancial liabilities that are remeasured at least annually for financial statements issued for fiscal years beginning after November 15, 2007 and interim periods within those fiscal years. The provisions of SFAS No. 157 will be applied prospectively. The Company intends to defer adoption of SFAS No. 157 for one year for nonfinancial assets and nonfinancial liabilities that are recognized or disclosed at fair value in the financial statements on a nonrecurring basis. The Company is currently evaluating the effects, if any, that SFAS No. 157 may have on its consolidated financial statements.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tabs>
          <w:tab w:leader="none" w:pos="860" w:val="left"/>
        </w:tabs>
        <w:rPr>
          <w:sz w:val="20"/>
          <w:szCs w:val="20"/>
          <w:color w:val="auto"/>
        </w:rPr>
      </w:pPr>
      <w:r>
        <w:rPr>
          <w:rFonts w:ascii="Arial" w:cs="Arial" w:eastAsia="Arial" w:hAnsi="Arial"/>
          <w:sz w:val="22"/>
          <w:szCs w:val="22"/>
          <w:b w:val="1"/>
          <w:bCs w:val="1"/>
          <w:color w:val="auto"/>
        </w:rPr>
        <w:t>Item 2.</w:t>
      </w:r>
      <w:r>
        <w:rPr>
          <w:sz w:val="20"/>
          <w:szCs w:val="20"/>
          <w:color w:val="auto"/>
        </w:rPr>
        <w:tab/>
      </w:r>
      <w:r>
        <w:rPr>
          <w:rFonts w:ascii="Arial" w:cs="Arial" w:eastAsia="Arial" w:hAnsi="Arial"/>
          <w:sz w:val="21"/>
          <w:szCs w:val="21"/>
          <w:b w:val="1"/>
          <w:bCs w:val="1"/>
          <w:color w:val="auto"/>
        </w:rPr>
        <w:t>MANAGEMENT'S DISCUSSION AND ANALYSIS</w:t>
      </w:r>
    </w:p>
    <w:p>
      <w:pPr>
        <w:spacing w:after="0" w:line="14"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OF RESULTS OF OPERATIONS AND FINANCIAL CONDITION</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212" w:lineRule="exact"/>
        <w:rPr>
          <w:sz w:val="20"/>
          <w:szCs w:val="20"/>
          <w:color w:val="auto"/>
        </w:rPr>
      </w:pPr>
    </w:p>
    <w:p>
      <w:pPr>
        <w:ind w:right="200" w:firstLine="270"/>
        <w:spacing w:after="0" w:line="249" w:lineRule="auto"/>
        <w:rPr>
          <w:sz w:val="20"/>
          <w:szCs w:val="20"/>
          <w:color w:val="auto"/>
        </w:rPr>
      </w:pPr>
      <w:r>
        <w:rPr>
          <w:rFonts w:ascii="Arial" w:cs="Arial" w:eastAsia="Arial" w:hAnsi="Arial"/>
          <w:sz w:val="21"/>
          <w:szCs w:val="21"/>
          <w:color w:val="auto"/>
        </w:rPr>
        <w:t>Management's discussion and analysis of the Company's financial condition, business results and outlook should be read in conjunction with its condensed consolidated financial statements and related notes. Various segments of this MD&amp;A do contain forward-looking statements, all of which are presented based on current expectations and may be adversely affected by uncertainties and risk factors presented throughout this filing and the Company's Annual Report on Form 10-K for the fiscal 2007 year, leading actual results to materially differ from these expectations.</w:t>
      </w:r>
    </w:p>
    <w:p>
      <w:pPr>
        <w:spacing w:after="0" w:line="179" w:lineRule="exact"/>
        <w:rPr>
          <w:sz w:val="20"/>
          <w:szCs w:val="20"/>
          <w:color w:val="auto"/>
        </w:rPr>
      </w:pPr>
    </w:p>
    <w:p>
      <w:pPr>
        <w:ind w:right="60" w:firstLine="266"/>
        <w:spacing w:after="0" w:line="287" w:lineRule="auto"/>
        <w:rPr>
          <w:sz w:val="20"/>
          <w:szCs w:val="20"/>
          <w:color w:val="auto"/>
        </w:rPr>
      </w:pPr>
      <w:r>
        <w:rPr>
          <w:rFonts w:ascii="Arial" w:cs="Arial" w:eastAsia="Arial" w:hAnsi="Arial"/>
          <w:sz w:val="19"/>
          <w:szCs w:val="19"/>
          <w:color w:val="auto"/>
        </w:rPr>
        <w:t>The Company sells substantially all of its photomasks to semiconductor designers and manufacturers, and manufacturers of flat panel displays (FPDs). Photomask technology is also being applied to the fabrication of other higher performance electronic products such as photonics, micro-electronic mechanical systems, and certain nanotechnology applications. The Company's selling cycle is tightly interwoven with the development and release of new semiconductor designs and flat panel applications, particularly</w:t>
      </w:r>
    </w:p>
    <w:p>
      <w:pPr>
        <w:sectPr>
          <w:pgSz w:w="11900" w:h="16949" w:orient="portrait"/>
          <w:cols w:equalWidth="0" w:num="1">
            <w:col w:w="11420"/>
          </w:cols>
          <w:pgMar w:left="240" w:top="118" w:right="239" w:bottom="0" w:gutter="0" w:footer="0" w:header="0"/>
        </w:sectPr>
      </w:pPr>
    </w:p>
    <w:bookmarkStart w:id="13" w:name="page14"/>
    <w:bookmarkEnd w:id="13"/>
    <w:p>
      <w:pPr>
        <w:ind w:right="140"/>
        <w:spacing w:after="0" w:line="245" w:lineRule="auto"/>
        <w:rPr>
          <w:sz w:val="20"/>
          <w:szCs w:val="20"/>
          <w:color w:val="auto"/>
        </w:rPr>
      </w:pPr>
      <w:r>
        <w:rPr>
          <w:rFonts w:ascii="Arial" w:cs="Arial" w:eastAsia="Arial" w:hAnsi="Arial"/>
          <w:sz w:val="21"/>
          <w:szCs w:val="21"/>
          <w:color w:val="auto"/>
        </w:rPr>
        <w:t>as it relates to the semiconductor industry's migration to more advanced design methodologies and fabrication processes. The Company believes that the demand for photomasks primarily depends on design activity rather than sales volumes from products produced using photomask technologies. Consequently, an increase in semiconductor or FPD sales does not necessarily result in a corresponding increase in photomask sales. In addition, the reduced use of customized integrated circuits (ICs), reductions in design complexity or other changes in the technology or methods of manufacturing semiconductors, or a slowdown in the introduction of new semiconductor or FPD designs could reduce demand for photomasks even if demand for semiconductors and FPDs increases. Advances in semiconductor and photomask design and semiconductor production methods could reduce the demand for photomasks. Historically, the semiconductor industry has been volatile with sharp periodic downturns and slowdowns. These downturns have been characterized by, among other things, diminished product demand, excess production capacity, and accelerated erosion of selling prices.</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Material Changes in Results of Operations</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Three and Nine Months ended July 27, 2008 and July 29, 2007</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22"/>
          <w:szCs w:val="22"/>
          <w:color w:val="auto"/>
        </w:rPr>
        <w:t>The following table represents selected operating information expressed as a percentage of net sales: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4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40" w:type="dxa"/>
            <w:vAlign w:val="bottom"/>
            <w:gridSpan w:val="7"/>
          </w:tcPr>
          <w:p>
            <w:pPr>
              <w:jc w:val="right"/>
              <w:spacing w:after="0"/>
              <w:rPr>
                <w:sz w:val="20"/>
                <w:szCs w:val="20"/>
                <w:color w:val="auto"/>
              </w:rPr>
            </w:pPr>
            <w:r>
              <w:rPr>
                <w:rFonts w:ascii="Arial" w:cs="Arial" w:eastAsia="Arial" w:hAnsi="Arial"/>
                <w:sz w:val="22"/>
                <w:szCs w:val="22"/>
                <w:b w:val="1"/>
                <w:bCs w:val="1"/>
                <w:color w:val="auto"/>
                <w:w w:val="90"/>
              </w:rPr>
              <w:t>Three Months Ended Nine Months Ended</w:t>
            </w: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180" w:type="dxa"/>
            <w:vAlign w:val="bottom"/>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1"/>
        </w:trPr>
        <w:tc>
          <w:tcPr>
            <w:tcW w:w="4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jc w:val="right"/>
              <w:ind w:right="32"/>
              <w:spacing w:after="0"/>
              <w:rPr>
                <w:sz w:val="20"/>
                <w:szCs w:val="20"/>
                <w:color w:val="auto"/>
              </w:rPr>
            </w:pPr>
            <w:r>
              <w:rPr>
                <w:rFonts w:ascii="Arial" w:cs="Arial" w:eastAsia="Arial" w:hAnsi="Arial"/>
                <w:sz w:val="22"/>
                <w:szCs w:val="22"/>
                <w:b w:val="1"/>
                <w:bCs w:val="1"/>
                <w:color w:val="auto"/>
                <w:w w:val="96"/>
              </w:rPr>
              <w:t>July 27,</w:t>
            </w:r>
          </w:p>
        </w:tc>
        <w:tc>
          <w:tcPr>
            <w:tcW w:w="16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22"/>
                <w:szCs w:val="22"/>
                <w:b w:val="1"/>
                <w:bCs w:val="1"/>
                <w:color w:val="auto"/>
                <w:w w:val="89"/>
              </w:rPr>
              <w:t>July 29,</w:t>
            </w: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2"/>
                <w:szCs w:val="22"/>
                <w:b w:val="1"/>
                <w:bCs w:val="1"/>
                <w:color w:val="auto"/>
                <w:w w:val="91"/>
              </w:rPr>
              <w:t>July 27,</w:t>
            </w: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2"/>
                <w:szCs w:val="22"/>
                <w:b w:val="1"/>
                <w:bCs w:val="1"/>
                <w:color w:val="auto"/>
                <w:w w:val="94"/>
              </w:rPr>
              <w:t>July 29,</w:t>
            </w: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4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jc w:val="right"/>
              <w:ind w:right="172"/>
              <w:spacing w:after="0"/>
              <w:rPr>
                <w:sz w:val="20"/>
                <w:szCs w:val="20"/>
                <w:color w:val="auto"/>
              </w:rPr>
            </w:pPr>
            <w:r>
              <w:rPr>
                <w:rFonts w:ascii="Arial" w:cs="Arial" w:eastAsia="Arial" w:hAnsi="Arial"/>
                <w:sz w:val="22"/>
                <w:szCs w:val="22"/>
                <w:b w:val="1"/>
                <w:bCs w:val="1"/>
                <w:color w:val="auto"/>
              </w:rPr>
              <w:t>2008</w:t>
            </w:r>
          </w:p>
        </w:tc>
        <w:tc>
          <w:tcPr>
            <w:tcW w:w="1040" w:type="dxa"/>
            <w:vAlign w:val="bottom"/>
            <w:gridSpan w:val="2"/>
          </w:tcPr>
          <w:p>
            <w:pPr>
              <w:jc w:val="center"/>
              <w:ind w:left="32"/>
              <w:spacing w:after="0"/>
              <w:rPr>
                <w:sz w:val="20"/>
                <w:szCs w:val="20"/>
                <w:color w:val="auto"/>
              </w:rPr>
            </w:pPr>
            <w:r>
              <w:rPr>
                <w:rFonts w:ascii="Arial" w:cs="Arial" w:eastAsia="Arial" w:hAnsi="Arial"/>
                <w:sz w:val="22"/>
                <w:szCs w:val="22"/>
                <w:b w:val="1"/>
                <w:bCs w:val="1"/>
                <w:color w:val="auto"/>
                <w:w w:val="85"/>
              </w:rPr>
              <w:t>2007</w:t>
            </w:r>
          </w:p>
        </w:tc>
        <w:tc>
          <w:tcPr>
            <w:tcW w:w="900" w:type="dxa"/>
            <w:vAlign w:val="bottom"/>
            <w:gridSpan w:val="2"/>
          </w:tcPr>
          <w:p>
            <w:pPr>
              <w:jc w:val="right"/>
              <w:ind w:right="92"/>
              <w:spacing w:after="0"/>
              <w:rPr>
                <w:sz w:val="20"/>
                <w:szCs w:val="20"/>
                <w:color w:val="auto"/>
              </w:rPr>
            </w:pPr>
            <w:r>
              <w:rPr>
                <w:rFonts w:ascii="Arial" w:cs="Arial" w:eastAsia="Arial" w:hAnsi="Arial"/>
                <w:sz w:val="22"/>
                <w:szCs w:val="22"/>
                <w:b w:val="1"/>
                <w:bCs w:val="1"/>
                <w:color w:val="auto"/>
              </w:rPr>
              <w:t>2008</w:t>
            </w:r>
          </w:p>
        </w:tc>
        <w:tc>
          <w:tcPr>
            <w:tcW w:w="1060" w:type="dxa"/>
            <w:vAlign w:val="bottom"/>
            <w:gridSpan w:val="2"/>
          </w:tcPr>
          <w:p>
            <w:pPr>
              <w:jc w:val="right"/>
              <w:ind w:right="112"/>
              <w:spacing w:after="0"/>
              <w:rPr>
                <w:sz w:val="20"/>
                <w:szCs w:val="20"/>
                <w:color w:val="auto"/>
              </w:rPr>
            </w:pPr>
            <w:r>
              <w:rPr>
                <w:rFonts w:ascii="Arial" w:cs="Arial" w:eastAsia="Arial" w:hAnsi="Arial"/>
                <w:sz w:val="22"/>
                <w:szCs w:val="22"/>
                <w:b w:val="1"/>
                <w:bCs w:val="1"/>
                <w:color w:val="auto"/>
              </w:rPr>
              <w:t>2007</w:t>
            </w: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180" w:type="dxa"/>
            <w:vAlign w:val="bottom"/>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80"/>
        </w:trPr>
        <w:tc>
          <w:tcPr>
            <w:tcW w:w="4200" w:type="dxa"/>
            <w:vAlign w:val="bottom"/>
            <w:gridSpan w:val="2"/>
          </w:tcPr>
          <w:p>
            <w:pPr>
              <w:spacing w:after="0"/>
              <w:rPr>
                <w:sz w:val="20"/>
                <w:szCs w:val="20"/>
                <w:color w:val="auto"/>
              </w:rPr>
            </w:pPr>
            <w:r>
              <w:rPr>
                <w:rFonts w:ascii="Arial" w:cs="Arial" w:eastAsia="Arial" w:hAnsi="Arial"/>
                <w:sz w:val="22"/>
                <w:szCs w:val="22"/>
                <w:color w:val="auto"/>
              </w:rPr>
              <w:t>Net sales</w:t>
            </w:r>
          </w:p>
        </w:tc>
        <w:tc>
          <w:tcPr>
            <w:tcW w:w="940" w:type="dxa"/>
            <w:vAlign w:val="bottom"/>
          </w:tcPr>
          <w:p>
            <w:pPr>
              <w:jc w:val="right"/>
              <w:spacing w:after="0"/>
              <w:rPr>
                <w:sz w:val="20"/>
                <w:szCs w:val="20"/>
                <w:color w:val="auto"/>
              </w:rPr>
            </w:pPr>
            <w:r>
              <w:rPr>
                <w:rFonts w:ascii="Arial" w:cs="Arial" w:eastAsia="Arial" w:hAnsi="Arial"/>
                <w:sz w:val="22"/>
                <w:szCs w:val="22"/>
                <w:color w:val="auto"/>
              </w:rPr>
              <w:t>100.0%</w:t>
            </w:r>
          </w:p>
        </w:tc>
        <w:tc>
          <w:tcPr>
            <w:tcW w:w="1040" w:type="dxa"/>
            <w:vAlign w:val="bottom"/>
            <w:gridSpan w:val="2"/>
          </w:tcPr>
          <w:p>
            <w:pPr>
              <w:jc w:val="right"/>
              <w:spacing w:after="0"/>
              <w:rPr>
                <w:sz w:val="20"/>
                <w:szCs w:val="20"/>
                <w:color w:val="auto"/>
              </w:rPr>
            </w:pPr>
            <w:r>
              <w:rPr>
                <w:rFonts w:ascii="Arial" w:cs="Arial" w:eastAsia="Arial" w:hAnsi="Arial"/>
                <w:sz w:val="22"/>
                <w:szCs w:val="22"/>
                <w:color w:val="auto"/>
              </w:rPr>
              <w:t>100.0%</w:t>
            </w:r>
          </w:p>
        </w:tc>
        <w:tc>
          <w:tcPr>
            <w:tcW w:w="900" w:type="dxa"/>
            <w:vAlign w:val="bottom"/>
            <w:gridSpan w:val="2"/>
          </w:tcPr>
          <w:p>
            <w:pPr>
              <w:jc w:val="right"/>
              <w:spacing w:after="0"/>
              <w:rPr>
                <w:sz w:val="20"/>
                <w:szCs w:val="20"/>
                <w:color w:val="auto"/>
              </w:rPr>
            </w:pPr>
            <w:r>
              <w:rPr>
                <w:rFonts w:ascii="Arial" w:cs="Arial" w:eastAsia="Arial" w:hAnsi="Arial"/>
                <w:sz w:val="22"/>
                <w:szCs w:val="22"/>
                <w:color w:val="auto"/>
              </w:rPr>
              <w:t>100.0%</w:t>
            </w:r>
          </w:p>
        </w:tc>
        <w:tc>
          <w:tcPr>
            <w:tcW w:w="1060" w:type="dxa"/>
            <w:vAlign w:val="bottom"/>
            <w:gridSpan w:val="2"/>
          </w:tcPr>
          <w:p>
            <w:pPr>
              <w:jc w:val="right"/>
              <w:spacing w:after="0"/>
              <w:rPr>
                <w:sz w:val="20"/>
                <w:szCs w:val="20"/>
                <w:color w:val="auto"/>
              </w:rPr>
            </w:pPr>
            <w:r>
              <w:rPr>
                <w:rFonts w:ascii="Arial" w:cs="Arial" w:eastAsia="Arial" w:hAnsi="Arial"/>
                <w:sz w:val="22"/>
                <w:szCs w:val="22"/>
                <w:color w:val="auto"/>
              </w:rPr>
              <w:t>100.0%</w:t>
            </w: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4200" w:type="dxa"/>
            <w:vAlign w:val="bottom"/>
            <w:gridSpan w:val="2"/>
          </w:tcPr>
          <w:p>
            <w:pPr>
              <w:spacing w:after="0"/>
              <w:rPr>
                <w:sz w:val="20"/>
                <w:szCs w:val="20"/>
                <w:color w:val="auto"/>
              </w:rPr>
            </w:pPr>
            <w:r>
              <w:rPr>
                <w:rFonts w:ascii="Arial" w:cs="Arial" w:eastAsia="Arial" w:hAnsi="Arial"/>
                <w:sz w:val="22"/>
                <w:szCs w:val="22"/>
                <w:color w:val="auto"/>
              </w:rPr>
              <w:t>Cost of sales</w:t>
            </w:r>
          </w:p>
        </w:tc>
        <w:tc>
          <w:tcPr>
            <w:tcW w:w="940" w:type="dxa"/>
            <w:vAlign w:val="bottom"/>
          </w:tcPr>
          <w:p>
            <w:pPr>
              <w:jc w:val="right"/>
              <w:ind w:right="32"/>
              <w:spacing w:after="0"/>
              <w:rPr>
                <w:sz w:val="20"/>
                <w:szCs w:val="20"/>
                <w:color w:val="auto"/>
              </w:rPr>
            </w:pPr>
            <w:r>
              <w:rPr>
                <w:rFonts w:ascii="Arial" w:cs="Arial" w:eastAsia="Arial" w:hAnsi="Arial"/>
                <w:sz w:val="22"/>
                <w:szCs w:val="22"/>
                <w:color w:val="auto"/>
              </w:rPr>
              <w:t>(86.9)</w:t>
            </w:r>
          </w:p>
        </w:tc>
        <w:tc>
          <w:tcPr>
            <w:tcW w:w="1040" w:type="dxa"/>
            <w:vAlign w:val="bottom"/>
            <w:gridSpan w:val="2"/>
          </w:tcPr>
          <w:p>
            <w:pPr>
              <w:jc w:val="right"/>
              <w:ind w:right="32"/>
              <w:spacing w:after="0"/>
              <w:rPr>
                <w:sz w:val="20"/>
                <w:szCs w:val="20"/>
                <w:color w:val="auto"/>
              </w:rPr>
            </w:pPr>
            <w:r>
              <w:rPr>
                <w:rFonts w:ascii="Arial" w:cs="Arial" w:eastAsia="Arial" w:hAnsi="Arial"/>
                <w:sz w:val="22"/>
                <w:szCs w:val="22"/>
                <w:color w:val="auto"/>
              </w:rPr>
              <w:t>(77.3)</w:t>
            </w:r>
          </w:p>
        </w:tc>
        <w:tc>
          <w:tcPr>
            <w:tcW w:w="900" w:type="dxa"/>
            <w:vAlign w:val="bottom"/>
            <w:gridSpan w:val="2"/>
          </w:tcPr>
          <w:p>
            <w:pPr>
              <w:jc w:val="right"/>
              <w:ind w:right="32"/>
              <w:spacing w:after="0"/>
              <w:rPr>
                <w:sz w:val="20"/>
                <w:szCs w:val="20"/>
                <w:color w:val="auto"/>
              </w:rPr>
            </w:pPr>
            <w:r>
              <w:rPr>
                <w:rFonts w:ascii="Arial" w:cs="Arial" w:eastAsia="Arial" w:hAnsi="Arial"/>
                <w:sz w:val="22"/>
                <w:szCs w:val="22"/>
                <w:color w:val="auto"/>
              </w:rPr>
              <w:t>(82.8)</w:t>
            </w:r>
          </w:p>
        </w:tc>
        <w:tc>
          <w:tcPr>
            <w:tcW w:w="1060" w:type="dxa"/>
            <w:vAlign w:val="bottom"/>
            <w:gridSpan w:val="2"/>
          </w:tcPr>
          <w:p>
            <w:pPr>
              <w:jc w:val="right"/>
              <w:ind w:right="32"/>
              <w:spacing w:after="0"/>
              <w:rPr>
                <w:sz w:val="20"/>
                <w:szCs w:val="20"/>
                <w:color w:val="auto"/>
              </w:rPr>
            </w:pPr>
            <w:r>
              <w:rPr>
                <w:rFonts w:ascii="Arial" w:cs="Arial" w:eastAsia="Arial" w:hAnsi="Arial"/>
                <w:sz w:val="22"/>
                <w:szCs w:val="22"/>
                <w:color w:val="auto"/>
              </w:rPr>
              <w:t>(75.1)</w:t>
            </w:r>
          </w:p>
        </w:tc>
        <w:tc>
          <w:tcPr>
            <w:tcW w:w="3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4180" w:type="dxa"/>
            <w:vAlign w:val="bottom"/>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bottom w:val="single" w:sz="8" w:color="336699"/>
            </w:tcBorders>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Borders>
              <w:bottom w:val="single" w:sz="8" w:color="336699"/>
            </w:tcBorders>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Borders>
              <w:bottom w:val="single" w:sz="8" w:color="336699"/>
            </w:tcBorders>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Borders>
              <w:bottom w:val="single" w:sz="8" w:color="336699"/>
            </w:tcBorders>
          </w:tcPr>
          <w:p>
            <w:pPr>
              <w:spacing w:after="0"/>
              <w:rPr>
                <w:sz w:val="8"/>
                <w:szCs w:val="8"/>
                <w:color w:val="auto"/>
              </w:rPr>
            </w:pPr>
          </w:p>
        </w:tc>
        <w:tc>
          <w:tcPr>
            <w:tcW w:w="3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7"/>
        </w:trPr>
        <w:tc>
          <w:tcPr>
            <w:tcW w:w="4200" w:type="dxa"/>
            <w:vAlign w:val="bottom"/>
            <w:gridSpan w:val="2"/>
          </w:tcPr>
          <w:p>
            <w:pPr>
              <w:spacing w:after="0"/>
              <w:rPr>
                <w:sz w:val="20"/>
                <w:szCs w:val="20"/>
                <w:color w:val="auto"/>
              </w:rPr>
            </w:pPr>
            <w:r>
              <w:rPr>
                <w:rFonts w:ascii="Arial" w:cs="Arial" w:eastAsia="Arial" w:hAnsi="Arial"/>
                <w:sz w:val="22"/>
                <w:szCs w:val="22"/>
                <w:color w:val="auto"/>
              </w:rPr>
              <w:t>Gross margin</w:t>
            </w:r>
          </w:p>
        </w:tc>
        <w:tc>
          <w:tcPr>
            <w:tcW w:w="940" w:type="dxa"/>
            <w:vAlign w:val="bottom"/>
          </w:tcPr>
          <w:p>
            <w:pPr>
              <w:jc w:val="right"/>
              <w:ind w:right="72"/>
              <w:spacing w:after="0"/>
              <w:rPr>
                <w:sz w:val="20"/>
                <w:szCs w:val="20"/>
                <w:color w:val="auto"/>
              </w:rPr>
            </w:pPr>
            <w:r>
              <w:rPr>
                <w:rFonts w:ascii="Arial" w:cs="Arial" w:eastAsia="Arial" w:hAnsi="Arial"/>
                <w:sz w:val="22"/>
                <w:szCs w:val="22"/>
                <w:color w:val="auto"/>
              </w:rPr>
              <w:t>13.1</w:t>
            </w:r>
          </w:p>
        </w:tc>
        <w:tc>
          <w:tcPr>
            <w:tcW w:w="1040" w:type="dxa"/>
            <w:vAlign w:val="bottom"/>
            <w:gridSpan w:val="2"/>
          </w:tcPr>
          <w:p>
            <w:pPr>
              <w:jc w:val="right"/>
              <w:ind w:right="72"/>
              <w:spacing w:after="0"/>
              <w:rPr>
                <w:sz w:val="20"/>
                <w:szCs w:val="20"/>
                <w:color w:val="auto"/>
              </w:rPr>
            </w:pPr>
            <w:r>
              <w:rPr>
                <w:rFonts w:ascii="Arial" w:cs="Arial" w:eastAsia="Arial" w:hAnsi="Arial"/>
                <w:sz w:val="22"/>
                <w:szCs w:val="22"/>
                <w:color w:val="auto"/>
              </w:rPr>
              <w:t>22.7</w:t>
            </w:r>
          </w:p>
        </w:tc>
        <w:tc>
          <w:tcPr>
            <w:tcW w:w="900" w:type="dxa"/>
            <w:vAlign w:val="bottom"/>
            <w:gridSpan w:val="2"/>
          </w:tcPr>
          <w:p>
            <w:pPr>
              <w:jc w:val="right"/>
              <w:ind w:right="72"/>
              <w:spacing w:after="0"/>
              <w:rPr>
                <w:sz w:val="20"/>
                <w:szCs w:val="20"/>
                <w:color w:val="auto"/>
              </w:rPr>
            </w:pPr>
            <w:r>
              <w:rPr>
                <w:rFonts w:ascii="Arial" w:cs="Arial" w:eastAsia="Arial" w:hAnsi="Arial"/>
                <w:sz w:val="22"/>
                <w:szCs w:val="22"/>
                <w:color w:val="auto"/>
              </w:rPr>
              <w:t>17.2</w:t>
            </w:r>
          </w:p>
        </w:tc>
        <w:tc>
          <w:tcPr>
            <w:tcW w:w="1060" w:type="dxa"/>
            <w:vAlign w:val="bottom"/>
            <w:gridSpan w:val="2"/>
          </w:tcPr>
          <w:p>
            <w:pPr>
              <w:jc w:val="right"/>
              <w:ind w:right="92"/>
              <w:spacing w:after="0"/>
              <w:rPr>
                <w:sz w:val="20"/>
                <w:szCs w:val="20"/>
                <w:color w:val="auto"/>
              </w:rPr>
            </w:pPr>
            <w:r>
              <w:rPr>
                <w:rFonts w:ascii="Arial" w:cs="Arial" w:eastAsia="Arial" w:hAnsi="Arial"/>
                <w:sz w:val="22"/>
                <w:szCs w:val="22"/>
                <w:color w:val="auto"/>
              </w:rPr>
              <w:t>24.9</w:t>
            </w: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200" w:type="dxa"/>
            <w:vAlign w:val="bottom"/>
            <w:gridSpan w:val="2"/>
          </w:tcPr>
          <w:p>
            <w:pPr>
              <w:spacing w:after="0" w:line="243" w:lineRule="exact"/>
              <w:rPr>
                <w:sz w:val="20"/>
                <w:szCs w:val="20"/>
                <w:color w:val="auto"/>
              </w:rPr>
            </w:pPr>
            <w:r>
              <w:rPr>
                <w:rFonts w:ascii="Arial" w:cs="Arial" w:eastAsia="Arial" w:hAnsi="Arial"/>
                <w:sz w:val="22"/>
                <w:szCs w:val="22"/>
                <w:color w:val="auto"/>
                <w:w w:val="95"/>
              </w:rPr>
              <w:t>Selling, general and administrative expenses</w:t>
            </w:r>
          </w:p>
        </w:tc>
        <w:tc>
          <w:tcPr>
            <w:tcW w:w="940" w:type="dxa"/>
            <w:vAlign w:val="bottom"/>
          </w:tcPr>
          <w:p>
            <w:pPr>
              <w:jc w:val="right"/>
              <w:ind w:right="32"/>
              <w:spacing w:after="0" w:line="243" w:lineRule="exact"/>
              <w:rPr>
                <w:sz w:val="20"/>
                <w:szCs w:val="20"/>
                <w:color w:val="auto"/>
              </w:rPr>
            </w:pPr>
            <w:r>
              <w:rPr>
                <w:rFonts w:ascii="Arial" w:cs="Arial" w:eastAsia="Arial" w:hAnsi="Arial"/>
                <w:sz w:val="22"/>
                <w:szCs w:val="22"/>
                <w:color w:val="auto"/>
              </w:rPr>
              <w:t>(13.0)</w:t>
            </w:r>
          </w:p>
        </w:tc>
        <w:tc>
          <w:tcPr>
            <w:tcW w:w="1040" w:type="dxa"/>
            <w:vAlign w:val="bottom"/>
            <w:gridSpan w:val="2"/>
          </w:tcPr>
          <w:p>
            <w:pPr>
              <w:jc w:val="right"/>
              <w:ind w:right="32"/>
              <w:spacing w:after="0" w:line="243" w:lineRule="exact"/>
              <w:rPr>
                <w:sz w:val="20"/>
                <w:szCs w:val="20"/>
                <w:color w:val="auto"/>
              </w:rPr>
            </w:pPr>
            <w:r>
              <w:rPr>
                <w:rFonts w:ascii="Arial" w:cs="Arial" w:eastAsia="Arial" w:hAnsi="Arial"/>
                <w:sz w:val="22"/>
                <w:szCs w:val="22"/>
                <w:color w:val="auto"/>
              </w:rPr>
              <w:t>(15.3)</w:t>
            </w:r>
          </w:p>
        </w:tc>
        <w:tc>
          <w:tcPr>
            <w:tcW w:w="900" w:type="dxa"/>
            <w:vAlign w:val="bottom"/>
            <w:gridSpan w:val="2"/>
          </w:tcPr>
          <w:p>
            <w:pPr>
              <w:jc w:val="right"/>
              <w:ind w:right="32"/>
              <w:spacing w:after="0" w:line="243" w:lineRule="exact"/>
              <w:rPr>
                <w:sz w:val="20"/>
                <w:szCs w:val="20"/>
                <w:color w:val="auto"/>
              </w:rPr>
            </w:pPr>
            <w:r>
              <w:rPr>
                <w:rFonts w:ascii="Arial" w:cs="Arial" w:eastAsia="Arial" w:hAnsi="Arial"/>
                <w:sz w:val="22"/>
                <w:szCs w:val="22"/>
                <w:color w:val="auto"/>
              </w:rPr>
              <w:t>(13.7)</w:t>
            </w:r>
          </w:p>
        </w:tc>
        <w:tc>
          <w:tcPr>
            <w:tcW w:w="1060" w:type="dxa"/>
            <w:vAlign w:val="bottom"/>
            <w:gridSpan w:val="2"/>
          </w:tcPr>
          <w:p>
            <w:pPr>
              <w:jc w:val="right"/>
              <w:ind w:right="32"/>
              <w:spacing w:after="0" w:line="243" w:lineRule="exact"/>
              <w:rPr>
                <w:sz w:val="20"/>
                <w:szCs w:val="20"/>
                <w:color w:val="auto"/>
              </w:rPr>
            </w:pPr>
            <w:r>
              <w:rPr>
                <w:rFonts w:ascii="Arial" w:cs="Arial" w:eastAsia="Arial" w:hAnsi="Arial"/>
                <w:sz w:val="22"/>
                <w:szCs w:val="22"/>
                <w:color w:val="auto"/>
              </w:rPr>
              <w:t>(14.7)</w:t>
            </w:r>
          </w:p>
        </w:tc>
        <w:tc>
          <w:tcPr>
            <w:tcW w:w="3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0" w:type="dxa"/>
            <w:vAlign w:val="bottom"/>
            <w:gridSpan w:val="2"/>
          </w:tcPr>
          <w:p>
            <w:pPr>
              <w:spacing w:after="0" w:line="243" w:lineRule="exact"/>
              <w:rPr>
                <w:sz w:val="20"/>
                <w:szCs w:val="20"/>
                <w:color w:val="auto"/>
              </w:rPr>
            </w:pPr>
            <w:r>
              <w:rPr>
                <w:rFonts w:ascii="Arial" w:cs="Arial" w:eastAsia="Arial" w:hAnsi="Arial"/>
                <w:sz w:val="22"/>
                <w:szCs w:val="22"/>
                <w:color w:val="auto"/>
              </w:rPr>
              <w:t>Research and development expenses</w:t>
            </w:r>
          </w:p>
        </w:tc>
        <w:tc>
          <w:tcPr>
            <w:tcW w:w="940" w:type="dxa"/>
            <w:vAlign w:val="bottom"/>
          </w:tcPr>
          <w:p>
            <w:pPr>
              <w:jc w:val="right"/>
              <w:ind w:right="32"/>
              <w:spacing w:after="0" w:line="243" w:lineRule="exact"/>
              <w:rPr>
                <w:sz w:val="20"/>
                <w:szCs w:val="20"/>
                <w:color w:val="auto"/>
              </w:rPr>
            </w:pPr>
            <w:r>
              <w:rPr>
                <w:rFonts w:ascii="Arial" w:cs="Arial" w:eastAsia="Arial" w:hAnsi="Arial"/>
                <w:sz w:val="22"/>
                <w:szCs w:val="22"/>
                <w:color w:val="auto"/>
              </w:rPr>
              <w:t>(4.0)</w:t>
            </w:r>
          </w:p>
        </w:tc>
        <w:tc>
          <w:tcPr>
            <w:tcW w:w="1040" w:type="dxa"/>
            <w:vAlign w:val="bottom"/>
            <w:gridSpan w:val="2"/>
          </w:tcPr>
          <w:p>
            <w:pPr>
              <w:jc w:val="right"/>
              <w:ind w:right="32"/>
              <w:spacing w:after="0" w:line="243" w:lineRule="exact"/>
              <w:rPr>
                <w:sz w:val="20"/>
                <w:szCs w:val="20"/>
                <w:color w:val="auto"/>
              </w:rPr>
            </w:pPr>
            <w:r>
              <w:rPr>
                <w:rFonts w:ascii="Arial" w:cs="Arial" w:eastAsia="Arial" w:hAnsi="Arial"/>
                <w:sz w:val="22"/>
                <w:szCs w:val="22"/>
                <w:color w:val="auto"/>
              </w:rPr>
              <w:t>(4.1)</w:t>
            </w:r>
          </w:p>
        </w:tc>
        <w:tc>
          <w:tcPr>
            <w:tcW w:w="900" w:type="dxa"/>
            <w:vAlign w:val="bottom"/>
            <w:gridSpan w:val="2"/>
          </w:tcPr>
          <w:p>
            <w:pPr>
              <w:jc w:val="right"/>
              <w:ind w:right="32"/>
              <w:spacing w:after="0" w:line="243" w:lineRule="exact"/>
              <w:rPr>
                <w:sz w:val="20"/>
                <w:szCs w:val="20"/>
                <w:color w:val="auto"/>
              </w:rPr>
            </w:pPr>
            <w:r>
              <w:rPr>
                <w:rFonts w:ascii="Arial" w:cs="Arial" w:eastAsia="Arial" w:hAnsi="Arial"/>
                <w:sz w:val="22"/>
                <w:szCs w:val="22"/>
                <w:color w:val="auto"/>
              </w:rPr>
              <w:t>(4.1)</w:t>
            </w:r>
          </w:p>
        </w:tc>
        <w:tc>
          <w:tcPr>
            <w:tcW w:w="1060" w:type="dxa"/>
            <w:vAlign w:val="bottom"/>
            <w:gridSpan w:val="2"/>
          </w:tcPr>
          <w:p>
            <w:pPr>
              <w:jc w:val="right"/>
              <w:ind w:right="32"/>
              <w:spacing w:after="0" w:line="243" w:lineRule="exact"/>
              <w:rPr>
                <w:sz w:val="20"/>
                <w:szCs w:val="20"/>
                <w:color w:val="auto"/>
              </w:rPr>
            </w:pPr>
            <w:r>
              <w:rPr>
                <w:rFonts w:ascii="Arial" w:cs="Arial" w:eastAsia="Arial" w:hAnsi="Arial"/>
                <w:sz w:val="22"/>
                <w:szCs w:val="22"/>
                <w:color w:val="auto"/>
              </w:rPr>
              <w:t>(4.1)</w:t>
            </w:r>
          </w:p>
        </w:tc>
        <w:tc>
          <w:tcPr>
            <w:tcW w:w="3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0" w:type="dxa"/>
            <w:vAlign w:val="bottom"/>
            <w:gridSpan w:val="2"/>
          </w:tcPr>
          <w:p>
            <w:pPr>
              <w:spacing w:after="0" w:line="243" w:lineRule="exact"/>
              <w:rPr>
                <w:sz w:val="20"/>
                <w:szCs w:val="20"/>
                <w:color w:val="auto"/>
              </w:rPr>
            </w:pPr>
            <w:r>
              <w:rPr>
                <w:rFonts w:ascii="Arial" w:cs="Arial" w:eastAsia="Arial" w:hAnsi="Arial"/>
                <w:sz w:val="22"/>
                <w:szCs w:val="22"/>
                <w:color w:val="auto"/>
              </w:rPr>
              <w:t>Impairment of goodwill</w:t>
            </w:r>
          </w:p>
        </w:tc>
        <w:tc>
          <w:tcPr>
            <w:tcW w:w="940" w:type="dxa"/>
            <w:vAlign w:val="bottom"/>
          </w:tcPr>
          <w:p>
            <w:pPr>
              <w:jc w:val="right"/>
              <w:ind w:right="32"/>
              <w:spacing w:after="0" w:line="243" w:lineRule="exact"/>
              <w:rPr>
                <w:sz w:val="20"/>
                <w:szCs w:val="20"/>
                <w:color w:val="auto"/>
              </w:rPr>
            </w:pPr>
            <w:r>
              <w:rPr>
                <w:rFonts w:ascii="Arial" w:cs="Arial" w:eastAsia="Arial" w:hAnsi="Arial"/>
                <w:sz w:val="22"/>
                <w:szCs w:val="22"/>
                <w:color w:val="auto"/>
              </w:rPr>
              <w:t>(131.1)</w:t>
            </w:r>
          </w:p>
        </w:tc>
        <w:tc>
          <w:tcPr>
            <w:tcW w:w="1040" w:type="dxa"/>
            <w:vAlign w:val="bottom"/>
            <w:gridSpan w:val="2"/>
          </w:tcPr>
          <w:p>
            <w:pPr>
              <w:jc w:val="right"/>
              <w:ind w:right="72"/>
              <w:spacing w:after="0" w:line="243" w:lineRule="exact"/>
              <w:rPr>
                <w:sz w:val="20"/>
                <w:szCs w:val="20"/>
                <w:color w:val="auto"/>
              </w:rPr>
            </w:pPr>
            <w:r>
              <w:rPr>
                <w:rFonts w:ascii="Arial" w:cs="Arial" w:eastAsia="Arial" w:hAnsi="Arial"/>
                <w:sz w:val="22"/>
                <w:szCs w:val="22"/>
                <w:color w:val="auto"/>
              </w:rPr>
              <w:t>-</w:t>
            </w:r>
          </w:p>
        </w:tc>
        <w:tc>
          <w:tcPr>
            <w:tcW w:w="900" w:type="dxa"/>
            <w:vAlign w:val="bottom"/>
            <w:gridSpan w:val="2"/>
          </w:tcPr>
          <w:p>
            <w:pPr>
              <w:jc w:val="right"/>
              <w:ind w:right="32"/>
              <w:spacing w:after="0" w:line="243" w:lineRule="exact"/>
              <w:rPr>
                <w:sz w:val="20"/>
                <w:szCs w:val="20"/>
                <w:color w:val="auto"/>
              </w:rPr>
            </w:pPr>
            <w:r>
              <w:rPr>
                <w:rFonts w:ascii="Arial" w:cs="Arial" w:eastAsia="Arial" w:hAnsi="Arial"/>
                <w:sz w:val="22"/>
                <w:szCs w:val="22"/>
                <w:color w:val="auto"/>
              </w:rPr>
              <w:t>(43.4)</w:t>
            </w:r>
          </w:p>
        </w:tc>
        <w:tc>
          <w:tcPr>
            <w:tcW w:w="1060" w:type="dxa"/>
            <w:vAlign w:val="bottom"/>
            <w:gridSpan w:val="2"/>
          </w:tcPr>
          <w:p>
            <w:pPr>
              <w:jc w:val="right"/>
              <w:ind w:right="92"/>
              <w:spacing w:after="0" w:line="243" w:lineRule="exact"/>
              <w:rPr>
                <w:sz w:val="20"/>
                <w:szCs w:val="20"/>
                <w:color w:val="auto"/>
              </w:rPr>
            </w:pPr>
            <w:r>
              <w:rPr>
                <w:rFonts w:ascii="Arial" w:cs="Arial" w:eastAsia="Arial" w:hAnsi="Arial"/>
                <w:sz w:val="22"/>
                <w:szCs w:val="22"/>
                <w:color w:val="auto"/>
              </w:rPr>
              <w:t>-</w:t>
            </w:r>
          </w:p>
        </w:tc>
        <w:tc>
          <w:tcPr>
            <w:tcW w:w="3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0" w:type="dxa"/>
            <w:vAlign w:val="bottom"/>
            <w:gridSpan w:val="2"/>
          </w:tcPr>
          <w:p>
            <w:pPr>
              <w:spacing w:after="0" w:line="243" w:lineRule="exact"/>
              <w:rPr>
                <w:sz w:val="20"/>
                <w:szCs w:val="20"/>
                <w:color w:val="auto"/>
              </w:rPr>
            </w:pPr>
            <w:r>
              <w:rPr>
                <w:rFonts w:ascii="Arial" w:cs="Arial" w:eastAsia="Arial" w:hAnsi="Arial"/>
                <w:sz w:val="22"/>
                <w:szCs w:val="22"/>
                <w:color w:val="auto"/>
              </w:rPr>
              <w:t>Impairment of long-lived assets</w:t>
            </w:r>
          </w:p>
        </w:tc>
        <w:tc>
          <w:tcPr>
            <w:tcW w:w="940" w:type="dxa"/>
            <w:vAlign w:val="bottom"/>
          </w:tcPr>
          <w:p>
            <w:pPr>
              <w:jc w:val="right"/>
              <w:ind w:right="32"/>
              <w:spacing w:after="0" w:line="243" w:lineRule="exact"/>
              <w:rPr>
                <w:sz w:val="20"/>
                <w:szCs w:val="20"/>
                <w:color w:val="auto"/>
              </w:rPr>
            </w:pPr>
            <w:r>
              <w:rPr>
                <w:rFonts w:ascii="Arial" w:cs="Arial" w:eastAsia="Arial" w:hAnsi="Arial"/>
                <w:sz w:val="22"/>
                <w:szCs w:val="22"/>
                <w:color w:val="auto"/>
              </w:rPr>
              <w:t>(63.3)</w:t>
            </w:r>
          </w:p>
        </w:tc>
        <w:tc>
          <w:tcPr>
            <w:tcW w:w="1040" w:type="dxa"/>
            <w:vAlign w:val="bottom"/>
            <w:gridSpan w:val="2"/>
          </w:tcPr>
          <w:p>
            <w:pPr>
              <w:jc w:val="right"/>
              <w:ind w:right="72"/>
              <w:spacing w:after="0" w:line="243" w:lineRule="exact"/>
              <w:rPr>
                <w:sz w:val="20"/>
                <w:szCs w:val="20"/>
                <w:color w:val="auto"/>
              </w:rPr>
            </w:pPr>
            <w:r>
              <w:rPr>
                <w:rFonts w:ascii="Arial" w:cs="Arial" w:eastAsia="Arial" w:hAnsi="Arial"/>
                <w:sz w:val="22"/>
                <w:szCs w:val="22"/>
                <w:color w:val="auto"/>
              </w:rPr>
              <w:t>-</w:t>
            </w:r>
          </w:p>
        </w:tc>
        <w:tc>
          <w:tcPr>
            <w:tcW w:w="900" w:type="dxa"/>
            <w:vAlign w:val="bottom"/>
            <w:gridSpan w:val="2"/>
          </w:tcPr>
          <w:p>
            <w:pPr>
              <w:jc w:val="right"/>
              <w:ind w:right="32"/>
              <w:spacing w:after="0" w:line="243" w:lineRule="exact"/>
              <w:rPr>
                <w:sz w:val="20"/>
                <w:szCs w:val="20"/>
                <w:color w:val="auto"/>
              </w:rPr>
            </w:pPr>
            <w:r>
              <w:rPr>
                <w:rFonts w:ascii="Arial" w:cs="Arial" w:eastAsia="Arial" w:hAnsi="Arial"/>
                <w:sz w:val="22"/>
                <w:szCs w:val="22"/>
                <w:color w:val="auto"/>
              </w:rPr>
              <w:t>(20.9)</w:t>
            </w:r>
          </w:p>
        </w:tc>
        <w:tc>
          <w:tcPr>
            <w:tcW w:w="1060" w:type="dxa"/>
            <w:vAlign w:val="bottom"/>
            <w:gridSpan w:val="2"/>
          </w:tcPr>
          <w:p>
            <w:pPr>
              <w:jc w:val="right"/>
              <w:ind w:right="92"/>
              <w:spacing w:after="0" w:line="243" w:lineRule="exact"/>
              <w:rPr>
                <w:sz w:val="20"/>
                <w:szCs w:val="20"/>
                <w:color w:val="auto"/>
              </w:rPr>
            </w:pPr>
            <w:r>
              <w:rPr>
                <w:rFonts w:ascii="Arial" w:cs="Arial" w:eastAsia="Arial" w:hAnsi="Arial"/>
                <w:sz w:val="22"/>
                <w:szCs w:val="22"/>
                <w:color w:val="auto"/>
              </w:rPr>
              <w:t>-</w:t>
            </w:r>
          </w:p>
        </w:tc>
        <w:tc>
          <w:tcPr>
            <w:tcW w:w="3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4200" w:type="dxa"/>
            <w:vAlign w:val="bottom"/>
            <w:gridSpan w:val="2"/>
          </w:tcPr>
          <w:p>
            <w:pPr>
              <w:spacing w:after="0"/>
              <w:rPr>
                <w:sz w:val="20"/>
                <w:szCs w:val="20"/>
                <w:color w:val="auto"/>
              </w:rPr>
            </w:pPr>
            <w:r>
              <w:rPr>
                <w:rFonts w:ascii="Arial" w:cs="Arial" w:eastAsia="Arial" w:hAnsi="Arial"/>
                <w:sz w:val="22"/>
                <w:szCs w:val="22"/>
                <w:color w:val="auto"/>
              </w:rPr>
              <w:t>Gain on sale of facility</w:t>
            </w:r>
          </w:p>
        </w:tc>
        <w:tc>
          <w:tcPr>
            <w:tcW w:w="94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1040" w:type="dxa"/>
            <w:vAlign w:val="bottom"/>
            <w:gridSpan w:val="2"/>
          </w:tcPr>
          <w:p>
            <w:pPr>
              <w:jc w:val="right"/>
              <w:ind w:right="72"/>
              <w:spacing w:after="0"/>
              <w:rPr>
                <w:sz w:val="20"/>
                <w:szCs w:val="20"/>
                <w:color w:val="auto"/>
              </w:rPr>
            </w:pPr>
            <w:r>
              <w:rPr>
                <w:rFonts w:ascii="Arial" w:cs="Arial" w:eastAsia="Arial" w:hAnsi="Arial"/>
                <w:sz w:val="22"/>
                <w:szCs w:val="22"/>
                <w:color w:val="auto"/>
              </w:rPr>
              <w:t>-</w:t>
            </w:r>
          </w:p>
        </w:tc>
        <w:tc>
          <w:tcPr>
            <w:tcW w:w="900" w:type="dxa"/>
            <w:vAlign w:val="bottom"/>
            <w:gridSpan w:val="2"/>
          </w:tcPr>
          <w:p>
            <w:pPr>
              <w:jc w:val="right"/>
              <w:ind w:right="72"/>
              <w:spacing w:after="0"/>
              <w:rPr>
                <w:sz w:val="20"/>
                <w:szCs w:val="20"/>
                <w:color w:val="auto"/>
              </w:rPr>
            </w:pPr>
            <w:r>
              <w:rPr>
                <w:rFonts w:ascii="Arial" w:cs="Arial" w:eastAsia="Arial" w:hAnsi="Arial"/>
                <w:sz w:val="22"/>
                <w:szCs w:val="22"/>
                <w:color w:val="auto"/>
              </w:rPr>
              <w:t>-</w:t>
            </w:r>
          </w:p>
        </w:tc>
        <w:tc>
          <w:tcPr>
            <w:tcW w:w="1060" w:type="dxa"/>
            <w:vAlign w:val="bottom"/>
            <w:gridSpan w:val="2"/>
          </w:tcPr>
          <w:p>
            <w:pPr>
              <w:jc w:val="right"/>
              <w:ind w:right="92"/>
              <w:spacing w:after="0"/>
              <w:rPr>
                <w:sz w:val="20"/>
                <w:szCs w:val="20"/>
                <w:color w:val="auto"/>
              </w:rPr>
            </w:pPr>
            <w:r>
              <w:rPr>
                <w:rFonts w:ascii="Arial" w:cs="Arial" w:eastAsia="Arial" w:hAnsi="Arial"/>
                <w:sz w:val="22"/>
                <w:szCs w:val="22"/>
                <w:color w:val="auto"/>
              </w:rPr>
              <w:t>0.7</w:t>
            </w:r>
          </w:p>
        </w:tc>
        <w:tc>
          <w:tcPr>
            <w:tcW w:w="3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4180" w:type="dxa"/>
            <w:vAlign w:val="bottom"/>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bottom w:val="single" w:sz="8" w:color="336699"/>
            </w:tcBorders>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Borders>
              <w:bottom w:val="single" w:sz="8" w:color="336699"/>
            </w:tcBorders>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Borders>
              <w:bottom w:val="single" w:sz="8" w:color="336699"/>
            </w:tcBorders>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Borders>
              <w:bottom w:val="single" w:sz="8" w:color="336699"/>
            </w:tcBorders>
          </w:tcPr>
          <w:p>
            <w:pPr>
              <w:spacing w:after="0"/>
              <w:rPr>
                <w:sz w:val="8"/>
                <w:szCs w:val="8"/>
                <w:color w:val="auto"/>
              </w:rPr>
            </w:pPr>
          </w:p>
        </w:tc>
        <w:tc>
          <w:tcPr>
            <w:tcW w:w="3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8"/>
        </w:trPr>
        <w:tc>
          <w:tcPr>
            <w:tcW w:w="4200" w:type="dxa"/>
            <w:vAlign w:val="bottom"/>
            <w:gridSpan w:val="2"/>
          </w:tcPr>
          <w:p>
            <w:pPr>
              <w:spacing w:after="0"/>
              <w:rPr>
                <w:sz w:val="20"/>
                <w:szCs w:val="20"/>
                <w:color w:val="auto"/>
              </w:rPr>
            </w:pPr>
            <w:r>
              <w:rPr>
                <w:rFonts w:ascii="Arial" w:cs="Arial" w:eastAsia="Arial" w:hAnsi="Arial"/>
                <w:sz w:val="22"/>
                <w:szCs w:val="22"/>
                <w:color w:val="auto"/>
              </w:rPr>
              <w:t>Operating income (loss)</w:t>
            </w:r>
          </w:p>
        </w:tc>
        <w:tc>
          <w:tcPr>
            <w:tcW w:w="940" w:type="dxa"/>
            <w:vAlign w:val="bottom"/>
          </w:tcPr>
          <w:p>
            <w:pPr>
              <w:jc w:val="right"/>
              <w:ind w:right="32"/>
              <w:spacing w:after="0"/>
              <w:rPr>
                <w:sz w:val="20"/>
                <w:szCs w:val="20"/>
                <w:color w:val="auto"/>
              </w:rPr>
            </w:pPr>
            <w:r>
              <w:rPr>
                <w:rFonts w:ascii="Arial" w:cs="Arial" w:eastAsia="Arial" w:hAnsi="Arial"/>
                <w:sz w:val="22"/>
                <w:szCs w:val="22"/>
                <w:color w:val="auto"/>
              </w:rPr>
              <w:t>(198.3)</w:t>
            </w:r>
          </w:p>
        </w:tc>
        <w:tc>
          <w:tcPr>
            <w:tcW w:w="1040" w:type="dxa"/>
            <w:vAlign w:val="bottom"/>
            <w:gridSpan w:val="2"/>
          </w:tcPr>
          <w:p>
            <w:pPr>
              <w:jc w:val="right"/>
              <w:ind w:right="72"/>
              <w:spacing w:after="0"/>
              <w:rPr>
                <w:sz w:val="20"/>
                <w:szCs w:val="20"/>
                <w:color w:val="auto"/>
              </w:rPr>
            </w:pPr>
            <w:r>
              <w:rPr>
                <w:rFonts w:ascii="Arial" w:cs="Arial" w:eastAsia="Arial" w:hAnsi="Arial"/>
                <w:sz w:val="22"/>
                <w:szCs w:val="22"/>
                <w:color w:val="auto"/>
              </w:rPr>
              <w:t>3.3</w:t>
            </w:r>
          </w:p>
        </w:tc>
        <w:tc>
          <w:tcPr>
            <w:tcW w:w="900" w:type="dxa"/>
            <w:vAlign w:val="bottom"/>
            <w:gridSpan w:val="2"/>
          </w:tcPr>
          <w:p>
            <w:pPr>
              <w:jc w:val="right"/>
              <w:ind w:right="32"/>
              <w:spacing w:after="0"/>
              <w:rPr>
                <w:sz w:val="20"/>
                <w:szCs w:val="20"/>
                <w:color w:val="auto"/>
              </w:rPr>
            </w:pPr>
            <w:r>
              <w:rPr>
                <w:rFonts w:ascii="Arial" w:cs="Arial" w:eastAsia="Arial" w:hAnsi="Arial"/>
                <w:sz w:val="22"/>
                <w:szCs w:val="22"/>
                <w:color w:val="auto"/>
              </w:rPr>
              <w:t>(64.9)</w:t>
            </w:r>
          </w:p>
        </w:tc>
        <w:tc>
          <w:tcPr>
            <w:tcW w:w="1060" w:type="dxa"/>
            <w:vAlign w:val="bottom"/>
            <w:gridSpan w:val="2"/>
          </w:tcPr>
          <w:p>
            <w:pPr>
              <w:jc w:val="right"/>
              <w:ind w:right="92"/>
              <w:spacing w:after="0"/>
              <w:rPr>
                <w:sz w:val="20"/>
                <w:szCs w:val="20"/>
                <w:color w:val="auto"/>
              </w:rPr>
            </w:pPr>
            <w:r>
              <w:rPr>
                <w:rFonts w:ascii="Arial" w:cs="Arial" w:eastAsia="Arial" w:hAnsi="Arial"/>
                <w:sz w:val="22"/>
                <w:szCs w:val="22"/>
                <w:color w:val="auto"/>
              </w:rPr>
              <w:t>6.8</w:t>
            </w: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4200" w:type="dxa"/>
            <w:vAlign w:val="bottom"/>
            <w:gridSpan w:val="2"/>
          </w:tcPr>
          <w:p>
            <w:pPr>
              <w:spacing w:after="0"/>
              <w:rPr>
                <w:sz w:val="20"/>
                <w:szCs w:val="20"/>
                <w:color w:val="auto"/>
              </w:rPr>
            </w:pPr>
            <w:r>
              <w:rPr>
                <w:rFonts w:ascii="Arial" w:cs="Arial" w:eastAsia="Arial" w:hAnsi="Arial"/>
                <w:sz w:val="22"/>
                <w:szCs w:val="22"/>
                <w:color w:val="auto"/>
              </w:rPr>
              <w:t>Other income (expense), net</w:t>
            </w:r>
          </w:p>
        </w:tc>
        <w:tc>
          <w:tcPr>
            <w:tcW w:w="940" w:type="dxa"/>
            <w:vAlign w:val="bottom"/>
          </w:tcPr>
          <w:p>
            <w:pPr>
              <w:jc w:val="right"/>
              <w:ind w:right="32"/>
              <w:spacing w:after="0"/>
              <w:rPr>
                <w:sz w:val="20"/>
                <w:szCs w:val="20"/>
                <w:color w:val="auto"/>
              </w:rPr>
            </w:pPr>
            <w:r>
              <w:rPr>
                <w:rFonts w:ascii="Arial" w:cs="Arial" w:eastAsia="Arial" w:hAnsi="Arial"/>
                <w:sz w:val="22"/>
                <w:szCs w:val="22"/>
                <w:color w:val="auto"/>
              </w:rPr>
              <w:t>(2.4)</w:t>
            </w:r>
          </w:p>
        </w:tc>
        <w:tc>
          <w:tcPr>
            <w:tcW w:w="1040" w:type="dxa"/>
            <w:vAlign w:val="bottom"/>
            <w:gridSpan w:val="2"/>
          </w:tcPr>
          <w:p>
            <w:pPr>
              <w:jc w:val="right"/>
              <w:ind w:right="72"/>
              <w:spacing w:after="0"/>
              <w:rPr>
                <w:sz w:val="20"/>
                <w:szCs w:val="20"/>
                <w:color w:val="auto"/>
              </w:rPr>
            </w:pPr>
            <w:r>
              <w:rPr>
                <w:rFonts w:ascii="Arial" w:cs="Arial" w:eastAsia="Arial" w:hAnsi="Arial"/>
                <w:sz w:val="22"/>
                <w:szCs w:val="22"/>
                <w:color w:val="auto"/>
              </w:rPr>
              <w:t>0.8</w:t>
            </w:r>
          </w:p>
        </w:tc>
        <w:tc>
          <w:tcPr>
            <w:tcW w:w="900" w:type="dxa"/>
            <w:vAlign w:val="bottom"/>
            <w:gridSpan w:val="2"/>
          </w:tcPr>
          <w:p>
            <w:pPr>
              <w:jc w:val="right"/>
              <w:ind w:right="32"/>
              <w:spacing w:after="0"/>
              <w:rPr>
                <w:sz w:val="20"/>
                <w:szCs w:val="20"/>
                <w:color w:val="auto"/>
              </w:rPr>
            </w:pPr>
            <w:r>
              <w:rPr>
                <w:rFonts w:ascii="Arial" w:cs="Arial" w:eastAsia="Arial" w:hAnsi="Arial"/>
                <w:sz w:val="22"/>
                <w:szCs w:val="22"/>
                <w:color w:val="auto"/>
              </w:rPr>
              <w:t>(2.0)</w:t>
            </w:r>
          </w:p>
        </w:tc>
        <w:tc>
          <w:tcPr>
            <w:tcW w:w="1060" w:type="dxa"/>
            <w:vAlign w:val="bottom"/>
            <w:gridSpan w:val="2"/>
          </w:tcPr>
          <w:p>
            <w:pPr>
              <w:jc w:val="right"/>
              <w:ind w:right="92"/>
              <w:spacing w:after="0"/>
              <w:rPr>
                <w:sz w:val="20"/>
                <w:szCs w:val="20"/>
                <w:color w:val="auto"/>
              </w:rPr>
            </w:pPr>
            <w:r>
              <w:rPr>
                <w:rFonts w:ascii="Arial" w:cs="Arial" w:eastAsia="Arial" w:hAnsi="Arial"/>
                <w:sz w:val="22"/>
                <w:szCs w:val="22"/>
                <w:color w:val="auto"/>
              </w:rPr>
              <w:t>0.3</w:t>
            </w: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200" w:type="dxa"/>
            <w:vAlign w:val="bottom"/>
            <w:gridSpan w:val="2"/>
            <w:vMerge w:val="restart"/>
          </w:tcPr>
          <w:p>
            <w:pPr>
              <w:spacing w:after="0"/>
              <w:rPr>
                <w:sz w:val="20"/>
                <w:szCs w:val="20"/>
                <w:color w:val="auto"/>
              </w:rPr>
            </w:pPr>
            <w:r>
              <w:rPr>
                <w:rFonts w:ascii="Arial" w:cs="Arial" w:eastAsia="Arial" w:hAnsi="Arial"/>
                <w:sz w:val="22"/>
                <w:szCs w:val="22"/>
                <w:color w:val="auto"/>
              </w:rPr>
              <w:t>Income (loss) before income taxes</w:t>
            </w:r>
          </w:p>
        </w:tc>
        <w:tc>
          <w:tcPr>
            <w:tcW w:w="940" w:type="dxa"/>
            <w:vAlign w:val="bottom"/>
            <w:tcBorders>
              <w:bottom w:val="single" w:sz="8" w:color="336699"/>
            </w:tcBorders>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Borders>
              <w:bottom w:val="single" w:sz="8" w:color="336699"/>
            </w:tcBorders>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Borders>
              <w:bottom w:val="single" w:sz="8" w:color="336699"/>
            </w:tcBorders>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Borders>
              <w:bottom w:val="single" w:sz="8" w:color="336699"/>
            </w:tcBorders>
          </w:tcPr>
          <w:p>
            <w:pPr>
              <w:spacing w:after="0"/>
              <w:rPr>
                <w:sz w:val="8"/>
                <w:szCs w:val="8"/>
                <w:color w:val="auto"/>
              </w:rPr>
            </w:pPr>
          </w:p>
        </w:tc>
        <w:tc>
          <w:tcPr>
            <w:tcW w:w="3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7"/>
        </w:trPr>
        <w:tc>
          <w:tcPr>
            <w:tcW w:w="4200" w:type="dxa"/>
            <w:vAlign w:val="bottom"/>
            <w:gridSpan w:val="2"/>
            <w:vMerge w:val="continue"/>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200" w:type="dxa"/>
            <w:vAlign w:val="bottom"/>
            <w:gridSpan w:val="2"/>
          </w:tcPr>
          <w:p>
            <w:pPr>
              <w:spacing w:after="0" w:line="243" w:lineRule="exact"/>
              <w:rPr>
                <w:sz w:val="20"/>
                <w:szCs w:val="20"/>
                <w:color w:val="auto"/>
              </w:rPr>
            </w:pPr>
            <w:r>
              <w:rPr>
                <w:rFonts w:ascii="Arial" w:cs="Arial" w:eastAsia="Arial" w:hAnsi="Arial"/>
                <w:sz w:val="22"/>
                <w:szCs w:val="22"/>
                <w:color w:val="auto"/>
              </w:rPr>
              <w:t>and minority interest</w:t>
            </w:r>
          </w:p>
        </w:tc>
        <w:tc>
          <w:tcPr>
            <w:tcW w:w="940" w:type="dxa"/>
            <w:vAlign w:val="bottom"/>
          </w:tcPr>
          <w:p>
            <w:pPr>
              <w:jc w:val="right"/>
              <w:ind w:right="32"/>
              <w:spacing w:after="0" w:line="243" w:lineRule="exact"/>
              <w:rPr>
                <w:sz w:val="20"/>
                <w:szCs w:val="20"/>
                <w:color w:val="auto"/>
              </w:rPr>
            </w:pPr>
            <w:r>
              <w:rPr>
                <w:rFonts w:ascii="Arial" w:cs="Arial" w:eastAsia="Arial" w:hAnsi="Arial"/>
                <w:sz w:val="22"/>
                <w:szCs w:val="22"/>
                <w:color w:val="auto"/>
              </w:rPr>
              <w:t>(200.7)</w:t>
            </w:r>
          </w:p>
        </w:tc>
        <w:tc>
          <w:tcPr>
            <w:tcW w:w="1040" w:type="dxa"/>
            <w:vAlign w:val="bottom"/>
            <w:gridSpan w:val="2"/>
          </w:tcPr>
          <w:p>
            <w:pPr>
              <w:jc w:val="right"/>
              <w:ind w:right="72"/>
              <w:spacing w:after="0" w:line="243" w:lineRule="exact"/>
              <w:rPr>
                <w:sz w:val="20"/>
                <w:szCs w:val="20"/>
                <w:color w:val="auto"/>
              </w:rPr>
            </w:pPr>
            <w:r>
              <w:rPr>
                <w:rFonts w:ascii="Arial" w:cs="Arial" w:eastAsia="Arial" w:hAnsi="Arial"/>
                <w:sz w:val="22"/>
                <w:szCs w:val="22"/>
                <w:color w:val="auto"/>
              </w:rPr>
              <w:t>4.1</w:t>
            </w:r>
          </w:p>
        </w:tc>
        <w:tc>
          <w:tcPr>
            <w:tcW w:w="900" w:type="dxa"/>
            <w:vAlign w:val="bottom"/>
            <w:gridSpan w:val="2"/>
          </w:tcPr>
          <w:p>
            <w:pPr>
              <w:jc w:val="right"/>
              <w:ind w:right="32"/>
              <w:spacing w:after="0" w:line="243" w:lineRule="exact"/>
              <w:rPr>
                <w:sz w:val="20"/>
                <w:szCs w:val="20"/>
                <w:color w:val="auto"/>
              </w:rPr>
            </w:pPr>
            <w:r>
              <w:rPr>
                <w:rFonts w:ascii="Arial" w:cs="Arial" w:eastAsia="Arial" w:hAnsi="Arial"/>
                <w:sz w:val="22"/>
                <w:szCs w:val="22"/>
                <w:color w:val="auto"/>
              </w:rPr>
              <w:t>(66.9)</w:t>
            </w:r>
          </w:p>
        </w:tc>
        <w:tc>
          <w:tcPr>
            <w:tcW w:w="1060" w:type="dxa"/>
            <w:vAlign w:val="bottom"/>
            <w:gridSpan w:val="2"/>
          </w:tcPr>
          <w:p>
            <w:pPr>
              <w:jc w:val="right"/>
              <w:ind w:right="92"/>
              <w:spacing w:after="0" w:line="243" w:lineRule="exact"/>
              <w:rPr>
                <w:sz w:val="20"/>
                <w:szCs w:val="20"/>
                <w:color w:val="auto"/>
              </w:rPr>
            </w:pPr>
            <w:r>
              <w:rPr>
                <w:rFonts w:ascii="Arial" w:cs="Arial" w:eastAsia="Arial" w:hAnsi="Arial"/>
                <w:sz w:val="22"/>
                <w:szCs w:val="22"/>
                <w:color w:val="auto"/>
              </w:rPr>
              <w:t>7.1</w:t>
            </w:r>
          </w:p>
        </w:tc>
        <w:tc>
          <w:tcPr>
            <w:tcW w:w="3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0" w:type="dxa"/>
            <w:vAlign w:val="bottom"/>
            <w:gridSpan w:val="2"/>
          </w:tcPr>
          <w:p>
            <w:pPr>
              <w:spacing w:after="0" w:line="243" w:lineRule="exact"/>
              <w:rPr>
                <w:sz w:val="20"/>
                <w:szCs w:val="20"/>
                <w:color w:val="auto"/>
              </w:rPr>
            </w:pPr>
            <w:r>
              <w:rPr>
                <w:rFonts w:ascii="Arial" w:cs="Arial" w:eastAsia="Arial" w:hAnsi="Arial"/>
                <w:sz w:val="22"/>
                <w:szCs w:val="22"/>
                <w:color w:val="auto"/>
              </w:rPr>
              <w:t>Income tax benefit (provision)</w:t>
            </w:r>
          </w:p>
        </w:tc>
        <w:tc>
          <w:tcPr>
            <w:tcW w:w="940" w:type="dxa"/>
            <w:vAlign w:val="bottom"/>
          </w:tcPr>
          <w:p>
            <w:pPr>
              <w:jc w:val="right"/>
              <w:ind w:right="72"/>
              <w:spacing w:after="0" w:line="243" w:lineRule="exact"/>
              <w:rPr>
                <w:sz w:val="20"/>
                <w:szCs w:val="20"/>
                <w:color w:val="auto"/>
              </w:rPr>
            </w:pPr>
            <w:r>
              <w:rPr>
                <w:rFonts w:ascii="Arial" w:cs="Arial" w:eastAsia="Arial" w:hAnsi="Arial"/>
                <w:sz w:val="22"/>
                <w:szCs w:val="22"/>
                <w:color w:val="auto"/>
              </w:rPr>
              <w:t>6.6</w:t>
            </w:r>
          </w:p>
        </w:tc>
        <w:tc>
          <w:tcPr>
            <w:tcW w:w="1040" w:type="dxa"/>
            <w:vAlign w:val="bottom"/>
            <w:gridSpan w:val="2"/>
          </w:tcPr>
          <w:p>
            <w:pPr>
              <w:jc w:val="right"/>
              <w:ind w:right="32"/>
              <w:spacing w:after="0" w:line="243" w:lineRule="exact"/>
              <w:rPr>
                <w:sz w:val="20"/>
                <w:szCs w:val="20"/>
                <w:color w:val="auto"/>
              </w:rPr>
            </w:pPr>
            <w:r>
              <w:rPr>
                <w:rFonts w:ascii="Arial" w:cs="Arial" w:eastAsia="Arial" w:hAnsi="Arial"/>
                <w:sz w:val="22"/>
                <w:szCs w:val="22"/>
                <w:color w:val="auto"/>
              </w:rPr>
              <w:t>(1.1)</w:t>
            </w:r>
          </w:p>
        </w:tc>
        <w:tc>
          <w:tcPr>
            <w:tcW w:w="900" w:type="dxa"/>
            <w:vAlign w:val="bottom"/>
            <w:gridSpan w:val="2"/>
          </w:tcPr>
          <w:p>
            <w:pPr>
              <w:jc w:val="right"/>
              <w:ind w:right="72"/>
              <w:spacing w:after="0" w:line="243" w:lineRule="exact"/>
              <w:rPr>
                <w:sz w:val="20"/>
                <w:szCs w:val="20"/>
                <w:color w:val="auto"/>
              </w:rPr>
            </w:pPr>
            <w:r>
              <w:rPr>
                <w:rFonts w:ascii="Arial" w:cs="Arial" w:eastAsia="Arial" w:hAnsi="Arial"/>
                <w:sz w:val="22"/>
                <w:szCs w:val="22"/>
                <w:color w:val="auto"/>
              </w:rPr>
              <w:t>1.3</w:t>
            </w:r>
          </w:p>
        </w:tc>
        <w:tc>
          <w:tcPr>
            <w:tcW w:w="1060" w:type="dxa"/>
            <w:vAlign w:val="bottom"/>
            <w:gridSpan w:val="2"/>
          </w:tcPr>
          <w:p>
            <w:pPr>
              <w:jc w:val="right"/>
              <w:ind w:right="92"/>
              <w:spacing w:after="0" w:line="243" w:lineRule="exact"/>
              <w:rPr>
                <w:sz w:val="20"/>
                <w:szCs w:val="20"/>
                <w:color w:val="auto"/>
              </w:rPr>
            </w:pPr>
            <w:r>
              <w:rPr>
                <w:rFonts w:ascii="Arial" w:cs="Arial" w:eastAsia="Arial" w:hAnsi="Arial"/>
                <w:sz w:val="22"/>
                <w:szCs w:val="22"/>
                <w:color w:val="auto"/>
              </w:rPr>
              <w:t>1.2</w:t>
            </w:r>
          </w:p>
        </w:tc>
        <w:tc>
          <w:tcPr>
            <w:tcW w:w="3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4200" w:type="dxa"/>
            <w:vAlign w:val="bottom"/>
            <w:gridSpan w:val="2"/>
          </w:tcPr>
          <w:p>
            <w:pPr>
              <w:spacing w:after="0"/>
              <w:rPr>
                <w:sz w:val="20"/>
                <w:szCs w:val="20"/>
                <w:color w:val="auto"/>
              </w:rPr>
            </w:pPr>
            <w:r>
              <w:rPr>
                <w:rFonts w:ascii="Arial" w:cs="Arial" w:eastAsia="Arial" w:hAnsi="Arial"/>
                <w:sz w:val="22"/>
                <w:szCs w:val="22"/>
                <w:color w:val="auto"/>
              </w:rPr>
              <w:t>Minority interest</w:t>
            </w:r>
          </w:p>
        </w:tc>
        <w:tc>
          <w:tcPr>
            <w:tcW w:w="940" w:type="dxa"/>
            <w:vAlign w:val="bottom"/>
          </w:tcPr>
          <w:p>
            <w:pPr>
              <w:jc w:val="right"/>
              <w:ind w:right="32"/>
              <w:spacing w:after="0"/>
              <w:rPr>
                <w:sz w:val="20"/>
                <w:szCs w:val="20"/>
                <w:color w:val="auto"/>
              </w:rPr>
            </w:pPr>
            <w:r>
              <w:rPr>
                <w:rFonts w:ascii="Arial" w:cs="Arial" w:eastAsia="Arial" w:hAnsi="Arial"/>
                <w:sz w:val="22"/>
                <w:szCs w:val="22"/>
                <w:color w:val="auto"/>
              </w:rPr>
              <w:t>(0.4)</w:t>
            </w:r>
          </w:p>
        </w:tc>
        <w:tc>
          <w:tcPr>
            <w:tcW w:w="1040" w:type="dxa"/>
            <w:vAlign w:val="bottom"/>
            <w:gridSpan w:val="2"/>
          </w:tcPr>
          <w:p>
            <w:pPr>
              <w:jc w:val="right"/>
              <w:ind w:right="32"/>
              <w:spacing w:after="0"/>
              <w:rPr>
                <w:sz w:val="20"/>
                <w:szCs w:val="20"/>
                <w:color w:val="auto"/>
              </w:rPr>
            </w:pPr>
            <w:r>
              <w:rPr>
                <w:rFonts w:ascii="Arial" w:cs="Arial" w:eastAsia="Arial" w:hAnsi="Arial"/>
                <w:sz w:val="22"/>
                <w:szCs w:val="22"/>
                <w:color w:val="auto"/>
              </w:rPr>
              <w:t>(0.9)</w:t>
            </w:r>
          </w:p>
        </w:tc>
        <w:tc>
          <w:tcPr>
            <w:tcW w:w="900" w:type="dxa"/>
            <w:vAlign w:val="bottom"/>
            <w:gridSpan w:val="2"/>
          </w:tcPr>
          <w:p>
            <w:pPr>
              <w:jc w:val="right"/>
              <w:ind w:right="32"/>
              <w:spacing w:after="0"/>
              <w:rPr>
                <w:sz w:val="20"/>
                <w:szCs w:val="20"/>
                <w:color w:val="auto"/>
              </w:rPr>
            </w:pPr>
            <w:r>
              <w:rPr>
                <w:rFonts w:ascii="Arial" w:cs="Arial" w:eastAsia="Arial" w:hAnsi="Arial"/>
                <w:sz w:val="22"/>
                <w:szCs w:val="22"/>
                <w:color w:val="auto"/>
              </w:rPr>
              <w:t>(0.5)</w:t>
            </w:r>
          </w:p>
        </w:tc>
        <w:tc>
          <w:tcPr>
            <w:tcW w:w="1060" w:type="dxa"/>
            <w:vAlign w:val="bottom"/>
            <w:gridSpan w:val="2"/>
          </w:tcPr>
          <w:p>
            <w:pPr>
              <w:jc w:val="right"/>
              <w:ind w:right="32"/>
              <w:spacing w:after="0"/>
              <w:rPr>
                <w:sz w:val="20"/>
                <w:szCs w:val="20"/>
                <w:color w:val="auto"/>
              </w:rPr>
            </w:pPr>
            <w:r>
              <w:rPr>
                <w:rFonts w:ascii="Arial" w:cs="Arial" w:eastAsia="Arial" w:hAnsi="Arial"/>
                <w:sz w:val="22"/>
                <w:szCs w:val="22"/>
                <w:color w:val="auto"/>
              </w:rPr>
              <w:t>(0.7)</w:t>
            </w:r>
          </w:p>
        </w:tc>
        <w:tc>
          <w:tcPr>
            <w:tcW w:w="3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4180" w:type="dxa"/>
            <w:vAlign w:val="bottom"/>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bottom w:val="single" w:sz="8" w:color="336699"/>
            </w:tcBorders>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Borders>
              <w:bottom w:val="single" w:sz="8" w:color="336699"/>
            </w:tcBorders>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Borders>
              <w:bottom w:val="single" w:sz="8" w:color="336699"/>
            </w:tcBorders>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Borders>
              <w:bottom w:val="single" w:sz="8" w:color="336699"/>
            </w:tcBorders>
          </w:tcPr>
          <w:p>
            <w:pPr>
              <w:spacing w:after="0"/>
              <w:rPr>
                <w:sz w:val="8"/>
                <w:szCs w:val="8"/>
                <w:color w:val="auto"/>
              </w:rPr>
            </w:pPr>
          </w:p>
        </w:tc>
        <w:tc>
          <w:tcPr>
            <w:tcW w:w="3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8"/>
        </w:trPr>
        <w:tc>
          <w:tcPr>
            <w:tcW w:w="4200" w:type="dxa"/>
            <w:vAlign w:val="bottom"/>
            <w:gridSpan w:val="2"/>
          </w:tcPr>
          <w:p>
            <w:pPr>
              <w:spacing w:after="0"/>
              <w:rPr>
                <w:sz w:val="20"/>
                <w:szCs w:val="20"/>
                <w:color w:val="auto"/>
              </w:rPr>
            </w:pPr>
            <w:r>
              <w:rPr>
                <w:rFonts w:ascii="Arial" w:cs="Arial" w:eastAsia="Arial" w:hAnsi="Arial"/>
                <w:sz w:val="22"/>
                <w:szCs w:val="22"/>
                <w:color w:val="auto"/>
              </w:rPr>
              <w:t>Net income (loss)</w:t>
            </w:r>
          </w:p>
        </w:tc>
        <w:tc>
          <w:tcPr>
            <w:tcW w:w="940" w:type="dxa"/>
            <w:vAlign w:val="bottom"/>
          </w:tcPr>
          <w:p>
            <w:pPr>
              <w:jc w:val="right"/>
              <w:spacing w:after="0"/>
              <w:rPr>
                <w:sz w:val="20"/>
                <w:szCs w:val="20"/>
                <w:color w:val="auto"/>
              </w:rPr>
            </w:pPr>
            <w:r>
              <w:rPr>
                <w:rFonts w:ascii="Arial" w:cs="Arial" w:eastAsia="Arial" w:hAnsi="Arial"/>
                <w:sz w:val="22"/>
                <w:szCs w:val="22"/>
                <w:color w:val="auto"/>
              </w:rPr>
              <w:t>(194.5)%</w:t>
            </w:r>
          </w:p>
        </w:tc>
        <w:tc>
          <w:tcPr>
            <w:tcW w:w="1040" w:type="dxa"/>
            <w:vAlign w:val="bottom"/>
            <w:gridSpan w:val="2"/>
          </w:tcPr>
          <w:p>
            <w:pPr>
              <w:jc w:val="right"/>
              <w:spacing w:after="0"/>
              <w:rPr>
                <w:sz w:val="20"/>
                <w:szCs w:val="20"/>
                <w:color w:val="auto"/>
              </w:rPr>
            </w:pPr>
            <w:r>
              <w:rPr>
                <w:rFonts w:ascii="Arial" w:cs="Arial" w:eastAsia="Arial" w:hAnsi="Arial"/>
                <w:sz w:val="22"/>
                <w:szCs w:val="22"/>
                <w:color w:val="auto"/>
              </w:rPr>
              <w:t>2.1%</w:t>
            </w:r>
          </w:p>
        </w:tc>
        <w:tc>
          <w:tcPr>
            <w:tcW w:w="900" w:type="dxa"/>
            <w:vAlign w:val="bottom"/>
            <w:gridSpan w:val="2"/>
          </w:tcPr>
          <w:p>
            <w:pPr>
              <w:jc w:val="right"/>
              <w:spacing w:after="0"/>
              <w:rPr>
                <w:sz w:val="20"/>
                <w:szCs w:val="20"/>
                <w:color w:val="auto"/>
              </w:rPr>
            </w:pPr>
            <w:r>
              <w:rPr>
                <w:rFonts w:ascii="Arial" w:cs="Arial" w:eastAsia="Arial" w:hAnsi="Arial"/>
                <w:sz w:val="22"/>
                <w:szCs w:val="22"/>
                <w:color w:val="auto"/>
              </w:rPr>
              <w:t>(66.1)%</w:t>
            </w:r>
          </w:p>
        </w:tc>
        <w:tc>
          <w:tcPr>
            <w:tcW w:w="1060" w:type="dxa"/>
            <w:vAlign w:val="bottom"/>
            <w:gridSpan w:val="2"/>
          </w:tcPr>
          <w:p>
            <w:pPr>
              <w:jc w:val="right"/>
              <w:spacing w:after="0"/>
              <w:rPr>
                <w:sz w:val="20"/>
                <w:szCs w:val="20"/>
                <w:color w:val="auto"/>
              </w:rPr>
            </w:pPr>
            <w:r>
              <w:rPr>
                <w:rFonts w:ascii="Arial" w:cs="Arial" w:eastAsia="Arial" w:hAnsi="Arial"/>
                <w:sz w:val="22"/>
                <w:szCs w:val="22"/>
                <w:color w:val="auto"/>
              </w:rPr>
              <w:t>7.6%</w:t>
            </w: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418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940" w:type="dxa"/>
            <w:vAlign w:val="bottom"/>
            <w:tcBorders>
              <w:bottom w:val="single" w:sz="8" w:color="336699"/>
            </w:tcBorders>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Borders>
              <w:bottom w:val="single" w:sz="8" w:color="336699"/>
            </w:tcBorders>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Borders>
              <w:bottom w:val="single" w:sz="8" w:color="336699"/>
            </w:tcBorders>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Borders>
              <w:bottom w:val="single" w:sz="8" w:color="336699"/>
            </w:tcBorders>
          </w:tcPr>
          <w:p>
            <w:pPr>
              <w:spacing w:after="0"/>
              <w:rPr>
                <w:sz w:val="10"/>
                <w:szCs w:val="10"/>
                <w:color w:val="auto"/>
              </w:rPr>
            </w:pPr>
          </w:p>
        </w:tc>
        <w:tc>
          <w:tcPr>
            <w:tcW w:w="3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7"/>
        </w:trPr>
        <w:tc>
          <w:tcPr>
            <w:tcW w:w="4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40" w:type="dxa"/>
            <w:vAlign w:val="bottom"/>
            <w:gridSpan w:val="2"/>
          </w:tcPr>
          <w:p>
            <w:pPr>
              <w:jc w:val="center"/>
              <w:ind w:left="12"/>
              <w:spacing w:after="0"/>
              <w:rPr>
                <w:sz w:val="20"/>
                <w:szCs w:val="20"/>
                <w:color w:val="auto"/>
              </w:rPr>
            </w:pPr>
            <w:r>
              <w:rPr>
                <w:rFonts w:ascii="Arial" w:cs="Arial" w:eastAsia="Arial" w:hAnsi="Arial"/>
                <w:sz w:val="22"/>
                <w:szCs w:val="22"/>
                <w:color w:val="auto"/>
                <w:w w:val="91"/>
              </w:rPr>
              <w:t>-16-</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1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330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3253105</wp:posOffset>
            </wp:positionH>
            <wp:positionV relativeFrom="paragraph">
              <wp:posOffset>-695960</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2653030</wp:posOffset>
            </wp:positionH>
            <wp:positionV relativeFrom="paragraph">
              <wp:posOffset>-695960</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-695960</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-695960</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-695960</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-695960</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-695960</wp:posOffset>
            </wp:positionV>
            <wp:extent cx="127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-695960</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60"/>
        <w:spacing w:after="0"/>
        <w:rPr>
          <w:sz w:val="20"/>
          <w:szCs w:val="20"/>
          <w:color w:val="auto"/>
        </w:rPr>
      </w:pPr>
      <w:r>
        <w:rPr>
          <w:rFonts w:ascii="Arial" w:cs="Arial" w:eastAsia="Arial" w:hAnsi="Arial"/>
          <w:sz w:val="19"/>
          <w:szCs w:val="19"/>
          <w:color w:val="auto"/>
        </w:rPr>
        <w:t>All of the following tabular comparisons, unless otherwise indicated, are for the three months ended July 27, 2008 (Q3-08) and</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July 29, 2007 (Q3-07) and for the nine months ended July 27, 2008 (YTD-08) and July 29, 2007 (YTD-07) in millions of dollars: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420" w:type="dxa"/>
            <w:vAlign w:val="bottom"/>
            <w:gridSpan w:val="2"/>
          </w:tcPr>
          <w:p>
            <w:pPr>
              <w:spacing w:after="0"/>
              <w:rPr>
                <w:sz w:val="20"/>
                <w:szCs w:val="20"/>
                <w:color w:val="auto"/>
              </w:rPr>
            </w:pPr>
            <w:r>
              <w:rPr>
                <w:rFonts w:ascii="Arial" w:cs="Arial" w:eastAsia="Arial" w:hAnsi="Arial"/>
                <w:sz w:val="22"/>
                <w:szCs w:val="22"/>
                <w:b w:val="1"/>
                <w:bCs w:val="1"/>
                <w:i w:val="1"/>
                <w:iCs w:val="1"/>
                <w:color w:val="auto"/>
              </w:rPr>
              <w:t>Net Sales</w:t>
            </w: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459"/>
        </w:trPr>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40" w:type="dxa"/>
            <w:vAlign w:val="bottom"/>
            <w:gridSpan w:val="5"/>
          </w:tcPr>
          <w:p>
            <w:pPr>
              <w:jc w:val="right"/>
              <w:spacing w:after="0"/>
              <w:rPr>
                <w:sz w:val="20"/>
                <w:szCs w:val="20"/>
                <w:color w:val="auto"/>
              </w:rPr>
            </w:pPr>
            <w:r>
              <w:rPr>
                <w:rFonts w:ascii="Arial" w:cs="Arial" w:eastAsia="Arial" w:hAnsi="Arial"/>
                <w:sz w:val="22"/>
                <w:szCs w:val="22"/>
                <w:b w:val="1"/>
                <w:bCs w:val="1"/>
                <w:color w:val="auto"/>
                <w:w w:val="92"/>
              </w:rPr>
              <w:t>Three Months Ended</w:t>
            </w:r>
          </w:p>
        </w:tc>
        <w:tc>
          <w:tcPr>
            <w:tcW w:w="140" w:type="dxa"/>
            <w:vAlign w:val="bottom"/>
          </w:tcPr>
          <w:p>
            <w:pPr>
              <w:spacing w:after="0"/>
              <w:rPr>
                <w:sz w:val="24"/>
                <w:szCs w:val="24"/>
                <w:color w:val="auto"/>
              </w:rPr>
            </w:pPr>
          </w:p>
        </w:tc>
        <w:tc>
          <w:tcPr>
            <w:tcW w:w="2460" w:type="dxa"/>
            <w:vAlign w:val="bottom"/>
            <w:gridSpan w:val="5"/>
          </w:tcPr>
          <w:p>
            <w:pPr>
              <w:jc w:val="right"/>
              <w:ind w:right="212"/>
              <w:spacing w:after="0"/>
              <w:rPr>
                <w:sz w:val="20"/>
                <w:szCs w:val="20"/>
                <w:color w:val="auto"/>
              </w:rPr>
            </w:pPr>
            <w:r>
              <w:rPr>
                <w:rFonts w:ascii="Arial" w:cs="Arial" w:eastAsia="Arial" w:hAnsi="Arial"/>
                <w:sz w:val="22"/>
                <w:szCs w:val="22"/>
                <w:b w:val="1"/>
                <w:bCs w:val="1"/>
                <w:color w:val="auto"/>
              </w:rPr>
              <w:t>Nine Months Ended</w:t>
            </w:r>
          </w:p>
        </w:tc>
      </w:tr>
      <w:tr>
        <w:trPr>
          <w:trHeight w:val="112"/>
        </w:trPr>
        <w:tc>
          <w:tcPr>
            <w:tcW w:w="140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r>
      <w:tr>
        <w:trPr>
          <w:trHeight w:val="317"/>
        </w:trPr>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2"/>
                <w:szCs w:val="22"/>
                <w:b w:val="1"/>
                <w:bCs w:val="1"/>
                <w:color w:val="auto"/>
                <w:w w:val="84"/>
              </w:rPr>
              <w:t>Percent</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2"/>
                <w:szCs w:val="22"/>
                <w:b w:val="1"/>
                <w:bCs w:val="1"/>
                <w:color w:val="auto"/>
                <w:w w:val="86"/>
              </w:rPr>
              <w:t>Percent</w:t>
            </w:r>
          </w:p>
        </w:tc>
      </w:tr>
      <w:tr>
        <w:trPr>
          <w:trHeight w:val="281"/>
        </w:trPr>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40" w:type="dxa"/>
            <w:vAlign w:val="bottom"/>
            <w:gridSpan w:val="5"/>
          </w:tcPr>
          <w:p>
            <w:pPr>
              <w:jc w:val="right"/>
              <w:spacing w:after="0"/>
              <w:rPr>
                <w:sz w:val="20"/>
                <w:szCs w:val="20"/>
                <w:color w:val="auto"/>
              </w:rPr>
            </w:pPr>
            <w:r>
              <w:rPr>
                <w:rFonts w:ascii="Arial" w:cs="Arial" w:eastAsia="Arial" w:hAnsi="Arial"/>
                <w:sz w:val="22"/>
                <w:szCs w:val="22"/>
                <w:b w:val="1"/>
                <w:bCs w:val="1"/>
                <w:color w:val="auto"/>
                <w:w w:val="96"/>
              </w:rPr>
              <w:t>Q3-08 Q3-07 Change</w:t>
            </w:r>
          </w:p>
        </w:tc>
        <w:tc>
          <w:tcPr>
            <w:tcW w:w="140" w:type="dxa"/>
            <w:vAlign w:val="bottom"/>
          </w:tcPr>
          <w:p>
            <w:pPr>
              <w:spacing w:after="0"/>
              <w:rPr>
                <w:sz w:val="24"/>
                <w:szCs w:val="24"/>
                <w:color w:val="auto"/>
              </w:rPr>
            </w:pPr>
          </w:p>
        </w:tc>
        <w:tc>
          <w:tcPr>
            <w:tcW w:w="2460" w:type="dxa"/>
            <w:vAlign w:val="bottom"/>
            <w:gridSpan w:val="5"/>
          </w:tcPr>
          <w:p>
            <w:pPr>
              <w:jc w:val="right"/>
              <w:spacing w:after="0"/>
              <w:rPr>
                <w:sz w:val="20"/>
                <w:szCs w:val="20"/>
                <w:color w:val="auto"/>
              </w:rPr>
            </w:pPr>
            <w:r>
              <w:rPr>
                <w:rFonts w:ascii="Arial" w:cs="Arial" w:eastAsia="Arial" w:hAnsi="Arial"/>
                <w:sz w:val="22"/>
                <w:szCs w:val="22"/>
                <w:b w:val="1"/>
                <w:bCs w:val="1"/>
                <w:color w:val="auto"/>
                <w:w w:val="98"/>
              </w:rPr>
              <w:t>YTD-08 YTD-07 Change</w:t>
            </w:r>
          </w:p>
        </w:tc>
      </w:tr>
      <w:tr>
        <w:trPr>
          <w:trHeight w:val="98"/>
        </w:trPr>
        <w:tc>
          <w:tcPr>
            <w:tcW w:w="14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r>
      <w:tr>
        <w:trPr>
          <w:trHeight w:val="580"/>
        </w:trPr>
        <w:tc>
          <w:tcPr>
            <w:tcW w:w="1420" w:type="dxa"/>
            <w:vAlign w:val="bottom"/>
            <w:gridSpan w:val="2"/>
          </w:tcPr>
          <w:p>
            <w:pPr>
              <w:spacing w:after="0"/>
              <w:rPr>
                <w:sz w:val="20"/>
                <w:szCs w:val="20"/>
                <w:color w:val="auto"/>
              </w:rPr>
            </w:pPr>
            <w:r>
              <w:rPr>
                <w:rFonts w:ascii="Arial" w:cs="Arial" w:eastAsia="Arial" w:hAnsi="Arial"/>
                <w:sz w:val="22"/>
                <w:szCs w:val="22"/>
                <w:color w:val="auto"/>
              </w:rPr>
              <w:t>IC</w:t>
            </w:r>
          </w:p>
        </w:tc>
        <w:tc>
          <w:tcPr>
            <w:tcW w:w="620" w:type="dxa"/>
            <w:vAlign w:val="bottom"/>
          </w:tcPr>
          <w:p>
            <w:pPr>
              <w:jc w:val="right"/>
              <w:spacing w:after="0"/>
              <w:rPr>
                <w:sz w:val="20"/>
                <w:szCs w:val="20"/>
                <w:color w:val="auto"/>
              </w:rPr>
            </w:pPr>
            <w:r>
              <w:rPr>
                <w:rFonts w:ascii="Arial" w:cs="Arial" w:eastAsia="Arial" w:hAnsi="Arial"/>
                <w:sz w:val="22"/>
                <w:szCs w:val="22"/>
                <w:color w:val="auto"/>
                <w:w w:val="91"/>
              </w:rPr>
              <w:t>$ 77.1</w:t>
            </w:r>
          </w:p>
        </w:tc>
        <w:tc>
          <w:tcPr>
            <w:tcW w:w="700" w:type="dxa"/>
            <w:vAlign w:val="bottom"/>
            <w:gridSpan w:val="2"/>
          </w:tcPr>
          <w:p>
            <w:pPr>
              <w:jc w:val="right"/>
              <w:ind w:right="40"/>
              <w:spacing w:after="0"/>
              <w:rPr>
                <w:sz w:val="20"/>
                <w:szCs w:val="20"/>
                <w:color w:val="auto"/>
              </w:rPr>
            </w:pPr>
            <w:r>
              <w:rPr>
                <w:rFonts w:ascii="Arial" w:cs="Arial" w:eastAsia="Arial" w:hAnsi="Arial"/>
                <w:sz w:val="22"/>
                <w:szCs w:val="22"/>
                <w:color w:val="auto"/>
              </w:rPr>
              <w:t>$ 85.3</w:t>
            </w:r>
          </w:p>
        </w:tc>
        <w:tc>
          <w:tcPr>
            <w:tcW w:w="820" w:type="dxa"/>
            <w:vAlign w:val="bottom"/>
            <w:gridSpan w:val="2"/>
          </w:tcPr>
          <w:p>
            <w:pPr>
              <w:jc w:val="right"/>
              <w:spacing w:after="0"/>
              <w:rPr>
                <w:sz w:val="20"/>
                <w:szCs w:val="20"/>
                <w:color w:val="auto"/>
              </w:rPr>
            </w:pPr>
            <w:r>
              <w:rPr>
                <w:rFonts w:ascii="Arial" w:cs="Arial" w:eastAsia="Arial" w:hAnsi="Arial"/>
                <w:sz w:val="22"/>
                <w:szCs w:val="22"/>
                <w:color w:val="auto"/>
              </w:rPr>
              <w:t>(9.6)%</w:t>
            </w:r>
          </w:p>
        </w:tc>
        <w:tc>
          <w:tcPr>
            <w:tcW w:w="920" w:type="dxa"/>
            <w:vAlign w:val="bottom"/>
            <w:gridSpan w:val="2"/>
          </w:tcPr>
          <w:p>
            <w:pPr>
              <w:jc w:val="right"/>
              <w:spacing w:after="0"/>
              <w:rPr>
                <w:sz w:val="20"/>
                <w:szCs w:val="20"/>
                <w:color w:val="auto"/>
              </w:rPr>
            </w:pPr>
            <w:r>
              <w:rPr>
                <w:rFonts w:ascii="Arial" w:cs="Arial" w:eastAsia="Arial" w:hAnsi="Arial"/>
                <w:sz w:val="22"/>
                <w:szCs w:val="22"/>
                <w:color w:val="auto"/>
              </w:rPr>
              <w:t>$237.5</w:t>
            </w:r>
          </w:p>
        </w:tc>
        <w:tc>
          <w:tcPr>
            <w:tcW w:w="860" w:type="dxa"/>
            <w:vAlign w:val="bottom"/>
            <w:gridSpan w:val="2"/>
          </w:tcPr>
          <w:p>
            <w:pPr>
              <w:jc w:val="right"/>
              <w:ind w:right="20"/>
              <w:spacing w:after="0"/>
              <w:rPr>
                <w:sz w:val="20"/>
                <w:szCs w:val="20"/>
                <w:color w:val="auto"/>
              </w:rPr>
            </w:pPr>
            <w:r>
              <w:rPr>
                <w:rFonts w:ascii="Arial" w:cs="Arial" w:eastAsia="Arial" w:hAnsi="Arial"/>
                <w:sz w:val="22"/>
                <w:szCs w:val="22"/>
                <w:color w:val="auto"/>
              </w:rPr>
              <w:t>$259.2</w:t>
            </w:r>
          </w:p>
        </w:tc>
        <w:tc>
          <w:tcPr>
            <w:tcW w:w="820" w:type="dxa"/>
            <w:vAlign w:val="bottom"/>
            <w:gridSpan w:val="2"/>
          </w:tcPr>
          <w:p>
            <w:pPr>
              <w:jc w:val="right"/>
              <w:spacing w:after="0"/>
              <w:rPr>
                <w:sz w:val="20"/>
                <w:szCs w:val="20"/>
                <w:color w:val="auto"/>
              </w:rPr>
            </w:pPr>
            <w:r>
              <w:rPr>
                <w:rFonts w:ascii="Arial" w:cs="Arial" w:eastAsia="Arial" w:hAnsi="Arial"/>
                <w:sz w:val="22"/>
                <w:szCs w:val="22"/>
                <w:color w:val="auto"/>
              </w:rPr>
              <w:t>(8.4)%</w:t>
            </w:r>
          </w:p>
        </w:tc>
      </w:tr>
      <w:tr>
        <w:trPr>
          <w:trHeight w:val="275"/>
        </w:trPr>
        <w:tc>
          <w:tcPr>
            <w:tcW w:w="1420" w:type="dxa"/>
            <w:vAlign w:val="bottom"/>
            <w:gridSpan w:val="2"/>
          </w:tcPr>
          <w:p>
            <w:pPr>
              <w:spacing w:after="0"/>
              <w:rPr>
                <w:sz w:val="20"/>
                <w:szCs w:val="20"/>
                <w:color w:val="auto"/>
              </w:rPr>
            </w:pPr>
            <w:r>
              <w:rPr>
                <w:rFonts w:ascii="Arial" w:cs="Arial" w:eastAsia="Arial" w:hAnsi="Arial"/>
                <w:sz w:val="22"/>
                <w:szCs w:val="22"/>
                <w:color w:val="auto"/>
              </w:rPr>
              <w:t>FPD</w:t>
            </w:r>
          </w:p>
        </w:tc>
        <w:tc>
          <w:tcPr>
            <w:tcW w:w="620" w:type="dxa"/>
            <w:vAlign w:val="bottom"/>
          </w:tcPr>
          <w:p>
            <w:pPr>
              <w:jc w:val="right"/>
              <w:spacing w:after="0"/>
              <w:rPr>
                <w:sz w:val="20"/>
                <w:szCs w:val="20"/>
                <w:color w:val="auto"/>
              </w:rPr>
            </w:pPr>
            <w:r>
              <w:rPr>
                <w:rFonts w:ascii="Arial" w:cs="Arial" w:eastAsia="Arial" w:hAnsi="Arial"/>
                <w:sz w:val="22"/>
                <w:szCs w:val="22"/>
                <w:color w:val="auto"/>
              </w:rPr>
              <w:t>28.6</w:t>
            </w:r>
          </w:p>
        </w:tc>
        <w:tc>
          <w:tcPr>
            <w:tcW w:w="700" w:type="dxa"/>
            <w:vAlign w:val="bottom"/>
            <w:gridSpan w:val="2"/>
          </w:tcPr>
          <w:p>
            <w:pPr>
              <w:jc w:val="right"/>
              <w:ind w:right="40"/>
              <w:spacing w:after="0"/>
              <w:rPr>
                <w:sz w:val="20"/>
                <w:szCs w:val="20"/>
                <w:color w:val="auto"/>
              </w:rPr>
            </w:pPr>
            <w:r>
              <w:rPr>
                <w:rFonts w:ascii="Arial" w:cs="Arial" w:eastAsia="Arial" w:hAnsi="Arial"/>
                <w:sz w:val="22"/>
                <w:szCs w:val="22"/>
                <w:color w:val="auto"/>
              </w:rPr>
              <w:t>19.0</w:t>
            </w:r>
          </w:p>
        </w:tc>
        <w:tc>
          <w:tcPr>
            <w:tcW w:w="820" w:type="dxa"/>
            <w:vAlign w:val="bottom"/>
            <w:gridSpan w:val="2"/>
          </w:tcPr>
          <w:p>
            <w:pPr>
              <w:jc w:val="right"/>
              <w:spacing w:after="0"/>
              <w:rPr>
                <w:sz w:val="20"/>
                <w:szCs w:val="20"/>
                <w:color w:val="auto"/>
              </w:rPr>
            </w:pPr>
            <w:r>
              <w:rPr>
                <w:rFonts w:ascii="Arial" w:cs="Arial" w:eastAsia="Arial" w:hAnsi="Arial"/>
                <w:sz w:val="22"/>
                <w:szCs w:val="22"/>
                <w:color w:val="auto"/>
              </w:rPr>
              <w:t>50.5%</w:t>
            </w:r>
          </w:p>
        </w:tc>
        <w:tc>
          <w:tcPr>
            <w:tcW w:w="920" w:type="dxa"/>
            <w:vAlign w:val="bottom"/>
            <w:gridSpan w:val="2"/>
          </w:tcPr>
          <w:p>
            <w:pPr>
              <w:jc w:val="right"/>
              <w:spacing w:after="0"/>
              <w:rPr>
                <w:sz w:val="20"/>
                <w:szCs w:val="20"/>
                <w:color w:val="auto"/>
              </w:rPr>
            </w:pPr>
            <w:r>
              <w:rPr>
                <w:rFonts w:ascii="Arial" w:cs="Arial" w:eastAsia="Arial" w:hAnsi="Arial"/>
                <w:sz w:val="22"/>
                <w:szCs w:val="22"/>
                <w:color w:val="auto"/>
              </w:rPr>
              <w:t>81.7</w:t>
            </w:r>
          </w:p>
        </w:tc>
        <w:tc>
          <w:tcPr>
            <w:tcW w:w="860" w:type="dxa"/>
            <w:vAlign w:val="bottom"/>
            <w:gridSpan w:val="2"/>
          </w:tcPr>
          <w:p>
            <w:pPr>
              <w:jc w:val="right"/>
              <w:ind w:right="20"/>
              <w:spacing w:after="0"/>
              <w:rPr>
                <w:sz w:val="20"/>
                <w:szCs w:val="20"/>
                <w:color w:val="auto"/>
              </w:rPr>
            </w:pPr>
            <w:r>
              <w:rPr>
                <w:rFonts w:ascii="Arial" w:cs="Arial" w:eastAsia="Arial" w:hAnsi="Arial"/>
                <w:sz w:val="22"/>
                <w:szCs w:val="22"/>
                <w:color w:val="auto"/>
              </w:rPr>
              <w:t>60.7</w:t>
            </w:r>
          </w:p>
        </w:tc>
        <w:tc>
          <w:tcPr>
            <w:tcW w:w="820" w:type="dxa"/>
            <w:vAlign w:val="bottom"/>
            <w:gridSpan w:val="2"/>
          </w:tcPr>
          <w:p>
            <w:pPr>
              <w:jc w:val="right"/>
              <w:spacing w:after="0"/>
              <w:rPr>
                <w:sz w:val="20"/>
                <w:szCs w:val="20"/>
                <w:color w:val="auto"/>
              </w:rPr>
            </w:pPr>
            <w:r>
              <w:rPr>
                <w:rFonts w:ascii="Arial" w:cs="Arial" w:eastAsia="Arial" w:hAnsi="Arial"/>
                <w:sz w:val="22"/>
                <w:szCs w:val="22"/>
                <w:color w:val="auto"/>
              </w:rPr>
              <w:t>34.6%</w:t>
            </w:r>
          </w:p>
        </w:tc>
      </w:tr>
      <w:tr>
        <w:trPr>
          <w:trHeight w:val="98"/>
        </w:trPr>
        <w:tc>
          <w:tcPr>
            <w:tcW w:w="14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336699"/>
            </w:tcBorders>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Borders>
              <w:bottom w:val="single" w:sz="8" w:color="336699"/>
            </w:tcBorders>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Borders>
              <w:bottom w:val="single" w:sz="8" w:color="336699"/>
            </w:tcBorders>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Borders>
              <w:bottom w:val="single" w:sz="8" w:color="336699"/>
            </w:tcBorders>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r>
      <w:tr>
        <w:trPr>
          <w:trHeight w:val="368"/>
        </w:trPr>
        <w:tc>
          <w:tcPr>
            <w:tcW w:w="1420" w:type="dxa"/>
            <w:vAlign w:val="bottom"/>
            <w:gridSpan w:val="2"/>
          </w:tcPr>
          <w:p>
            <w:pPr>
              <w:spacing w:after="0"/>
              <w:rPr>
                <w:sz w:val="20"/>
                <w:szCs w:val="20"/>
                <w:color w:val="auto"/>
              </w:rPr>
            </w:pPr>
            <w:r>
              <w:rPr>
                <w:rFonts w:ascii="Arial" w:cs="Arial" w:eastAsia="Arial" w:hAnsi="Arial"/>
                <w:sz w:val="22"/>
                <w:szCs w:val="22"/>
                <w:color w:val="auto"/>
                <w:w w:val="97"/>
              </w:rPr>
              <w:t>Total net sales</w:t>
            </w:r>
          </w:p>
        </w:tc>
        <w:tc>
          <w:tcPr>
            <w:tcW w:w="620" w:type="dxa"/>
            <w:vAlign w:val="bottom"/>
          </w:tcPr>
          <w:p>
            <w:pPr>
              <w:jc w:val="right"/>
              <w:spacing w:after="0"/>
              <w:rPr>
                <w:sz w:val="20"/>
                <w:szCs w:val="20"/>
                <w:color w:val="auto"/>
              </w:rPr>
            </w:pPr>
            <w:r>
              <w:rPr>
                <w:rFonts w:ascii="Arial" w:cs="Arial" w:eastAsia="Arial" w:hAnsi="Arial"/>
                <w:sz w:val="22"/>
                <w:szCs w:val="22"/>
                <w:color w:val="auto"/>
                <w:w w:val="83"/>
              </w:rPr>
              <w:t>$105.7</w:t>
            </w:r>
          </w:p>
        </w:tc>
        <w:tc>
          <w:tcPr>
            <w:tcW w:w="700" w:type="dxa"/>
            <w:vAlign w:val="bottom"/>
            <w:gridSpan w:val="2"/>
          </w:tcPr>
          <w:p>
            <w:pPr>
              <w:jc w:val="right"/>
              <w:ind w:right="40"/>
              <w:spacing w:after="0"/>
              <w:rPr>
                <w:sz w:val="20"/>
                <w:szCs w:val="20"/>
                <w:color w:val="auto"/>
              </w:rPr>
            </w:pPr>
            <w:r>
              <w:rPr>
                <w:rFonts w:ascii="Arial" w:cs="Arial" w:eastAsia="Arial" w:hAnsi="Arial"/>
                <w:sz w:val="22"/>
                <w:szCs w:val="22"/>
                <w:color w:val="auto"/>
                <w:w w:val="95"/>
              </w:rPr>
              <w:t>$104.3</w:t>
            </w:r>
          </w:p>
        </w:tc>
        <w:tc>
          <w:tcPr>
            <w:tcW w:w="820" w:type="dxa"/>
            <w:vAlign w:val="bottom"/>
            <w:gridSpan w:val="2"/>
          </w:tcPr>
          <w:p>
            <w:pPr>
              <w:jc w:val="right"/>
              <w:spacing w:after="0"/>
              <w:rPr>
                <w:sz w:val="20"/>
                <w:szCs w:val="20"/>
                <w:color w:val="auto"/>
              </w:rPr>
            </w:pPr>
            <w:r>
              <w:rPr>
                <w:rFonts w:ascii="Arial" w:cs="Arial" w:eastAsia="Arial" w:hAnsi="Arial"/>
                <w:sz w:val="22"/>
                <w:szCs w:val="22"/>
                <w:color w:val="auto"/>
              </w:rPr>
              <w:t>1.3%</w:t>
            </w:r>
          </w:p>
        </w:tc>
        <w:tc>
          <w:tcPr>
            <w:tcW w:w="920" w:type="dxa"/>
            <w:vAlign w:val="bottom"/>
            <w:gridSpan w:val="2"/>
          </w:tcPr>
          <w:p>
            <w:pPr>
              <w:jc w:val="right"/>
              <w:spacing w:after="0"/>
              <w:rPr>
                <w:sz w:val="20"/>
                <w:szCs w:val="20"/>
                <w:color w:val="auto"/>
              </w:rPr>
            </w:pPr>
            <w:r>
              <w:rPr>
                <w:rFonts w:ascii="Arial" w:cs="Arial" w:eastAsia="Arial" w:hAnsi="Arial"/>
                <w:sz w:val="22"/>
                <w:szCs w:val="22"/>
                <w:color w:val="auto"/>
              </w:rPr>
              <w:t>$319.2</w:t>
            </w:r>
          </w:p>
        </w:tc>
        <w:tc>
          <w:tcPr>
            <w:tcW w:w="860" w:type="dxa"/>
            <w:vAlign w:val="bottom"/>
            <w:gridSpan w:val="2"/>
          </w:tcPr>
          <w:p>
            <w:pPr>
              <w:jc w:val="right"/>
              <w:ind w:right="20"/>
              <w:spacing w:after="0"/>
              <w:rPr>
                <w:sz w:val="20"/>
                <w:szCs w:val="20"/>
                <w:color w:val="auto"/>
              </w:rPr>
            </w:pPr>
            <w:r>
              <w:rPr>
                <w:rFonts w:ascii="Arial" w:cs="Arial" w:eastAsia="Arial" w:hAnsi="Arial"/>
                <w:sz w:val="22"/>
                <w:szCs w:val="22"/>
                <w:color w:val="auto"/>
              </w:rPr>
              <w:t>$319.9</w:t>
            </w:r>
          </w:p>
        </w:tc>
        <w:tc>
          <w:tcPr>
            <w:tcW w:w="820" w:type="dxa"/>
            <w:vAlign w:val="bottom"/>
            <w:gridSpan w:val="2"/>
          </w:tcPr>
          <w:p>
            <w:pPr>
              <w:jc w:val="right"/>
              <w:spacing w:after="0"/>
              <w:rPr>
                <w:sz w:val="20"/>
                <w:szCs w:val="20"/>
                <w:color w:val="auto"/>
              </w:rPr>
            </w:pPr>
            <w:r>
              <w:rPr>
                <w:rFonts w:ascii="Arial" w:cs="Arial" w:eastAsia="Arial" w:hAnsi="Arial"/>
                <w:sz w:val="22"/>
                <w:szCs w:val="22"/>
                <w:color w:val="auto"/>
              </w:rPr>
              <w:t>(0.2)%</w:t>
            </w:r>
          </w:p>
        </w:tc>
      </w:tr>
      <w:tr>
        <w:trPr>
          <w:trHeight w:val="122"/>
        </w:trPr>
        <w:tc>
          <w:tcPr>
            <w:tcW w:w="140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620" w:type="dxa"/>
            <w:vAlign w:val="bottom"/>
            <w:tcBorders>
              <w:bottom w:val="single" w:sz="8" w:color="336699"/>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336699"/>
            </w:tcBorders>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Borders>
              <w:bottom w:val="single" w:sz="8" w:color="336699"/>
            </w:tcBorders>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Borders>
              <w:bottom w:val="single" w:sz="8" w:color="336699"/>
            </w:tcBorders>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Borders>
              <w:bottom w:val="single" w:sz="8" w:color="336699"/>
            </w:tcBorders>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Borders>
              <w:bottom w:val="single" w:sz="8" w:color="336699"/>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1280795</wp:posOffset>
            </wp:positionH>
            <wp:positionV relativeFrom="paragraph">
              <wp:posOffset>-29210</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894715</wp:posOffset>
            </wp:positionH>
            <wp:positionV relativeFrom="paragraph">
              <wp:posOffset>-29210</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1726565</wp:posOffset>
            </wp:positionH>
            <wp:positionV relativeFrom="paragraph">
              <wp:posOffset>-29210</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1341120</wp:posOffset>
            </wp:positionH>
            <wp:positionV relativeFrom="paragraph">
              <wp:posOffset>-29210</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2249805</wp:posOffset>
            </wp:positionH>
            <wp:positionV relativeFrom="paragraph">
              <wp:posOffset>-29210</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1786890</wp:posOffset>
            </wp:positionH>
            <wp:positionV relativeFrom="paragraph">
              <wp:posOffset>-29210</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-29210</wp:posOffset>
            </wp:positionV>
            <wp:extent cx="127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2344420</wp:posOffset>
            </wp:positionH>
            <wp:positionV relativeFrom="paragraph">
              <wp:posOffset>-29210</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-29210</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-29210</wp:posOffset>
            </wp:positionV>
            <wp:extent cx="1270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-29210</wp:posOffset>
            </wp:positionV>
            <wp:extent cx="1270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-29210</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40"/>
          </w:cols>
          <w:pgMar w:left="240" w:top="118" w:right="219" w:bottom="384" w:gutter="0" w:footer="0" w:header="0"/>
        </w:sectPr>
      </w:pPr>
    </w:p>
    <w:bookmarkStart w:id="14" w:name="page15"/>
    <w:bookmarkEnd w:id="14"/>
    <w:p>
      <w:pPr>
        <w:ind w:right="220" w:firstLine="270"/>
        <w:spacing w:after="0" w:line="246" w:lineRule="auto"/>
        <w:rPr>
          <w:sz w:val="20"/>
          <w:szCs w:val="20"/>
          <w:color w:val="auto"/>
        </w:rPr>
      </w:pPr>
      <w:r>
        <w:rPr>
          <w:rFonts w:ascii="Arial" w:cs="Arial" w:eastAsia="Arial" w:hAnsi="Arial"/>
          <w:sz w:val="21"/>
          <w:szCs w:val="21"/>
          <w:color w:val="auto"/>
        </w:rPr>
        <w:t>Net sales for Q3-08 increased to $105.7 million as compared to $104.3 million for Q3-07. The increase is primarily related to increased unit sales of high-end FPD photomasks. Sales of IC photomasks declined approximately $8.2 million as a result of a decline in average selling prices ("ASPs"), principally from mainstream products. High-end photomask applications, which typically have higher ASPs, include mask sets for FPD products using G6 and above technologies and IC products using 90 nanometer and below technologies. By geographic area, net sales in Q3-08 as compared to Q3-07 increased by $6.2 million or 10.2% in Asia, decreased by $3.6 million or 13.4% in North America, and decreased by $1.2 million or 6.9% in Europe. As a percent of total sales in Q3-08, net sales were 63% in Asia, 22% in North America, and 15% in Europe; and net sales in Q3-07 in Asia were 58%, North America 26%, and Europe 16%.</w:t>
      </w:r>
    </w:p>
    <w:p>
      <w:pPr>
        <w:spacing w:after="0" w:line="181" w:lineRule="exact"/>
        <w:rPr>
          <w:sz w:val="20"/>
          <w:szCs w:val="20"/>
          <w:color w:val="auto"/>
        </w:rPr>
      </w:pPr>
    </w:p>
    <w:p>
      <w:pPr>
        <w:ind w:right="60" w:firstLine="270"/>
        <w:spacing w:after="0" w:line="238" w:lineRule="auto"/>
        <w:rPr>
          <w:sz w:val="20"/>
          <w:szCs w:val="20"/>
          <w:color w:val="auto"/>
        </w:rPr>
      </w:pPr>
      <w:r>
        <w:rPr>
          <w:rFonts w:ascii="Arial" w:cs="Arial" w:eastAsia="Arial" w:hAnsi="Arial"/>
          <w:sz w:val="22"/>
          <w:szCs w:val="22"/>
          <w:color w:val="auto"/>
        </w:rPr>
        <w:t>For YTD-08, net sales decreased by $0.7 million or 0.2%, primarily comprised of reduced sales of IC photomasks of approximately $21.7 million as a result of decreased ASPs, principally from mainstream products. The decrease in IC sales was substantially offset by an increase of $21.0 million in net sales of FPD photomasks, principally high-end. The Company's quarterly revenues can be affected by the seasonal purchasing of its customers.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200" w:type="dxa"/>
            <w:vAlign w:val="bottom"/>
          </w:tcPr>
          <w:p>
            <w:pPr>
              <w:spacing w:after="0"/>
              <w:rPr>
                <w:sz w:val="20"/>
                <w:szCs w:val="20"/>
                <w:color w:val="auto"/>
              </w:rPr>
            </w:pPr>
            <w:r>
              <w:rPr>
                <w:rFonts w:ascii="Arial" w:cs="Arial" w:eastAsia="Arial" w:hAnsi="Arial"/>
                <w:sz w:val="22"/>
                <w:szCs w:val="22"/>
                <w:b w:val="1"/>
                <w:bCs w:val="1"/>
                <w:i w:val="1"/>
                <w:iCs w:val="1"/>
                <w:color w:val="auto"/>
              </w:rPr>
              <w:t>Gross Margin</w:t>
            </w: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459"/>
        </w:trPr>
        <w:tc>
          <w:tcPr>
            <w:tcW w:w="2200" w:type="dxa"/>
            <w:vAlign w:val="bottom"/>
          </w:tcPr>
          <w:p>
            <w:pPr>
              <w:spacing w:after="0"/>
              <w:rPr>
                <w:sz w:val="24"/>
                <w:szCs w:val="24"/>
                <w:color w:val="auto"/>
              </w:rPr>
            </w:pPr>
          </w:p>
        </w:tc>
        <w:tc>
          <w:tcPr>
            <w:tcW w:w="3080" w:type="dxa"/>
            <w:vAlign w:val="bottom"/>
            <w:gridSpan w:val="5"/>
          </w:tcPr>
          <w:p>
            <w:pPr>
              <w:ind w:left="540"/>
              <w:spacing w:after="0"/>
              <w:rPr>
                <w:sz w:val="20"/>
                <w:szCs w:val="20"/>
                <w:color w:val="auto"/>
              </w:rPr>
            </w:pPr>
            <w:r>
              <w:rPr>
                <w:rFonts w:ascii="Arial" w:cs="Arial" w:eastAsia="Arial" w:hAnsi="Arial"/>
                <w:sz w:val="22"/>
                <w:szCs w:val="22"/>
                <w:b w:val="1"/>
                <w:bCs w:val="1"/>
                <w:color w:val="auto"/>
              </w:rPr>
              <w:t>Three Months Ended</w:t>
            </w:r>
          </w:p>
        </w:tc>
        <w:tc>
          <w:tcPr>
            <w:tcW w:w="240" w:type="dxa"/>
            <w:vAlign w:val="bottom"/>
          </w:tcPr>
          <w:p>
            <w:pPr>
              <w:spacing w:after="0"/>
              <w:rPr>
                <w:sz w:val="24"/>
                <w:szCs w:val="24"/>
                <w:color w:val="auto"/>
              </w:rPr>
            </w:pPr>
          </w:p>
        </w:tc>
        <w:tc>
          <w:tcPr>
            <w:tcW w:w="3120" w:type="dxa"/>
            <w:vAlign w:val="bottom"/>
            <w:gridSpan w:val="5"/>
          </w:tcPr>
          <w:p>
            <w:pPr>
              <w:jc w:val="right"/>
              <w:ind w:right="552"/>
              <w:spacing w:after="0"/>
              <w:rPr>
                <w:sz w:val="20"/>
                <w:szCs w:val="20"/>
                <w:color w:val="auto"/>
              </w:rPr>
            </w:pPr>
            <w:r>
              <w:rPr>
                <w:rFonts w:ascii="Arial" w:cs="Arial" w:eastAsia="Arial" w:hAnsi="Arial"/>
                <w:sz w:val="22"/>
                <w:szCs w:val="22"/>
                <w:b w:val="1"/>
                <w:bCs w:val="1"/>
                <w:color w:val="auto"/>
              </w:rPr>
              <w:t>Nine Months Ended</w:t>
            </w:r>
          </w:p>
        </w:tc>
      </w:tr>
      <w:tr>
        <w:trPr>
          <w:trHeight w:val="98"/>
        </w:trPr>
        <w:tc>
          <w:tcPr>
            <w:tcW w:w="220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r>
      <w:tr>
        <w:trPr>
          <w:trHeight w:val="331"/>
        </w:trPr>
        <w:tc>
          <w:tcPr>
            <w:tcW w:w="2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0"/>
                <w:szCs w:val="20"/>
                <w:color w:val="auto"/>
              </w:rPr>
            </w:pPr>
            <w:r>
              <w:rPr>
                <w:rFonts w:ascii="Arial" w:cs="Arial" w:eastAsia="Arial" w:hAnsi="Arial"/>
                <w:sz w:val="22"/>
                <w:szCs w:val="22"/>
                <w:b w:val="1"/>
                <w:bCs w:val="1"/>
                <w:color w:val="auto"/>
                <w:w w:val="89"/>
              </w:rPr>
              <w:t>Percent</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2"/>
                <w:szCs w:val="22"/>
                <w:b w:val="1"/>
                <w:bCs w:val="1"/>
                <w:color w:val="auto"/>
                <w:w w:val="84"/>
              </w:rPr>
              <w:t>Percent</w:t>
            </w:r>
          </w:p>
        </w:tc>
      </w:tr>
      <w:tr>
        <w:trPr>
          <w:trHeight w:val="281"/>
        </w:trPr>
        <w:tc>
          <w:tcPr>
            <w:tcW w:w="2200" w:type="dxa"/>
            <w:vAlign w:val="bottom"/>
          </w:tcPr>
          <w:p>
            <w:pPr>
              <w:spacing w:after="0"/>
              <w:rPr>
                <w:sz w:val="24"/>
                <w:szCs w:val="24"/>
                <w:color w:val="auto"/>
              </w:rPr>
            </w:pPr>
          </w:p>
        </w:tc>
        <w:tc>
          <w:tcPr>
            <w:tcW w:w="980" w:type="dxa"/>
            <w:vAlign w:val="bottom"/>
          </w:tcPr>
          <w:p>
            <w:pPr>
              <w:jc w:val="right"/>
              <w:ind w:right="112"/>
              <w:spacing w:after="0"/>
              <w:rPr>
                <w:sz w:val="20"/>
                <w:szCs w:val="20"/>
                <w:color w:val="auto"/>
              </w:rPr>
            </w:pPr>
            <w:r>
              <w:rPr>
                <w:rFonts w:ascii="Arial" w:cs="Arial" w:eastAsia="Arial" w:hAnsi="Arial"/>
                <w:sz w:val="22"/>
                <w:szCs w:val="22"/>
                <w:b w:val="1"/>
                <w:bCs w:val="1"/>
                <w:color w:val="auto"/>
              </w:rPr>
              <w:t>Q3-08</w:t>
            </w:r>
          </w:p>
        </w:tc>
        <w:tc>
          <w:tcPr>
            <w:tcW w:w="200" w:type="dxa"/>
            <w:vAlign w:val="bottom"/>
          </w:tcPr>
          <w:p>
            <w:pPr>
              <w:spacing w:after="0"/>
              <w:rPr>
                <w:sz w:val="24"/>
                <w:szCs w:val="24"/>
                <w:color w:val="auto"/>
              </w:rPr>
            </w:pPr>
          </w:p>
        </w:tc>
        <w:tc>
          <w:tcPr>
            <w:tcW w:w="960" w:type="dxa"/>
            <w:vAlign w:val="bottom"/>
          </w:tcPr>
          <w:p>
            <w:pPr>
              <w:jc w:val="right"/>
              <w:ind w:right="112"/>
              <w:spacing w:after="0"/>
              <w:rPr>
                <w:sz w:val="20"/>
                <w:szCs w:val="20"/>
                <w:color w:val="auto"/>
              </w:rPr>
            </w:pPr>
            <w:r>
              <w:rPr>
                <w:rFonts w:ascii="Arial" w:cs="Arial" w:eastAsia="Arial" w:hAnsi="Arial"/>
                <w:sz w:val="22"/>
                <w:szCs w:val="22"/>
                <w:b w:val="1"/>
                <w:bCs w:val="1"/>
                <w:color w:val="auto"/>
              </w:rPr>
              <w:t>Q3-07</w:t>
            </w:r>
          </w:p>
        </w:tc>
        <w:tc>
          <w:tcPr>
            <w:tcW w:w="200" w:type="dxa"/>
            <w:vAlign w:val="bottom"/>
          </w:tcPr>
          <w:p>
            <w:pPr>
              <w:spacing w:after="0"/>
              <w:rPr>
                <w:sz w:val="24"/>
                <w:szCs w:val="24"/>
                <w:color w:val="auto"/>
              </w:rPr>
            </w:pPr>
          </w:p>
        </w:tc>
        <w:tc>
          <w:tcPr>
            <w:tcW w:w="740" w:type="dxa"/>
            <w:vAlign w:val="bottom"/>
          </w:tcPr>
          <w:p>
            <w:pPr>
              <w:spacing w:after="0"/>
              <w:rPr>
                <w:sz w:val="20"/>
                <w:szCs w:val="20"/>
                <w:color w:val="auto"/>
              </w:rPr>
            </w:pPr>
            <w:r>
              <w:rPr>
                <w:rFonts w:ascii="Arial" w:cs="Arial" w:eastAsia="Arial" w:hAnsi="Arial"/>
                <w:sz w:val="22"/>
                <w:szCs w:val="22"/>
                <w:b w:val="1"/>
                <w:bCs w:val="1"/>
                <w:color w:val="auto"/>
                <w:w w:val="89"/>
              </w:rPr>
              <w:t>Change</w:t>
            </w:r>
          </w:p>
        </w:tc>
        <w:tc>
          <w:tcPr>
            <w:tcW w:w="240" w:type="dxa"/>
            <w:vAlign w:val="bottom"/>
          </w:tcPr>
          <w:p>
            <w:pPr>
              <w:spacing w:after="0"/>
              <w:rPr>
                <w:sz w:val="24"/>
                <w:szCs w:val="24"/>
                <w:color w:val="auto"/>
              </w:rPr>
            </w:pPr>
          </w:p>
        </w:tc>
        <w:tc>
          <w:tcPr>
            <w:tcW w:w="980" w:type="dxa"/>
            <w:vAlign w:val="bottom"/>
          </w:tcPr>
          <w:p>
            <w:pPr>
              <w:jc w:val="right"/>
              <w:ind w:right="32"/>
              <w:spacing w:after="0"/>
              <w:rPr>
                <w:sz w:val="20"/>
                <w:szCs w:val="20"/>
                <w:color w:val="auto"/>
              </w:rPr>
            </w:pPr>
            <w:r>
              <w:rPr>
                <w:rFonts w:ascii="Arial" w:cs="Arial" w:eastAsia="Arial" w:hAnsi="Arial"/>
                <w:sz w:val="22"/>
                <w:szCs w:val="22"/>
                <w:b w:val="1"/>
                <w:bCs w:val="1"/>
                <w:color w:val="auto"/>
              </w:rPr>
              <w:t>YTD-08</w:t>
            </w:r>
          </w:p>
        </w:tc>
        <w:tc>
          <w:tcPr>
            <w:tcW w:w="180" w:type="dxa"/>
            <w:vAlign w:val="bottom"/>
          </w:tcPr>
          <w:p>
            <w:pPr>
              <w:spacing w:after="0"/>
              <w:rPr>
                <w:sz w:val="24"/>
                <w:szCs w:val="24"/>
                <w:color w:val="auto"/>
              </w:rPr>
            </w:pPr>
          </w:p>
        </w:tc>
        <w:tc>
          <w:tcPr>
            <w:tcW w:w="980" w:type="dxa"/>
            <w:vAlign w:val="bottom"/>
          </w:tcPr>
          <w:p>
            <w:pPr>
              <w:jc w:val="right"/>
              <w:ind w:right="32"/>
              <w:spacing w:after="0"/>
              <w:rPr>
                <w:sz w:val="20"/>
                <w:szCs w:val="20"/>
                <w:color w:val="auto"/>
              </w:rPr>
            </w:pPr>
            <w:r>
              <w:rPr>
                <w:rFonts w:ascii="Arial" w:cs="Arial" w:eastAsia="Arial" w:hAnsi="Arial"/>
                <w:sz w:val="22"/>
                <w:szCs w:val="22"/>
                <w:b w:val="1"/>
                <w:bCs w:val="1"/>
                <w:color w:val="auto"/>
              </w:rPr>
              <w:t>YTD-07</w:t>
            </w: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2"/>
                <w:szCs w:val="22"/>
                <w:b w:val="1"/>
                <w:bCs w:val="1"/>
                <w:color w:val="auto"/>
                <w:w w:val="84"/>
              </w:rPr>
              <w:t>Change</w:t>
            </w:r>
          </w:p>
        </w:tc>
      </w:tr>
      <w:tr>
        <w:trPr>
          <w:trHeight w:val="98"/>
        </w:trPr>
        <w:tc>
          <w:tcPr>
            <w:tcW w:w="220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r>
      <w:tr>
        <w:trPr>
          <w:trHeight w:val="580"/>
        </w:trPr>
        <w:tc>
          <w:tcPr>
            <w:tcW w:w="2200" w:type="dxa"/>
            <w:vAlign w:val="bottom"/>
          </w:tcPr>
          <w:p>
            <w:pPr>
              <w:spacing w:after="0"/>
              <w:rPr>
                <w:sz w:val="20"/>
                <w:szCs w:val="20"/>
                <w:color w:val="auto"/>
              </w:rPr>
            </w:pPr>
            <w:r>
              <w:rPr>
                <w:rFonts w:ascii="Arial" w:cs="Arial" w:eastAsia="Arial" w:hAnsi="Arial"/>
                <w:sz w:val="22"/>
                <w:szCs w:val="22"/>
                <w:color w:val="auto"/>
              </w:rPr>
              <w:t>Gross margin</w:t>
            </w:r>
          </w:p>
        </w:tc>
        <w:tc>
          <w:tcPr>
            <w:tcW w:w="980" w:type="dxa"/>
            <w:vAlign w:val="bottom"/>
          </w:tcPr>
          <w:p>
            <w:pPr>
              <w:jc w:val="right"/>
              <w:ind w:right="112"/>
              <w:spacing w:after="0"/>
              <w:rPr>
                <w:sz w:val="20"/>
                <w:szCs w:val="20"/>
                <w:color w:val="auto"/>
              </w:rPr>
            </w:pPr>
            <w:r>
              <w:rPr>
                <w:rFonts w:ascii="Arial" w:cs="Arial" w:eastAsia="Arial" w:hAnsi="Arial"/>
                <w:sz w:val="22"/>
                <w:szCs w:val="22"/>
                <w:color w:val="auto"/>
              </w:rPr>
              <w:t>$13.9</w:t>
            </w:r>
          </w:p>
        </w:tc>
        <w:tc>
          <w:tcPr>
            <w:tcW w:w="1160" w:type="dxa"/>
            <w:vAlign w:val="bottom"/>
            <w:gridSpan w:val="2"/>
          </w:tcPr>
          <w:p>
            <w:pPr>
              <w:jc w:val="right"/>
              <w:ind w:right="112"/>
              <w:spacing w:after="0"/>
              <w:rPr>
                <w:sz w:val="20"/>
                <w:szCs w:val="20"/>
                <w:color w:val="auto"/>
              </w:rPr>
            </w:pPr>
            <w:r>
              <w:rPr>
                <w:rFonts w:ascii="Arial" w:cs="Arial" w:eastAsia="Arial" w:hAnsi="Arial"/>
                <w:sz w:val="22"/>
                <w:szCs w:val="22"/>
                <w:color w:val="auto"/>
              </w:rPr>
              <w:t>$23.7</w:t>
            </w:r>
          </w:p>
        </w:tc>
        <w:tc>
          <w:tcPr>
            <w:tcW w:w="940" w:type="dxa"/>
            <w:vAlign w:val="bottom"/>
            <w:gridSpan w:val="2"/>
          </w:tcPr>
          <w:p>
            <w:pPr>
              <w:ind w:left="200"/>
              <w:spacing w:after="0"/>
              <w:rPr>
                <w:sz w:val="20"/>
                <w:szCs w:val="20"/>
                <w:color w:val="auto"/>
              </w:rPr>
            </w:pPr>
            <w:r>
              <w:rPr>
                <w:rFonts w:ascii="Arial" w:cs="Arial" w:eastAsia="Arial" w:hAnsi="Arial"/>
                <w:sz w:val="22"/>
                <w:szCs w:val="22"/>
                <w:color w:val="auto"/>
                <w:w w:val="93"/>
              </w:rPr>
              <w:t>(41.4)%</w:t>
            </w:r>
          </w:p>
        </w:tc>
        <w:tc>
          <w:tcPr>
            <w:tcW w:w="1220" w:type="dxa"/>
            <w:vAlign w:val="bottom"/>
            <w:gridSpan w:val="2"/>
          </w:tcPr>
          <w:p>
            <w:pPr>
              <w:jc w:val="right"/>
              <w:ind w:right="112"/>
              <w:spacing w:after="0"/>
              <w:rPr>
                <w:sz w:val="20"/>
                <w:szCs w:val="20"/>
                <w:color w:val="auto"/>
              </w:rPr>
            </w:pPr>
            <w:r>
              <w:rPr>
                <w:rFonts w:ascii="Arial" w:cs="Arial" w:eastAsia="Arial" w:hAnsi="Arial"/>
                <w:sz w:val="22"/>
                <w:szCs w:val="22"/>
                <w:color w:val="auto"/>
              </w:rPr>
              <w:t>$54.8</w:t>
            </w:r>
          </w:p>
        </w:tc>
        <w:tc>
          <w:tcPr>
            <w:tcW w:w="1160" w:type="dxa"/>
            <w:vAlign w:val="bottom"/>
            <w:gridSpan w:val="2"/>
          </w:tcPr>
          <w:p>
            <w:pPr>
              <w:jc w:val="right"/>
              <w:ind w:right="112"/>
              <w:spacing w:after="0"/>
              <w:rPr>
                <w:sz w:val="20"/>
                <w:szCs w:val="20"/>
                <w:color w:val="auto"/>
              </w:rPr>
            </w:pPr>
            <w:r>
              <w:rPr>
                <w:rFonts w:ascii="Arial" w:cs="Arial" w:eastAsia="Arial" w:hAnsi="Arial"/>
                <w:sz w:val="22"/>
                <w:szCs w:val="22"/>
                <w:color w:val="auto"/>
              </w:rPr>
              <w:t>$79.6</w:t>
            </w:r>
          </w:p>
        </w:tc>
        <w:tc>
          <w:tcPr>
            <w:tcW w:w="980" w:type="dxa"/>
            <w:vAlign w:val="bottom"/>
            <w:gridSpan w:val="2"/>
          </w:tcPr>
          <w:p>
            <w:pPr>
              <w:jc w:val="right"/>
              <w:spacing w:after="0"/>
              <w:rPr>
                <w:sz w:val="20"/>
                <w:szCs w:val="20"/>
                <w:color w:val="auto"/>
              </w:rPr>
            </w:pPr>
            <w:r>
              <w:rPr>
                <w:rFonts w:ascii="Arial" w:cs="Arial" w:eastAsia="Arial" w:hAnsi="Arial"/>
                <w:sz w:val="22"/>
                <w:szCs w:val="22"/>
                <w:color w:val="auto"/>
              </w:rPr>
              <w:t>(31.2)%</w:t>
            </w:r>
          </w:p>
        </w:tc>
      </w:tr>
      <w:tr>
        <w:trPr>
          <w:trHeight w:val="275"/>
        </w:trPr>
        <w:tc>
          <w:tcPr>
            <w:tcW w:w="2200" w:type="dxa"/>
            <w:vAlign w:val="bottom"/>
          </w:tcPr>
          <w:p>
            <w:pPr>
              <w:spacing w:after="0"/>
              <w:rPr>
                <w:sz w:val="20"/>
                <w:szCs w:val="20"/>
                <w:color w:val="auto"/>
              </w:rPr>
            </w:pPr>
            <w:r>
              <w:rPr>
                <w:rFonts w:ascii="Arial" w:cs="Arial" w:eastAsia="Arial" w:hAnsi="Arial"/>
                <w:sz w:val="22"/>
                <w:szCs w:val="22"/>
                <w:color w:val="auto"/>
                <w:w w:val="94"/>
              </w:rPr>
              <w:t>Percentage of net sales</w:t>
            </w:r>
          </w:p>
        </w:tc>
        <w:tc>
          <w:tcPr>
            <w:tcW w:w="980" w:type="dxa"/>
            <w:vAlign w:val="bottom"/>
          </w:tcPr>
          <w:p>
            <w:pPr>
              <w:jc w:val="right"/>
              <w:spacing w:after="0"/>
              <w:rPr>
                <w:sz w:val="20"/>
                <w:szCs w:val="20"/>
                <w:color w:val="auto"/>
              </w:rPr>
            </w:pPr>
            <w:r>
              <w:rPr>
                <w:rFonts w:ascii="Arial" w:cs="Arial" w:eastAsia="Arial" w:hAnsi="Arial"/>
                <w:sz w:val="22"/>
                <w:szCs w:val="22"/>
                <w:color w:val="auto"/>
              </w:rPr>
              <w:t>13.1%</w:t>
            </w:r>
          </w:p>
        </w:tc>
        <w:tc>
          <w:tcPr>
            <w:tcW w:w="1160" w:type="dxa"/>
            <w:vAlign w:val="bottom"/>
            <w:gridSpan w:val="2"/>
          </w:tcPr>
          <w:p>
            <w:pPr>
              <w:jc w:val="right"/>
              <w:spacing w:after="0"/>
              <w:rPr>
                <w:sz w:val="20"/>
                <w:szCs w:val="20"/>
                <w:color w:val="auto"/>
              </w:rPr>
            </w:pPr>
            <w:r>
              <w:rPr>
                <w:rFonts w:ascii="Arial" w:cs="Arial" w:eastAsia="Arial" w:hAnsi="Arial"/>
                <w:sz w:val="22"/>
                <w:szCs w:val="22"/>
                <w:color w:val="auto"/>
              </w:rPr>
              <w:t>22.7%</w:t>
            </w: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20" w:type="dxa"/>
            <w:vAlign w:val="bottom"/>
            <w:gridSpan w:val="2"/>
          </w:tcPr>
          <w:p>
            <w:pPr>
              <w:jc w:val="right"/>
              <w:spacing w:after="0"/>
              <w:rPr>
                <w:sz w:val="20"/>
                <w:szCs w:val="20"/>
                <w:color w:val="auto"/>
              </w:rPr>
            </w:pPr>
            <w:r>
              <w:rPr>
                <w:rFonts w:ascii="Arial" w:cs="Arial" w:eastAsia="Arial" w:hAnsi="Arial"/>
                <w:sz w:val="22"/>
                <w:szCs w:val="22"/>
                <w:color w:val="auto"/>
              </w:rPr>
              <w:t>17.2%</w:t>
            </w:r>
          </w:p>
        </w:tc>
        <w:tc>
          <w:tcPr>
            <w:tcW w:w="1160" w:type="dxa"/>
            <w:vAlign w:val="bottom"/>
            <w:gridSpan w:val="2"/>
          </w:tcPr>
          <w:p>
            <w:pPr>
              <w:jc w:val="right"/>
              <w:spacing w:after="0"/>
              <w:rPr>
                <w:sz w:val="20"/>
                <w:szCs w:val="20"/>
                <w:color w:val="auto"/>
              </w:rPr>
            </w:pPr>
            <w:r>
              <w:rPr>
                <w:rFonts w:ascii="Arial" w:cs="Arial" w:eastAsia="Arial" w:hAnsi="Arial"/>
                <w:sz w:val="22"/>
                <w:szCs w:val="22"/>
                <w:color w:val="auto"/>
              </w:rPr>
              <w:t>24.9%</w:t>
            </w:r>
          </w:p>
        </w:tc>
        <w:tc>
          <w:tcPr>
            <w:tcW w:w="240" w:type="dxa"/>
            <w:vAlign w:val="bottom"/>
          </w:tcPr>
          <w:p>
            <w:pPr>
              <w:spacing w:after="0"/>
              <w:rPr>
                <w:sz w:val="23"/>
                <w:szCs w:val="23"/>
                <w:color w:val="auto"/>
              </w:rPr>
            </w:pPr>
          </w:p>
        </w:tc>
        <w:tc>
          <w:tcPr>
            <w:tcW w:w="74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firstLine="270"/>
        <w:spacing w:after="0" w:line="246" w:lineRule="auto"/>
        <w:rPr>
          <w:sz w:val="20"/>
          <w:szCs w:val="20"/>
          <w:color w:val="auto"/>
        </w:rPr>
      </w:pPr>
      <w:r>
        <w:rPr>
          <w:rFonts w:ascii="Arial" w:cs="Arial" w:eastAsia="Arial" w:hAnsi="Arial"/>
          <w:sz w:val="21"/>
          <w:szCs w:val="21"/>
          <w:color w:val="auto"/>
        </w:rPr>
        <w:t>Gross margin decreased to 13.1% in Q3-08 from 22.7% in Q3-07 primarily due to decreased IC ASPs and as a result of the Company's expanded manufacturing base, including manufacturing costs associated with the U.S. Nanofab, which commenced operations during Q2-08. Gross margin decreased to 17.2% in YTD-08 from 24.9% in YTD-07 primarily due to decreased IC ASPs and the Company's aforementioned increased manufacturing base. The Company operates in a high fixed cost environment and, to the extent that the Company's revenues and utilization increase or decrease, gross margin will generally be positively or negatively impacted. Additionally, the gross margin percentage throughout the remainder of fiscal 2008 could be negatively impacted by decreased ASPs and units, and increased depreciation expense and other costs associated with the Company's increased fixed cost manufacturing base.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780" w:type="dxa"/>
            <w:vAlign w:val="bottom"/>
            <w:gridSpan w:val="6"/>
          </w:tcPr>
          <w:p>
            <w:pPr>
              <w:spacing w:after="0"/>
              <w:rPr>
                <w:sz w:val="20"/>
                <w:szCs w:val="20"/>
                <w:color w:val="auto"/>
              </w:rPr>
            </w:pPr>
            <w:r>
              <w:rPr>
                <w:rFonts w:ascii="Arial" w:cs="Arial" w:eastAsia="Arial" w:hAnsi="Arial"/>
                <w:sz w:val="22"/>
                <w:szCs w:val="22"/>
                <w:b w:val="1"/>
                <w:bCs w:val="1"/>
                <w:i w:val="1"/>
                <w:iCs w:val="1"/>
                <w:color w:val="auto"/>
                <w:w w:val="99"/>
              </w:rPr>
              <w:t>Selling, General and Administrative Expenses</w:t>
            </w:r>
          </w:p>
        </w:tc>
        <w:tc>
          <w:tcPr>
            <w:tcW w:w="3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2420" w:type="dxa"/>
            <w:vAlign w:val="bottom"/>
          </w:tcPr>
          <w:p>
            <w:pPr>
              <w:spacing w:after="0"/>
              <w:rPr>
                <w:sz w:val="24"/>
                <w:szCs w:val="24"/>
                <w:color w:val="auto"/>
              </w:rPr>
            </w:pPr>
          </w:p>
        </w:tc>
        <w:tc>
          <w:tcPr>
            <w:tcW w:w="2360" w:type="dxa"/>
            <w:vAlign w:val="bottom"/>
            <w:gridSpan w:val="5"/>
          </w:tcPr>
          <w:p>
            <w:pPr>
              <w:jc w:val="center"/>
              <w:spacing w:after="0"/>
              <w:rPr>
                <w:sz w:val="20"/>
                <w:szCs w:val="20"/>
                <w:color w:val="auto"/>
              </w:rPr>
            </w:pPr>
            <w:r>
              <w:rPr>
                <w:rFonts w:ascii="Arial" w:cs="Arial" w:eastAsia="Arial" w:hAnsi="Arial"/>
                <w:sz w:val="22"/>
                <w:szCs w:val="22"/>
                <w:b w:val="1"/>
                <w:bCs w:val="1"/>
                <w:color w:val="auto"/>
                <w:w w:val="90"/>
              </w:rPr>
              <w:t>Three Months Ended</w:t>
            </w:r>
          </w:p>
        </w:tc>
        <w:tc>
          <w:tcPr>
            <w:tcW w:w="300" w:type="dxa"/>
            <w:vAlign w:val="bottom"/>
          </w:tcPr>
          <w:p>
            <w:pPr>
              <w:spacing w:after="0"/>
              <w:rPr>
                <w:sz w:val="24"/>
                <w:szCs w:val="24"/>
                <w:color w:val="auto"/>
              </w:rPr>
            </w:pPr>
          </w:p>
        </w:tc>
        <w:tc>
          <w:tcPr>
            <w:tcW w:w="2680" w:type="dxa"/>
            <w:vAlign w:val="bottom"/>
            <w:gridSpan w:val="5"/>
          </w:tcPr>
          <w:p>
            <w:pPr>
              <w:jc w:val="center"/>
              <w:spacing w:after="0"/>
              <w:rPr>
                <w:sz w:val="20"/>
                <w:szCs w:val="20"/>
                <w:color w:val="auto"/>
              </w:rPr>
            </w:pPr>
            <w:r>
              <w:rPr>
                <w:rFonts w:ascii="Arial" w:cs="Arial" w:eastAsia="Arial" w:hAnsi="Arial"/>
                <w:sz w:val="22"/>
                <w:szCs w:val="22"/>
                <w:b w:val="1"/>
                <w:bCs w:val="1"/>
                <w:color w:val="auto"/>
                <w:w w:val="89"/>
              </w:rPr>
              <w:t>Nine Months Ended</w:t>
            </w:r>
          </w:p>
        </w:tc>
        <w:tc>
          <w:tcPr>
            <w:tcW w:w="0" w:type="dxa"/>
            <w:vAlign w:val="bottom"/>
          </w:tcPr>
          <w:p>
            <w:pPr>
              <w:spacing w:after="0"/>
              <w:rPr>
                <w:sz w:val="1"/>
                <w:szCs w:val="1"/>
                <w:color w:val="auto"/>
              </w:rPr>
            </w:pPr>
          </w:p>
        </w:tc>
      </w:tr>
      <w:tr>
        <w:trPr>
          <w:trHeight w:val="98"/>
        </w:trPr>
        <w:tc>
          <w:tcPr>
            <w:tcW w:w="24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31"/>
        </w:trPr>
        <w:tc>
          <w:tcPr>
            <w:tcW w:w="2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0"/>
                <w:szCs w:val="20"/>
                <w:color w:val="auto"/>
              </w:rPr>
            </w:pPr>
            <w:r>
              <w:rPr>
                <w:rFonts w:ascii="Arial" w:cs="Arial" w:eastAsia="Arial" w:hAnsi="Arial"/>
                <w:sz w:val="22"/>
                <w:szCs w:val="22"/>
                <w:b w:val="1"/>
                <w:bCs w:val="1"/>
                <w:color w:val="auto"/>
                <w:w w:val="89"/>
              </w:rPr>
              <w:t>Percent</w:t>
            </w: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2"/>
                <w:szCs w:val="22"/>
                <w:b w:val="1"/>
                <w:bCs w:val="1"/>
                <w:color w:val="auto"/>
                <w:w w:val="84"/>
              </w:rPr>
              <w:t>Percent</w:t>
            </w:r>
          </w:p>
        </w:tc>
        <w:tc>
          <w:tcPr>
            <w:tcW w:w="0" w:type="dxa"/>
            <w:vAlign w:val="bottom"/>
          </w:tcPr>
          <w:p>
            <w:pPr>
              <w:spacing w:after="0"/>
              <w:rPr>
                <w:sz w:val="1"/>
                <w:szCs w:val="1"/>
                <w:color w:val="auto"/>
              </w:rPr>
            </w:pPr>
          </w:p>
        </w:tc>
      </w:tr>
      <w:tr>
        <w:trPr>
          <w:trHeight w:val="281"/>
        </w:trPr>
        <w:tc>
          <w:tcPr>
            <w:tcW w:w="24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22"/>
                <w:szCs w:val="22"/>
                <w:b w:val="1"/>
                <w:bCs w:val="1"/>
                <w:color w:val="auto"/>
                <w:w w:val="94"/>
              </w:rPr>
              <w:t>Q3-08</w:t>
            </w:r>
          </w:p>
        </w:tc>
        <w:tc>
          <w:tcPr>
            <w:tcW w:w="2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22"/>
                <w:szCs w:val="22"/>
                <w:b w:val="1"/>
                <w:bCs w:val="1"/>
                <w:color w:val="auto"/>
                <w:w w:val="91"/>
              </w:rPr>
              <w:t>Q3-07</w:t>
            </w:r>
          </w:p>
        </w:tc>
        <w:tc>
          <w:tcPr>
            <w:tcW w:w="80" w:type="dxa"/>
            <w:vAlign w:val="bottom"/>
          </w:tcPr>
          <w:p>
            <w:pPr>
              <w:spacing w:after="0"/>
              <w:rPr>
                <w:sz w:val="24"/>
                <w:szCs w:val="24"/>
                <w:color w:val="auto"/>
              </w:rPr>
            </w:pPr>
          </w:p>
        </w:tc>
        <w:tc>
          <w:tcPr>
            <w:tcW w:w="740" w:type="dxa"/>
            <w:vAlign w:val="bottom"/>
          </w:tcPr>
          <w:p>
            <w:pPr>
              <w:spacing w:after="0"/>
              <w:rPr>
                <w:sz w:val="20"/>
                <w:szCs w:val="20"/>
                <w:color w:val="auto"/>
              </w:rPr>
            </w:pPr>
            <w:r>
              <w:rPr>
                <w:rFonts w:ascii="Arial" w:cs="Arial" w:eastAsia="Arial" w:hAnsi="Arial"/>
                <w:sz w:val="22"/>
                <w:szCs w:val="22"/>
                <w:b w:val="1"/>
                <w:bCs w:val="1"/>
                <w:color w:val="auto"/>
                <w:w w:val="89"/>
              </w:rPr>
              <w:t>Change</w:t>
            </w: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2"/>
                <w:szCs w:val="22"/>
                <w:b w:val="1"/>
                <w:bCs w:val="1"/>
                <w:color w:val="auto"/>
                <w:w w:val="94"/>
              </w:rPr>
              <w:t>YTD-08</w:t>
            </w:r>
          </w:p>
        </w:tc>
        <w:tc>
          <w:tcPr>
            <w:tcW w:w="18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22"/>
                <w:szCs w:val="22"/>
                <w:b w:val="1"/>
                <w:bCs w:val="1"/>
                <w:color w:val="auto"/>
                <w:w w:val="97"/>
              </w:rPr>
              <w:t>YTD-07</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2"/>
                <w:szCs w:val="22"/>
                <w:b w:val="1"/>
                <w:bCs w:val="1"/>
                <w:color w:val="auto"/>
                <w:w w:val="84"/>
              </w:rPr>
              <w:t>Change</w:t>
            </w:r>
          </w:p>
        </w:tc>
        <w:tc>
          <w:tcPr>
            <w:tcW w:w="0" w:type="dxa"/>
            <w:vAlign w:val="bottom"/>
          </w:tcPr>
          <w:p>
            <w:pPr>
              <w:spacing w:after="0"/>
              <w:rPr>
                <w:sz w:val="1"/>
                <w:szCs w:val="1"/>
                <w:color w:val="auto"/>
              </w:rPr>
            </w:pPr>
          </w:p>
        </w:tc>
      </w:tr>
      <w:tr>
        <w:trPr>
          <w:trHeight w:val="98"/>
        </w:trPr>
        <w:tc>
          <w:tcPr>
            <w:tcW w:w="2420" w:type="dxa"/>
            <w:vAlign w:val="bottom"/>
            <w:vMerge w:val="restart"/>
          </w:tcPr>
          <w:p>
            <w:pPr>
              <w:spacing w:after="0"/>
              <w:rPr>
                <w:sz w:val="20"/>
                <w:szCs w:val="20"/>
                <w:color w:val="auto"/>
              </w:rPr>
            </w:pPr>
            <w:r>
              <w:rPr>
                <w:rFonts w:ascii="Arial" w:cs="Arial" w:eastAsia="Arial" w:hAnsi="Arial"/>
                <w:sz w:val="22"/>
                <w:szCs w:val="22"/>
                <w:color w:val="auto"/>
              </w:rPr>
              <w:t>Selling, general and</w:t>
            </w:r>
          </w:p>
        </w:tc>
        <w:tc>
          <w:tcPr>
            <w:tcW w:w="6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37"/>
        </w:trPr>
        <w:tc>
          <w:tcPr>
            <w:tcW w:w="242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420" w:type="dxa"/>
            <w:vAlign w:val="bottom"/>
          </w:tcPr>
          <w:p>
            <w:pPr>
              <w:ind w:left="120"/>
              <w:spacing w:after="0" w:line="243" w:lineRule="exact"/>
              <w:rPr>
                <w:sz w:val="20"/>
                <w:szCs w:val="20"/>
                <w:color w:val="auto"/>
              </w:rPr>
            </w:pPr>
            <w:r>
              <w:rPr>
                <w:rFonts w:ascii="Arial" w:cs="Arial" w:eastAsia="Arial" w:hAnsi="Arial"/>
                <w:sz w:val="22"/>
                <w:szCs w:val="22"/>
                <w:color w:val="auto"/>
                <w:w w:val="96"/>
              </w:rPr>
              <w:t>administrative expenses</w:t>
            </w:r>
          </w:p>
        </w:tc>
        <w:tc>
          <w:tcPr>
            <w:tcW w:w="660" w:type="dxa"/>
            <w:vAlign w:val="bottom"/>
          </w:tcPr>
          <w:p>
            <w:pPr>
              <w:jc w:val="right"/>
              <w:ind w:right="72"/>
              <w:spacing w:after="0" w:line="243" w:lineRule="exact"/>
              <w:rPr>
                <w:sz w:val="20"/>
                <w:szCs w:val="20"/>
                <w:color w:val="auto"/>
              </w:rPr>
            </w:pPr>
            <w:r>
              <w:rPr>
                <w:rFonts w:ascii="Arial" w:cs="Arial" w:eastAsia="Arial" w:hAnsi="Arial"/>
                <w:sz w:val="22"/>
                <w:szCs w:val="22"/>
                <w:color w:val="auto"/>
                <w:w w:val="83"/>
              </w:rPr>
              <w:t>$13.7</w:t>
            </w:r>
          </w:p>
        </w:tc>
        <w:tc>
          <w:tcPr>
            <w:tcW w:w="880" w:type="dxa"/>
            <w:vAlign w:val="bottom"/>
            <w:gridSpan w:val="2"/>
          </w:tcPr>
          <w:p>
            <w:pPr>
              <w:jc w:val="right"/>
              <w:ind w:right="92"/>
              <w:spacing w:after="0" w:line="243" w:lineRule="exact"/>
              <w:rPr>
                <w:sz w:val="20"/>
                <w:szCs w:val="20"/>
                <w:color w:val="auto"/>
              </w:rPr>
            </w:pPr>
            <w:r>
              <w:rPr>
                <w:rFonts w:ascii="Arial" w:cs="Arial" w:eastAsia="Arial" w:hAnsi="Arial"/>
                <w:sz w:val="22"/>
                <w:szCs w:val="22"/>
                <w:color w:val="auto"/>
              </w:rPr>
              <w:t>$16.0</w:t>
            </w:r>
          </w:p>
        </w:tc>
        <w:tc>
          <w:tcPr>
            <w:tcW w:w="820" w:type="dxa"/>
            <w:vAlign w:val="bottom"/>
            <w:gridSpan w:val="2"/>
          </w:tcPr>
          <w:p>
            <w:pPr>
              <w:ind w:left="80"/>
              <w:spacing w:after="0" w:line="243" w:lineRule="exact"/>
              <w:rPr>
                <w:sz w:val="20"/>
                <w:szCs w:val="20"/>
                <w:color w:val="auto"/>
              </w:rPr>
            </w:pPr>
            <w:r>
              <w:rPr>
                <w:rFonts w:ascii="Arial" w:cs="Arial" w:eastAsia="Arial" w:hAnsi="Arial"/>
                <w:sz w:val="22"/>
                <w:szCs w:val="22"/>
                <w:color w:val="auto"/>
                <w:w w:val="93"/>
              </w:rPr>
              <w:t>(14.3)%</w:t>
            </w:r>
          </w:p>
        </w:tc>
        <w:tc>
          <w:tcPr>
            <w:tcW w:w="1080" w:type="dxa"/>
            <w:vAlign w:val="bottom"/>
            <w:gridSpan w:val="2"/>
          </w:tcPr>
          <w:p>
            <w:pPr>
              <w:jc w:val="right"/>
              <w:ind w:right="92"/>
              <w:spacing w:after="0" w:line="243" w:lineRule="exact"/>
              <w:rPr>
                <w:sz w:val="20"/>
                <w:szCs w:val="20"/>
                <w:color w:val="auto"/>
              </w:rPr>
            </w:pPr>
            <w:r>
              <w:rPr>
                <w:rFonts w:ascii="Arial" w:cs="Arial" w:eastAsia="Arial" w:hAnsi="Arial"/>
                <w:sz w:val="22"/>
                <w:szCs w:val="22"/>
                <w:color w:val="auto"/>
              </w:rPr>
              <w:t>$43.6</w:t>
            </w:r>
          </w:p>
        </w:tc>
        <w:tc>
          <w:tcPr>
            <w:tcW w:w="960" w:type="dxa"/>
            <w:vAlign w:val="bottom"/>
            <w:gridSpan w:val="2"/>
          </w:tcPr>
          <w:p>
            <w:pPr>
              <w:jc w:val="center"/>
              <w:ind w:left="12"/>
              <w:spacing w:after="0" w:line="243" w:lineRule="exact"/>
              <w:rPr>
                <w:sz w:val="20"/>
                <w:szCs w:val="20"/>
                <w:color w:val="auto"/>
              </w:rPr>
            </w:pPr>
            <w:r>
              <w:rPr>
                <w:rFonts w:ascii="Arial" w:cs="Arial" w:eastAsia="Arial" w:hAnsi="Arial"/>
                <w:sz w:val="22"/>
                <w:szCs w:val="22"/>
                <w:color w:val="auto"/>
                <w:w w:val="87"/>
              </w:rPr>
              <w:t>$46.9</w:t>
            </w:r>
          </w:p>
        </w:tc>
        <w:tc>
          <w:tcPr>
            <w:tcW w:w="9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(7.0)%</w:t>
            </w:r>
          </w:p>
        </w:tc>
        <w:tc>
          <w:tcPr>
            <w:tcW w:w="0" w:type="dxa"/>
            <w:vAlign w:val="bottom"/>
          </w:tcPr>
          <w:p>
            <w:pPr>
              <w:spacing w:after="0"/>
              <w:rPr>
                <w:sz w:val="1"/>
                <w:szCs w:val="1"/>
                <w:color w:val="auto"/>
              </w:rPr>
            </w:pPr>
          </w:p>
        </w:tc>
      </w:tr>
      <w:tr>
        <w:trPr>
          <w:trHeight w:val="275"/>
        </w:trPr>
        <w:tc>
          <w:tcPr>
            <w:tcW w:w="2420" w:type="dxa"/>
            <w:vAlign w:val="bottom"/>
          </w:tcPr>
          <w:p>
            <w:pPr>
              <w:spacing w:after="0"/>
              <w:rPr>
                <w:sz w:val="20"/>
                <w:szCs w:val="20"/>
                <w:color w:val="auto"/>
              </w:rPr>
            </w:pPr>
            <w:r>
              <w:rPr>
                <w:rFonts w:ascii="Arial" w:cs="Arial" w:eastAsia="Arial" w:hAnsi="Arial"/>
                <w:sz w:val="22"/>
                <w:szCs w:val="22"/>
                <w:color w:val="auto"/>
              </w:rPr>
              <w:t>Percentage of net sales</w:t>
            </w:r>
          </w:p>
        </w:tc>
        <w:tc>
          <w:tcPr>
            <w:tcW w:w="660" w:type="dxa"/>
            <w:vAlign w:val="bottom"/>
          </w:tcPr>
          <w:p>
            <w:pPr>
              <w:jc w:val="right"/>
              <w:spacing w:after="0"/>
              <w:rPr>
                <w:sz w:val="20"/>
                <w:szCs w:val="20"/>
                <w:color w:val="auto"/>
              </w:rPr>
            </w:pPr>
            <w:r>
              <w:rPr>
                <w:rFonts w:ascii="Arial" w:cs="Arial" w:eastAsia="Arial" w:hAnsi="Arial"/>
                <w:sz w:val="22"/>
                <w:szCs w:val="22"/>
                <w:color w:val="auto"/>
                <w:w w:val="99"/>
              </w:rPr>
              <w:t>13.0%</w:t>
            </w:r>
          </w:p>
        </w:tc>
        <w:tc>
          <w:tcPr>
            <w:tcW w:w="880" w:type="dxa"/>
            <w:vAlign w:val="bottom"/>
            <w:gridSpan w:val="2"/>
          </w:tcPr>
          <w:p>
            <w:pPr>
              <w:jc w:val="right"/>
              <w:spacing w:after="0"/>
              <w:rPr>
                <w:sz w:val="20"/>
                <w:szCs w:val="20"/>
                <w:color w:val="auto"/>
              </w:rPr>
            </w:pPr>
            <w:r>
              <w:rPr>
                <w:rFonts w:ascii="Arial" w:cs="Arial" w:eastAsia="Arial" w:hAnsi="Arial"/>
                <w:sz w:val="22"/>
                <w:szCs w:val="22"/>
                <w:color w:val="auto"/>
              </w:rPr>
              <w:t>15.3%</w:t>
            </w: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80" w:type="dxa"/>
            <w:vAlign w:val="bottom"/>
            <w:gridSpan w:val="2"/>
          </w:tcPr>
          <w:p>
            <w:pPr>
              <w:jc w:val="right"/>
              <w:spacing w:after="0"/>
              <w:rPr>
                <w:sz w:val="20"/>
                <w:szCs w:val="20"/>
                <w:color w:val="auto"/>
              </w:rPr>
            </w:pPr>
            <w:r>
              <w:rPr>
                <w:rFonts w:ascii="Arial" w:cs="Arial" w:eastAsia="Arial" w:hAnsi="Arial"/>
                <w:sz w:val="22"/>
                <w:szCs w:val="22"/>
                <w:color w:val="auto"/>
              </w:rPr>
              <w:t>13.7%</w:t>
            </w:r>
          </w:p>
        </w:tc>
        <w:tc>
          <w:tcPr>
            <w:tcW w:w="960" w:type="dxa"/>
            <w:vAlign w:val="bottom"/>
            <w:gridSpan w:val="2"/>
          </w:tcPr>
          <w:p>
            <w:pPr>
              <w:jc w:val="right"/>
              <w:spacing w:after="0"/>
              <w:rPr>
                <w:sz w:val="20"/>
                <w:szCs w:val="20"/>
                <w:color w:val="auto"/>
              </w:rPr>
            </w:pPr>
            <w:r>
              <w:rPr>
                <w:rFonts w:ascii="Arial" w:cs="Arial" w:eastAsia="Arial" w:hAnsi="Arial"/>
                <w:sz w:val="22"/>
                <w:szCs w:val="22"/>
                <w:color w:val="auto"/>
              </w:rPr>
              <w:t>14.7%</w:t>
            </w: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100" w:firstLine="324"/>
        <w:spacing w:after="0" w:line="234" w:lineRule="auto"/>
        <w:rPr>
          <w:sz w:val="20"/>
          <w:szCs w:val="20"/>
          <w:color w:val="auto"/>
        </w:rPr>
      </w:pPr>
      <w:r>
        <w:rPr>
          <w:rFonts w:ascii="Arial" w:cs="Arial" w:eastAsia="Arial" w:hAnsi="Arial"/>
          <w:sz w:val="22"/>
          <w:szCs w:val="22"/>
          <w:color w:val="auto"/>
        </w:rPr>
        <w:t>Selling, general and administrative expenses decreased $2.3 million to $13.7 million in Q3-08, compared with $16.0 million in Q3-07. Selling, general and administrative expenses in Q3-08 include a severance charge of $1.0 million related to the Company's former chief executive officer. Selling, general, and administrative expenses were $43.6 million and $46.9 million in YTD-08 and YTD-07, respectively. These decreases were primarily a result of reduced salaries and related benefits as a result of cost reduction programs. Further, the Company's U.S. Nanofab commenced production during Q2-08, and therefore certain costs related thereto are reported as cost of sales whereas prior to commencing production such costs were reported as selling, general and administrative expenses.</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Research and Development</w:t>
      </w:r>
    </w:p>
    <w:p>
      <w:pPr>
        <w:spacing w:after="0" w:line="200" w:lineRule="exact"/>
        <w:rPr>
          <w:sz w:val="20"/>
          <w:szCs w:val="20"/>
          <w:color w:val="auto"/>
        </w:rPr>
      </w:pPr>
    </w:p>
    <w:tbl>
      <w:tblPr>
        <w:tblLayout w:type="fixed"/>
        <w:tblInd w:w="2560" w:type="dxa"/>
        <w:tblCellMar>
          <w:top w:w="0" w:type="dxa"/>
          <w:left w:w="0" w:type="dxa"/>
          <w:bottom w:w="0" w:type="dxa"/>
          <w:right w:w="0" w:type="dxa"/>
        </w:tblCellMar>
      </w:tblPr>
      <w:tr>
        <w:trPr>
          <w:trHeight w:val="281"/>
        </w:trPr>
        <w:tc>
          <w:tcPr>
            <w:tcW w:w="2420" w:type="dxa"/>
            <w:vAlign w:val="bottom"/>
            <w:gridSpan w:val="5"/>
          </w:tcPr>
          <w:p>
            <w:pPr>
              <w:jc w:val="right"/>
              <w:ind w:right="132"/>
              <w:spacing w:after="0"/>
              <w:rPr>
                <w:sz w:val="20"/>
                <w:szCs w:val="20"/>
                <w:color w:val="auto"/>
              </w:rPr>
            </w:pPr>
            <w:r>
              <w:rPr>
                <w:rFonts w:ascii="Arial" w:cs="Arial" w:eastAsia="Arial" w:hAnsi="Arial"/>
                <w:sz w:val="22"/>
                <w:szCs w:val="22"/>
                <w:b w:val="1"/>
                <w:bCs w:val="1"/>
                <w:color w:val="auto"/>
                <w:w w:val="99"/>
              </w:rPr>
              <w:t>Three Months Ended</w:t>
            </w:r>
          </w:p>
        </w:tc>
        <w:tc>
          <w:tcPr>
            <w:tcW w:w="240" w:type="dxa"/>
            <w:vAlign w:val="bottom"/>
          </w:tcPr>
          <w:p>
            <w:pPr>
              <w:spacing w:after="0"/>
              <w:rPr>
                <w:sz w:val="24"/>
                <w:szCs w:val="24"/>
                <w:color w:val="auto"/>
              </w:rPr>
            </w:pPr>
          </w:p>
        </w:tc>
        <w:tc>
          <w:tcPr>
            <w:tcW w:w="2800" w:type="dxa"/>
            <w:vAlign w:val="bottom"/>
            <w:gridSpan w:val="5"/>
          </w:tcPr>
          <w:p>
            <w:pPr>
              <w:jc w:val="right"/>
              <w:ind w:right="392"/>
              <w:spacing w:after="0"/>
              <w:rPr>
                <w:sz w:val="20"/>
                <w:szCs w:val="20"/>
                <w:color w:val="auto"/>
              </w:rPr>
            </w:pPr>
            <w:r>
              <w:rPr>
                <w:rFonts w:ascii="Arial" w:cs="Arial" w:eastAsia="Arial" w:hAnsi="Arial"/>
                <w:sz w:val="22"/>
                <w:szCs w:val="22"/>
                <w:b w:val="1"/>
                <w:bCs w:val="1"/>
                <w:color w:val="auto"/>
              </w:rPr>
              <w:t>Nine Months Ended</w:t>
            </w:r>
          </w:p>
        </w:tc>
      </w:tr>
      <w:tr>
        <w:trPr>
          <w:trHeight w:val="98"/>
        </w:trPr>
        <w:tc>
          <w:tcPr>
            <w:tcW w:w="6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r>
      <w:tr>
        <w:trPr>
          <w:trHeight w:val="331"/>
        </w:trPr>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2"/>
                <w:szCs w:val="22"/>
                <w:b w:val="1"/>
                <w:bCs w:val="1"/>
                <w:color w:val="auto"/>
                <w:w w:val="84"/>
              </w:rPr>
              <w:t>Percent</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2"/>
                <w:szCs w:val="22"/>
                <w:b w:val="1"/>
                <w:bCs w:val="1"/>
                <w:color w:val="auto"/>
                <w:w w:val="84"/>
              </w:rPr>
              <w:t>Percent</w:t>
            </w:r>
          </w:p>
        </w:tc>
      </w:tr>
      <w:tr>
        <w:trPr>
          <w:trHeight w:val="281"/>
        </w:trPr>
        <w:tc>
          <w:tcPr>
            <w:tcW w:w="2420" w:type="dxa"/>
            <w:vAlign w:val="bottom"/>
            <w:gridSpan w:val="5"/>
          </w:tcPr>
          <w:p>
            <w:pPr>
              <w:jc w:val="right"/>
              <w:spacing w:after="0"/>
              <w:rPr>
                <w:sz w:val="20"/>
                <w:szCs w:val="20"/>
                <w:color w:val="auto"/>
              </w:rPr>
            </w:pPr>
            <w:r>
              <w:rPr>
                <w:rFonts w:ascii="Arial" w:cs="Arial" w:eastAsia="Arial" w:hAnsi="Arial"/>
                <w:sz w:val="22"/>
                <w:szCs w:val="22"/>
                <w:b w:val="1"/>
                <w:bCs w:val="1"/>
                <w:color w:val="auto"/>
                <w:w w:val="98"/>
              </w:rPr>
              <w:t>Q3-08   Q3-07   Change</w:t>
            </w:r>
          </w:p>
        </w:tc>
        <w:tc>
          <w:tcPr>
            <w:tcW w:w="240" w:type="dxa"/>
            <w:vAlign w:val="bottom"/>
          </w:tcPr>
          <w:p>
            <w:pPr>
              <w:spacing w:after="0"/>
              <w:rPr>
                <w:sz w:val="24"/>
                <w:szCs w:val="24"/>
                <w:color w:val="auto"/>
              </w:rPr>
            </w:pPr>
          </w:p>
        </w:tc>
        <w:tc>
          <w:tcPr>
            <w:tcW w:w="2800" w:type="dxa"/>
            <w:vAlign w:val="bottom"/>
            <w:gridSpan w:val="5"/>
          </w:tcPr>
          <w:p>
            <w:pPr>
              <w:jc w:val="right"/>
              <w:spacing w:after="0"/>
              <w:rPr>
                <w:sz w:val="20"/>
                <w:szCs w:val="20"/>
                <w:color w:val="auto"/>
              </w:rPr>
            </w:pPr>
            <w:r>
              <w:rPr>
                <w:rFonts w:ascii="Arial" w:cs="Arial" w:eastAsia="Arial" w:hAnsi="Arial"/>
                <w:sz w:val="22"/>
                <w:szCs w:val="22"/>
                <w:b w:val="1"/>
                <w:bCs w:val="1"/>
                <w:color w:val="auto"/>
              </w:rPr>
              <w:t>YTD-08   YTD-07   Change</w:t>
            </w:r>
          </w:p>
        </w:tc>
      </w:tr>
      <w:tr>
        <w:trPr>
          <w:trHeight w:val="98"/>
        </w:trPr>
        <w:tc>
          <w:tcPr>
            <w:tcW w:w="6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r>
    </w:tbl>
    <w:p>
      <w:pPr>
        <w:sectPr>
          <w:pgSz w:w="11900" w:h="16838" w:orient="portrait"/>
          <w:cols w:equalWidth="0" w:num="1">
            <w:col w:w="11400"/>
          </w:cols>
          <w:pgMar w:left="240" w:top="118" w:right="259" w:bottom="0" w:gutter="0" w:footer="0" w:header="0"/>
        </w:sectPr>
      </w:pPr>
    </w:p>
    <w:bookmarkStart w:id="15" w:name="page16"/>
    <w:bookmarkEnd w:id="15"/>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460" w:type="dxa"/>
            <w:vAlign w:val="bottom"/>
          </w:tcPr>
          <w:p>
            <w:pPr>
              <w:spacing w:after="0"/>
              <w:rPr>
                <w:sz w:val="20"/>
                <w:szCs w:val="20"/>
                <w:color w:val="auto"/>
              </w:rPr>
            </w:pPr>
            <w:r>
              <w:rPr>
                <w:rFonts w:ascii="Arial" w:cs="Arial" w:eastAsia="Arial" w:hAnsi="Arial"/>
                <w:sz w:val="22"/>
                <w:szCs w:val="22"/>
                <w:color w:val="auto"/>
                <w:w w:val="90"/>
              </w:rPr>
              <w:t>Research and development</w:t>
            </w:r>
          </w:p>
        </w:tc>
        <w:tc>
          <w:tcPr>
            <w:tcW w:w="820" w:type="dxa"/>
            <w:vAlign w:val="bottom"/>
          </w:tcPr>
          <w:p>
            <w:pPr>
              <w:jc w:val="right"/>
              <w:ind w:right="212"/>
              <w:spacing w:after="0"/>
              <w:rPr>
                <w:sz w:val="20"/>
                <w:szCs w:val="20"/>
                <w:color w:val="auto"/>
              </w:rPr>
            </w:pPr>
            <w:r>
              <w:rPr>
                <w:rFonts w:ascii="Arial" w:cs="Arial" w:eastAsia="Arial" w:hAnsi="Arial"/>
                <w:sz w:val="22"/>
                <w:szCs w:val="22"/>
                <w:color w:val="auto"/>
              </w:rPr>
              <w:t>$4.3</w:t>
            </w:r>
          </w:p>
        </w:tc>
        <w:tc>
          <w:tcPr>
            <w:tcW w:w="960" w:type="dxa"/>
            <w:vAlign w:val="bottom"/>
          </w:tcPr>
          <w:p>
            <w:pPr>
              <w:jc w:val="right"/>
              <w:ind w:right="332"/>
              <w:spacing w:after="0"/>
              <w:rPr>
                <w:sz w:val="20"/>
                <w:szCs w:val="20"/>
                <w:color w:val="auto"/>
              </w:rPr>
            </w:pPr>
            <w:r>
              <w:rPr>
                <w:rFonts w:ascii="Arial" w:cs="Arial" w:eastAsia="Arial" w:hAnsi="Arial"/>
                <w:sz w:val="22"/>
                <w:szCs w:val="22"/>
                <w:color w:val="auto"/>
              </w:rPr>
              <w:t>$4.2</w:t>
            </w:r>
          </w:p>
        </w:tc>
        <w:tc>
          <w:tcPr>
            <w:tcW w:w="1920" w:type="dxa"/>
            <w:vAlign w:val="bottom"/>
          </w:tcPr>
          <w:p>
            <w:pPr>
              <w:jc w:val="right"/>
              <w:ind w:right="232"/>
              <w:spacing w:after="0"/>
              <w:rPr>
                <w:sz w:val="20"/>
                <w:szCs w:val="20"/>
                <w:color w:val="auto"/>
              </w:rPr>
            </w:pPr>
            <w:r>
              <w:rPr>
                <w:rFonts w:ascii="Arial" w:cs="Arial" w:eastAsia="Arial" w:hAnsi="Arial"/>
                <w:sz w:val="22"/>
                <w:szCs w:val="22"/>
                <w:color w:val="auto"/>
              </w:rPr>
              <w:t>1.3%    $13.1</w:t>
            </w:r>
          </w:p>
        </w:tc>
        <w:tc>
          <w:tcPr>
            <w:tcW w:w="1040" w:type="dxa"/>
            <w:vAlign w:val="bottom"/>
          </w:tcPr>
          <w:p>
            <w:pPr>
              <w:jc w:val="right"/>
              <w:ind w:right="252"/>
              <w:spacing w:after="0"/>
              <w:rPr>
                <w:sz w:val="20"/>
                <w:szCs w:val="20"/>
                <w:color w:val="auto"/>
              </w:rPr>
            </w:pPr>
            <w:r>
              <w:rPr>
                <w:rFonts w:ascii="Arial" w:cs="Arial" w:eastAsia="Arial" w:hAnsi="Arial"/>
                <w:sz w:val="22"/>
                <w:szCs w:val="22"/>
                <w:color w:val="auto"/>
              </w:rPr>
              <w:t>$13.3</w:t>
            </w:r>
          </w:p>
        </w:tc>
        <w:tc>
          <w:tcPr>
            <w:tcW w:w="78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275"/>
        </w:trPr>
        <w:tc>
          <w:tcPr>
            <w:tcW w:w="2460" w:type="dxa"/>
            <w:vAlign w:val="bottom"/>
          </w:tcPr>
          <w:p>
            <w:pPr>
              <w:spacing w:after="0"/>
              <w:rPr>
                <w:sz w:val="20"/>
                <w:szCs w:val="20"/>
                <w:color w:val="auto"/>
              </w:rPr>
            </w:pPr>
            <w:r>
              <w:rPr>
                <w:rFonts w:ascii="Arial" w:cs="Arial" w:eastAsia="Arial" w:hAnsi="Arial"/>
                <w:sz w:val="22"/>
                <w:szCs w:val="22"/>
                <w:color w:val="auto"/>
              </w:rPr>
              <w:t>Percentage of net sales</w:t>
            </w:r>
          </w:p>
        </w:tc>
        <w:tc>
          <w:tcPr>
            <w:tcW w:w="820" w:type="dxa"/>
            <w:vAlign w:val="bottom"/>
          </w:tcPr>
          <w:p>
            <w:pPr>
              <w:jc w:val="right"/>
              <w:ind w:right="52"/>
              <w:spacing w:after="0"/>
              <w:rPr>
                <w:sz w:val="20"/>
                <w:szCs w:val="20"/>
                <w:color w:val="auto"/>
              </w:rPr>
            </w:pPr>
            <w:r>
              <w:rPr>
                <w:rFonts w:ascii="Arial" w:cs="Arial" w:eastAsia="Arial" w:hAnsi="Arial"/>
                <w:sz w:val="22"/>
                <w:szCs w:val="22"/>
                <w:color w:val="auto"/>
              </w:rPr>
              <w:t>4.0%</w:t>
            </w:r>
          </w:p>
        </w:tc>
        <w:tc>
          <w:tcPr>
            <w:tcW w:w="960" w:type="dxa"/>
            <w:vAlign w:val="bottom"/>
          </w:tcPr>
          <w:p>
            <w:pPr>
              <w:jc w:val="right"/>
              <w:ind w:right="172"/>
              <w:spacing w:after="0"/>
              <w:rPr>
                <w:sz w:val="20"/>
                <w:szCs w:val="20"/>
                <w:color w:val="auto"/>
              </w:rPr>
            </w:pPr>
            <w:r>
              <w:rPr>
                <w:rFonts w:ascii="Arial" w:cs="Arial" w:eastAsia="Arial" w:hAnsi="Arial"/>
                <w:sz w:val="22"/>
                <w:szCs w:val="22"/>
                <w:color w:val="auto"/>
              </w:rPr>
              <w:t>4.1%</w:t>
            </w:r>
          </w:p>
        </w:tc>
        <w:tc>
          <w:tcPr>
            <w:tcW w:w="1920" w:type="dxa"/>
            <w:vAlign w:val="bottom"/>
          </w:tcPr>
          <w:p>
            <w:pPr>
              <w:jc w:val="right"/>
              <w:ind w:right="72"/>
              <w:spacing w:after="0"/>
              <w:rPr>
                <w:sz w:val="20"/>
                <w:szCs w:val="20"/>
                <w:color w:val="auto"/>
              </w:rPr>
            </w:pPr>
            <w:r>
              <w:rPr>
                <w:rFonts w:ascii="Arial" w:cs="Arial" w:eastAsia="Arial" w:hAnsi="Arial"/>
                <w:sz w:val="22"/>
                <w:szCs w:val="22"/>
                <w:color w:val="auto"/>
              </w:rPr>
              <w:t>4.1%</w:t>
            </w:r>
          </w:p>
        </w:tc>
        <w:tc>
          <w:tcPr>
            <w:tcW w:w="1040" w:type="dxa"/>
            <w:vAlign w:val="bottom"/>
          </w:tcPr>
          <w:p>
            <w:pPr>
              <w:jc w:val="right"/>
              <w:ind w:right="92"/>
              <w:spacing w:after="0"/>
              <w:rPr>
                <w:sz w:val="20"/>
                <w:szCs w:val="20"/>
                <w:color w:val="auto"/>
              </w:rPr>
            </w:pPr>
            <w:r>
              <w:rPr>
                <w:rFonts w:ascii="Arial" w:cs="Arial" w:eastAsia="Arial" w:hAnsi="Arial"/>
                <w:sz w:val="22"/>
                <w:szCs w:val="22"/>
                <w:color w:val="auto"/>
              </w:rPr>
              <w:t>4.1%</w:t>
            </w:r>
          </w:p>
        </w:tc>
        <w:tc>
          <w:tcPr>
            <w:tcW w:w="78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40" w:firstLine="270"/>
        <w:spacing w:after="0" w:line="287" w:lineRule="auto"/>
        <w:rPr>
          <w:sz w:val="20"/>
          <w:szCs w:val="20"/>
          <w:color w:val="auto"/>
        </w:rPr>
      </w:pPr>
      <w:r>
        <w:rPr>
          <w:rFonts w:ascii="Arial" w:cs="Arial" w:eastAsia="Arial" w:hAnsi="Arial"/>
          <w:sz w:val="19"/>
          <w:szCs w:val="19"/>
          <w:color w:val="auto"/>
        </w:rPr>
        <w:t>Research and development expenses consist primarily of global development efforts relating to high-end process technologies for advanced sub-wavelength reticle solutions for IC and FPD technologies. Research and development expenses increased by $0.1 million to $4.3 million in Q3-08, as compared to $4.2 million in Q3-07. On a YTD basis, research and development expenses decreased $0.2 million to $13.1 million in YTD-08, as compared to $13.3 million in YTD-07.</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Impairment of Goodwill</w:t>
      </w:r>
    </w:p>
    <w:p>
      <w:pPr>
        <w:spacing w:after="0" w:line="206" w:lineRule="exact"/>
        <w:rPr>
          <w:sz w:val="20"/>
          <w:szCs w:val="20"/>
          <w:color w:val="auto"/>
        </w:rPr>
      </w:pPr>
    </w:p>
    <w:p>
      <w:pPr>
        <w:ind w:right="60" w:firstLine="270"/>
        <w:spacing w:after="0" w:line="279" w:lineRule="auto"/>
        <w:rPr>
          <w:sz w:val="20"/>
          <w:szCs w:val="20"/>
          <w:color w:val="auto"/>
        </w:rPr>
      </w:pPr>
      <w:r>
        <w:rPr>
          <w:rFonts w:ascii="Arial" w:cs="Arial" w:eastAsia="Arial" w:hAnsi="Arial"/>
          <w:sz w:val="19"/>
          <w:szCs w:val="19"/>
          <w:color w:val="auto"/>
        </w:rPr>
        <w:t>In Q3-08, the Company performed an assessment of the carrying value of its goodwill for the purpose of determining whether it was impaired. Through the third quarter of fiscal 2008, the Company experienced a sustained, significant decline in its stock price. As a result of the decline in stock price, the Company's market capitalization fell significantly below the recorded value of its consolidated net assets during the third quarter of fiscal 2008. Due to the decrease in its market capitalization and quarterly net losses incurred in YTD-08, in accordance with the requirements of Statement of Financial Accounting Standards ("SFAS") No. 142, "Goodwill and Other Intangible Assets," the Company performed the abovementioned assessment.</w:t>
      </w:r>
    </w:p>
    <w:p>
      <w:pPr>
        <w:spacing w:after="0" w:line="151" w:lineRule="exact"/>
        <w:rPr>
          <w:sz w:val="20"/>
          <w:szCs w:val="20"/>
          <w:color w:val="auto"/>
        </w:rPr>
      </w:pPr>
    </w:p>
    <w:p>
      <w:pPr>
        <w:ind w:right="60" w:firstLine="270"/>
        <w:spacing w:after="0" w:line="282" w:lineRule="auto"/>
        <w:rPr>
          <w:sz w:val="20"/>
          <w:szCs w:val="20"/>
          <w:color w:val="auto"/>
        </w:rPr>
      </w:pPr>
      <w:r>
        <w:rPr>
          <w:rFonts w:ascii="Arial" w:cs="Arial" w:eastAsia="Arial" w:hAnsi="Arial"/>
          <w:sz w:val="19"/>
          <w:szCs w:val="19"/>
          <w:color w:val="auto"/>
        </w:rPr>
        <w:t>Based on the results of the Company's initial assessment of goodwill for impairment, it was determined that the carrying value of the Company's net assets exceeded its estimated fair value. Therefore, the Company performed a second step of the impairment test to determine the implied fair value of its goodwill. The result of the analysis indicated that there would be no remaining implied value attributable to the Company's goodwill and, accordingly, the Company wrote off all $138.5 million of its goodwill as of July 27, 2008. (See Note 2 to the Condensed Consolidated Financial Statements.)</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Impairment of Long-Lived Assets</w:t>
      </w:r>
    </w:p>
    <w:p>
      <w:pPr>
        <w:spacing w:after="0" w:line="206" w:lineRule="exact"/>
        <w:rPr>
          <w:sz w:val="20"/>
          <w:szCs w:val="20"/>
          <w:color w:val="auto"/>
        </w:rPr>
      </w:pPr>
    </w:p>
    <w:p>
      <w:pPr>
        <w:jc w:val="both"/>
        <w:ind w:right="220" w:firstLine="258"/>
        <w:spacing w:after="0"/>
        <w:rPr>
          <w:sz w:val="20"/>
          <w:szCs w:val="20"/>
          <w:color w:val="auto"/>
        </w:rPr>
      </w:pPr>
      <w:r>
        <w:rPr>
          <w:rFonts w:ascii="Arial" w:cs="Arial" w:eastAsia="Arial" w:hAnsi="Arial"/>
          <w:sz w:val="22"/>
          <w:szCs w:val="22"/>
          <w:color w:val="auto"/>
        </w:rPr>
        <w:t>As a result of the Company's projected undiscounted future cash flows related to certain of its asset groups (located in Europe and Asia) being less than the carrying value of those assets, the Company recorded an impairment charge of $66.9 million in Q3-08.</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firstLine="258"/>
        <w:spacing w:after="0" w:line="238" w:lineRule="auto"/>
        <w:rPr>
          <w:sz w:val="20"/>
          <w:szCs w:val="20"/>
          <w:color w:val="auto"/>
        </w:rPr>
      </w:pPr>
      <w:r>
        <w:rPr>
          <w:rFonts w:ascii="Arial" w:cs="Arial" w:eastAsia="Arial" w:hAnsi="Arial"/>
          <w:sz w:val="22"/>
          <w:szCs w:val="22"/>
          <w:color w:val="auto"/>
        </w:rPr>
        <w:t>As required by SFAS No. 144, "Accounting for the Impairment or Disposal of Long-lived Assets" the carrying value of the assets determined to be impaired were reduced to their fair values. The fair values of the impaired assets were determined based upon market conditions, the income approach which utilized cash flow projections, and other factors. (See Note 2 of the Condensed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Gain on Sale of Facility</w:t>
      </w:r>
    </w:p>
    <w:p>
      <w:pPr>
        <w:spacing w:after="0" w:line="206" w:lineRule="exact"/>
        <w:rPr>
          <w:sz w:val="20"/>
          <w:szCs w:val="20"/>
          <w:color w:val="auto"/>
        </w:rPr>
      </w:pPr>
    </w:p>
    <w:p>
      <w:pPr>
        <w:ind w:right="40" w:firstLine="270"/>
        <w:spacing w:after="0" w:line="251" w:lineRule="auto"/>
        <w:rPr>
          <w:sz w:val="20"/>
          <w:szCs w:val="20"/>
          <w:color w:val="auto"/>
        </w:rPr>
      </w:pPr>
      <w:r>
        <w:rPr>
          <w:rFonts w:ascii="Arial" w:cs="Arial" w:eastAsia="Arial" w:hAnsi="Arial"/>
          <w:sz w:val="22"/>
          <w:szCs w:val="22"/>
          <w:color w:val="auto"/>
        </w:rPr>
        <w:t>In January 2007, the Company sold its Austin, Texas, manufacturing and research and development facility for proceeds of $5.0 million and realized a gain of $2.3 million, which was recorded in operating income in Q1-07.</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Other Income (expense), net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580" w:type="dxa"/>
            <w:vAlign w:val="bottom"/>
          </w:tcPr>
          <w:p>
            <w:pPr>
              <w:spacing w:after="0"/>
              <w:rPr>
                <w:sz w:val="24"/>
                <w:szCs w:val="24"/>
                <w:color w:val="auto"/>
              </w:rPr>
            </w:pPr>
          </w:p>
        </w:tc>
        <w:tc>
          <w:tcPr>
            <w:tcW w:w="2000" w:type="dxa"/>
            <w:vAlign w:val="bottom"/>
            <w:gridSpan w:val="3"/>
          </w:tcPr>
          <w:p>
            <w:pPr>
              <w:jc w:val="right"/>
              <w:spacing w:after="0"/>
              <w:rPr>
                <w:sz w:val="20"/>
                <w:szCs w:val="20"/>
                <w:color w:val="auto"/>
              </w:rPr>
            </w:pPr>
            <w:r>
              <w:rPr>
                <w:rFonts w:ascii="Arial" w:cs="Arial" w:eastAsia="Arial" w:hAnsi="Arial"/>
                <w:sz w:val="22"/>
                <w:szCs w:val="22"/>
                <w:b w:val="1"/>
                <w:bCs w:val="1"/>
                <w:color w:val="auto"/>
                <w:w w:val="89"/>
              </w:rPr>
              <w:t>Three Months Ended</w:t>
            </w:r>
          </w:p>
        </w:tc>
        <w:tc>
          <w:tcPr>
            <w:tcW w:w="280" w:type="dxa"/>
            <w:vAlign w:val="bottom"/>
          </w:tcPr>
          <w:p>
            <w:pPr>
              <w:spacing w:after="0"/>
              <w:rPr>
                <w:sz w:val="24"/>
                <w:szCs w:val="24"/>
                <w:color w:val="auto"/>
              </w:rPr>
            </w:pPr>
          </w:p>
        </w:tc>
        <w:tc>
          <w:tcPr>
            <w:tcW w:w="1880" w:type="dxa"/>
            <w:vAlign w:val="bottom"/>
            <w:gridSpan w:val="4"/>
          </w:tcPr>
          <w:p>
            <w:pPr>
              <w:jc w:val="right"/>
              <w:spacing w:after="0"/>
              <w:rPr>
                <w:sz w:val="20"/>
                <w:szCs w:val="20"/>
                <w:color w:val="auto"/>
              </w:rPr>
            </w:pPr>
            <w:r>
              <w:rPr>
                <w:rFonts w:ascii="Arial" w:cs="Arial" w:eastAsia="Arial" w:hAnsi="Arial"/>
                <w:sz w:val="22"/>
                <w:szCs w:val="22"/>
                <w:b w:val="1"/>
                <w:bCs w:val="1"/>
                <w:color w:val="auto"/>
                <w:w w:val="89"/>
              </w:rPr>
              <w:t>Nine Months Ended</w:t>
            </w:r>
          </w:p>
        </w:tc>
        <w:tc>
          <w:tcPr>
            <w:tcW w:w="20" w:type="dxa"/>
            <w:vAlign w:val="bottom"/>
          </w:tcPr>
          <w:p>
            <w:pPr>
              <w:spacing w:after="0"/>
              <w:rPr>
                <w:sz w:val="24"/>
                <w:szCs w:val="24"/>
                <w:color w:val="auto"/>
              </w:rPr>
            </w:pPr>
          </w:p>
        </w:tc>
      </w:tr>
      <w:tr>
        <w:trPr>
          <w:trHeight w:val="98"/>
        </w:trPr>
        <w:tc>
          <w:tcPr>
            <w:tcW w:w="258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368"/>
        </w:trPr>
        <w:tc>
          <w:tcPr>
            <w:tcW w:w="2580" w:type="dxa"/>
            <w:vAlign w:val="bottom"/>
          </w:tcPr>
          <w:p>
            <w:pPr>
              <w:spacing w:after="0"/>
              <w:rPr>
                <w:sz w:val="24"/>
                <w:szCs w:val="24"/>
                <w:color w:val="auto"/>
              </w:rPr>
            </w:pPr>
          </w:p>
        </w:tc>
        <w:tc>
          <w:tcPr>
            <w:tcW w:w="920" w:type="dxa"/>
            <w:vAlign w:val="bottom"/>
          </w:tcPr>
          <w:p>
            <w:pPr>
              <w:jc w:val="right"/>
              <w:ind w:right="92"/>
              <w:spacing w:after="0"/>
              <w:rPr>
                <w:sz w:val="20"/>
                <w:szCs w:val="20"/>
                <w:color w:val="auto"/>
              </w:rPr>
            </w:pPr>
            <w:r>
              <w:rPr>
                <w:rFonts w:ascii="Arial" w:cs="Arial" w:eastAsia="Arial" w:hAnsi="Arial"/>
                <w:sz w:val="22"/>
                <w:szCs w:val="22"/>
                <w:b w:val="1"/>
                <w:bCs w:val="1"/>
                <w:color w:val="auto"/>
              </w:rPr>
              <w:t>Q3-08</w:t>
            </w:r>
          </w:p>
        </w:tc>
        <w:tc>
          <w:tcPr>
            <w:tcW w:w="120" w:type="dxa"/>
            <w:vAlign w:val="bottom"/>
          </w:tcPr>
          <w:p>
            <w:pPr>
              <w:spacing w:after="0"/>
              <w:rPr>
                <w:sz w:val="24"/>
                <w:szCs w:val="24"/>
                <w:color w:val="auto"/>
              </w:rPr>
            </w:pPr>
          </w:p>
        </w:tc>
        <w:tc>
          <w:tcPr>
            <w:tcW w:w="960" w:type="dxa"/>
            <w:vAlign w:val="bottom"/>
          </w:tcPr>
          <w:p>
            <w:pPr>
              <w:jc w:val="right"/>
              <w:ind w:right="112"/>
              <w:spacing w:after="0"/>
              <w:rPr>
                <w:sz w:val="20"/>
                <w:szCs w:val="20"/>
                <w:color w:val="auto"/>
              </w:rPr>
            </w:pPr>
            <w:r>
              <w:rPr>
                <w:rFonts w:ascii="Arial" w:cs="Arial" w:eastAsia="Arial" w:hAnsi="Arial"/>
                <w:sz w:val="22"/>
                <w:szCs w:val="22"/>
                <w:b w:val="1"/>
                <w:bCs w:val="1"/>
                <w:color w:val="auto"/>
              </w:rPr>
              <w:t>Q3-07</w:t>
            </w: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2"/>
                <w:szCs w:val="22"/>
                <w:b w:val="1"/>
                <w:bCs w:val="1"/>
                <w:color w:val="auto"/>
              </w:rPr>
              <w:t>YTD-08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2"/>
                <w:szCs w:val="22"/>
                <w:b w:val="1"/>
                <w:bCs w:val="1"/>
                <w:color w:val="auto"/>
              </w:rPr>
              <w:t>YTD-07</w:t>
            </w:r>
          </w:p>
        </w:tc>
        <w:tc>
          <w:tcPr>
            <w:tcW w:w="20" w:type="dxa"/>
            <w:vAlign w:val="bottom"/>
          </w:tcPr>
          <w:p>
            <w:pPr>
              <w:spacing w:after="0"/>
              <w:rPr>
                <w:sz w:val="24"/>
                <w:szCs w:val="24"/>
                <w:color w:val="auto"/>
              </w:rPr>
            </w:pPr>
          </w:p>
        </w:tc>
      </w:tr>
      <w:tr>
        <w:trPr>
          <w:trHeight w:val="98"/>
        </w:trPr>
        <w:tc>
          <w:tcPr>
            <w:tcW w:w="258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580"/>
        </w:trPr>
        <w:tc>
          <w:tcPr>
            <w:tcW w:w="2580" w:type="dxa"/>
            <w:vAlign w:val="bottom"/>
          </w:tcPr>
          <w:p>
            <w:pPr>
              <w:spacing w:after="0"/>
              <w:rPr>
                <w:sz w:val="20"/>
                <w:szCs w:val="20"/>
                <w:color w:val="auto"/>
              </w:rPr>
            </w:pPr>
            <w:r>
              <w:rPr>
                <w:rFonts w:ascii="Arial" w:cs="Arial" w:eastAsia="Arial" w:hAnsi="Arial"/>
                <w:sz w:val="22"/>
                <w:szCs w:val="22"/>
                <w:color w:val="auto"/>
              </w:rPr>
              <w:t>Interest expense</w:t>
            </w:r>
          </w:p>
        </w:tc>
        <w:tc>
          <w:tcPr>
            <w:tcW w:w="920" w:type="dxa"/>
            <w:vAlign w:val="bottom"/>
          </w:tcPr>
          <w:p>
            <w:pPr>
              <w:jc w:val="right"/>
              <w:spacing w:after="0"/>
              <w:rPr>
                <w:sz w:val="20"/>
                <w:szCs w:val="20"/>
                <w:color w:val="auto"/>
              </w:rPr>
            </w:pPr>
            <w:r>
              <w:rPr>
                <w:rFonts w:ascii="Arial" w:cs="Arial" w:eastAsia="Arial" w:hAnsi="Arial"/>
                <w:sz w:val="22"/>
                <w:szCs w:val="22"/>
                <w:color w:val="auto"/>
              </w:rPr>
              <w:t>$(3.3)</w:t>
            </w:r>
          </w:p>
        </w:tc>
        <w:tc>
          <w:tcPr>
            <w:tcW w:w="1080" w:type="dxa"/>
            <w:vAlign w:val="bottom"/>
            <w:gridSpan w:val="2"/>
          </w:tcPr>
          <w:p>
            <w:pPr>
              <w:jc w:val="right"/>
              <w:spacing w:after="0"/>
              <w:rPr>
                <w:sz w:val="20"/>
                <w:szCs w:val="20"/>
                <w:color w:val="auto"/>
              </w:rPr>
            </w:pPr>
            <w:r>
              <w:rPr>
                <w:rFonts w:ascii="Arial" w:cs="Arial" w:eastAsia="Arial" w:hAnsi="Arial"/>
                <w:sz w:val="22"/>
                <w:szCs w:val="22"/>
                <w:color w:val="auto"/>
              </w:rPr>
              <w:t>$(1.5)</w:t>
            </w:r>
          </w:p>
        </w:tc>
        <w:tc>
          <w:tcPr>
            <w:tcW w:w="1160" w:type="dxa"/>
            <w:vAlign w:val="bottom"/>
            <w:gridSpan w:val="2"/>
          </w:tcPr>
          <w:p>
            <w:pPr>
              <w:jc w:val="right"/>
              <w:spacing w:after="0"/>
              <w:rPr>
                <w:sz w:val="20"/>
                <w:szCs w:val="20"/>
                <w:color w:val="auto"/>
              </w:rPr>
            </w:pPr>
            <w:r>
              <w:rPr>
                <w:rFonts w:ascii="Arial" w:cs="Arial" w:eastAsia="Arial" w:hAnsi="Arial"/>
                <w:sz w:val="22"/>
                <w:szCs w:val="22"/>
                <w:color w:val="auto"/>
              </w:rPr>
              <w:t>$(8.3)</w:t>
            </w:r>
          </w:p>
        </w:tc>
        <w:tc>
          <w:tcPr>
            <w:tcW w:w="1000" w:type="dxa"/>
            <w:vAlign w:val="bottom"/>
            <w:gridSpan w:val="3"/>
          </w:tcPr>
          <w:p>
            <w:pPr>
              <w:jc w:val="right"/>
              <w:spacing w:after="0"/>
              <w:rPr>
                <w:sz w:val="20"/>
                <w:szCs w:val="20"/>
                <w:color w:val="auto"/>
              </w:rPr>
            </w:pPr>
            <w:r>
              <w:rPr>
                <w:rFonts w:ascii="Arial" w:cs="Arial" w:eastAsia="Arial" w:hAnsi="Arial"/>
                <w:sz w:val="22"/>
                <w:szCs w:val="22"/>
                <w:color w:val="auto"/>
              </w:rPr>
              <w:t>$(4.5)</w:t>
            </w:r>
          </w:p>
        </w:tc>
        <w:tc>
          <w:tcPr>
            <w:tcW w:w="20" w:type="dxa"/>
            <w:vAlign w:val="bottom"/>
          </w:tcPr>
          <w:p>
            <w:pPr>
              <w:spacing w:after="0"/>
              <w:rPr>
                <w:sz w:val="24"/>
                <w:szCs w:val="24"/>
                <w:color w:val="auto"/>
              </w:rPr>
            </w:pPr>
          </w:p>
        </w:tc>
      </w:tr>
      <w:tr>
        <w:trPr>
          <w:trHeight w:val="243"/>
        </w:trPr>
        <w:tc>
          <w:tcPr>
            <w:tcW w:w="2580" w:type="dxa"/>
            <w:vAlign w:val="bottom"/>
          </w:tcPr>
          <w:p>
            <w:pPr>
              <w:spacing w:after="0" w:line="243" w:lineRule="exact"/>
              <w:rPr>
                <w:sz w:val="20"/>
                <w:szCs w:val="20"/>
                <w:color w:val="auto"/>
              </w:rPr>
            </w:pPr>
            <w:r>
              <w:rPr>
                <w:rFonts w:ascii="Arial" w:cs="Arial" w:eastAsia="Arial" w:hAnsi="Arial"/>
                <w:sz w:val="22"/>
                <w:szCs w:val="22"/>
                <w:color w:val="auto"/>
              </w:rPr>
              <w:t>Investment and other</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5"/>
        </w:trPr>
        <w:tc>
          <w:tcPr>
            <w:tcW w:w="2580" w:type="dxa"/>
            <w:vAlign w:val="bottom"/>
          </w:tcPr>
          <w:p>
            <w:pPr>
              <w:ind w:left="120"/>
              <w:spacing w:after="0"/>
              <w:rPr>
                <w:sz w:val="20"/>
                <w:szCs w:val="20"/>
                <w:color w:val="auto"/>
              </w:rPr>
            </w:pPr>
            <w:r>
              <w:rPr>
                <w:rFonts w:ascii="Arial" w:cs="Arial" w:eastAsia="Arial" w:hAnsi="Arial"/>
                <w:sz w:val="22"/>
                <w:szCs w:val="22"/>
                <w:color w:val="auto"/>
              </w:rPr>
              <w:t>income (expense), net</w:t>
            </w:r>
          </w:p>
        </w:tc>
        <w:tc>
          <w:tcPr>
            <w:tcW w:w="920" w:type="dxa"/>
            <w:vAlign w:val="bottom"/>
          </w:tcPr>
          <w:p>
            <w:pPr>
              <w:jc w:val="right"/>
              <w:spacing w:after="0"/>
              <w:rPr>
                <w:sz w:val="20"/>
                <w:szCs w:val="20"/>
                <w:color w:val="auto"/>
              </w:rPr>
            </w:pPr>
            <w:r>
              <w:rPr>
                <w:rFonts w:ascii="Arial" w:cs="Arial" w:eastAsia="Arial" w:hAnsi="Arial"/>
                <w:sz w:val="22"/>
                <w:szCs w:val="22"/>
                <w:color w:val="auto"/>
              </w:rPr>
              <w:t>0.7</w:t>
            </w:r>
          </w:p>
        </w:tc>
        <w:tc>
          <w:tcPr>
            <w:tcW w:w="1080" w:type="dxa"/>
            <w:vAlign w:val="bottom"/>
            <w:gridSpan w:val="2"/>
          </w:tcPr>
          <w:p>
            <w:pPr>
              <w:jc w:val="right"/>
              <w:spacing w:after="0"/>
              <w:rPr>
                <w:sz w:val="20"/>
                <w:szCs w:val="20"/>
                <w:color w:val="auto"/>
              </w:rPr>
            </w:pPr>
            <w:r>
              <w:rPr>
                <w:rFonts w:ascii="Arial" w:cs="Arial" w:eastAsia="Arial" w:hAnsi="Arial"/>
                <w:sz w:val="22"/>
                <w:szCs w:val="22"/>
                <w:color w:val="auto"/>
              </w:rPr>
              <w:t>2.4</w:t>
            </w:r>
          </w:p>
        </w:tc>
        <w:tc>
          <w:tcPr>
            <w:tcW w:w="1160" w:type="dxa"/>
            <w:vAlign w:val="bottom"/>
            <w:gridSpan w:val="2"/>
          </w:tcPr>
          <w:p>
            <w:pPr>
              <w:jc w:val="right"/>
              <w:spacing w:after="0"/>
              <w:rPr>
                <w:sz w:val="20"/>
                <w:szCs w:val="20"/>
                <w:color w:val="auto"/>
              </w:rPr>
            </w:pPr>
            <w:r>
              <w:rPr>
                <w:rFonts w:ascii="Arial" w:cs="Arial" w:eastAsia="Arial" w:hAnsi="Arial"/>
                <w:sz w:val="22"/>
                <w:szCs w:val="22"/>
                <w:color w:val="auto"/>
              </w:rPr>
              <w:t>2.0</w:t>
            </w:r>
          </w:p>
        </w:tc>
        <w:tc>
          <w:tcPr>
            <w:tcW w:w="1000" w:type="dxa"/>
            <w:vAlign w:val="bottom"/>
            <w:gridSpan w:val="3"/>
          </w:tcPr>
          <w:p>
            <w:pPr>
              <w:jc w:val="right"/>
              <w:spacing w:after="0"/>
              <w:rPr>
                <w:sz w:val="20"/>
                <w:szCs w:val="20"/>
                <w:color w:val="auto"/>
              </w:rPr>
            </w:pPr>
            <w:r>
              <w:rPr>
                <w:rFonts w:ascii="Arial" w:cs="Arial" w:eastAsia="Arial" w:hAnsi="Arial"/>
                <w:sz w:val="22"/>
                <w:szCs w:val="22"/>
                <w:color w:val="auto"/>
              </w:rPr>
              <w:t>5.5</w:t>
            </w:r>
          </w:p>
        </w:tc>
        <w:tc>
          <w:tcPr>
            <w:tcW w:w="20" w:type="dxa"/>
            <w:vAlign w:val="bottom"/>
          </w:tcPr>
          <w:p>
            <w:pPr>
              <w:spacing w:after="0"/>
              <w:rPr>
                <w:sz w:val="23"/>
                <w:szCs w:val="23"/>
                <w:color w:val="auto"/>
              </w:rPr>
            </w:pPr>
          </w:p>
        </w:tc>
      </w:tr>
      <w:tr>
        <w:trPr>
          <w:trHeight w:val="98"/>
        </w:trPr>
        <w:tc>
          <w:tcPr>
            <w:tcW w:w="2580" w:type="dxa"/>
            <w:vAlign w:val="bottom"/>
          </w:tcPr>
          <w:p>
            <w:pPr>
              <w:spacing w:after="0"/>
              <w:rPr>
                <w:sz w:val="8"/>
                <w:szCs w:val="8"/>
                <w:color w:val="auto"/>
              </w:rPr>
            </w:pPr>
          </w:p>
        </w:tc>
        <w:tc>
          <w:tcPr>
            <w:tcW w:w="920" w:type="dxa"/>
            <w:vAlign w:val="bottom"/>
            <w:tcBorders>
              <w:bottom w:val="single" w:sz="8" w:color="336699"/>
            </w:tcBorders>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Borders>
              <w:bottom w:val="single" w:sz="8" w:color="336699"/>
            </w:tcBorders>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r>
      <w:tr>
        <w:trPr>
          <w:trHeight w:val="368"/>
        </w:trPr>
        <w:tc>
          <w:tcPr>
            <w:tcW w:w="2580" w:type="dxa"/>
            <w:vAlign w:val="bottom"/>
          </w:tcPr>
          <w:p>
            <w:pPr>
              <w:spacing w:after="0"/>
              <w:rPr>
                <w:sz w:val="20"/>
                <w:szCs w:val="20"/>
                <w:color w:val="auto"/>
              </w:rPr>
            </w:pPr>
            <w:r>
              <w:rPr>
                <w:rFonts w:ascii="Arial" w:cs="Arial" w:eastAsia="Arial" w:hAnsi="Arial"/>
                <w:sz w:val="22"/>
                <w:szCs w:val="22"/>
                <w:color w:val="auto"/>
                <w:w w:val="91"/>
              </w:rPr>
              <w:t>Other income (expense), net</w:t>
            </w:r>
          </w:p>
        </w:tc>
        <w:tc>
          <w:tcPr>
            <w:tcW w:w="920" w:type="dxa"/>
            <w:vAlign w:val="bottom"/>
          </w:tcPr>
          <w:p>
            <w:pPr>
              <w:jc w:val="right"/>
              <w:spacing w:after="0"/>
              <w:rPr>
                <w:sz w:val="20"/>
                <w:szCs w:val="20"/>
                <w:color w:val="auto"/>
              </w:rPr>
            </w:pPr>
            <w:r>
              <w:rPr>
                <w:rFonts w:ascii="Arial" w:cs="Arial" w:eastAsia="Arial" w:hAnsi="Arial"/>
                <w:sz w:val="22"/>
                <w:szCs w:val="22"/>
                <w:color w:val="auto"/>
              </w:rPr>
              <w:t>$(2.6)</w:t>
            </w:r>
          </w:p>
        </w:tc>
        <w:tc>
          <w:tcPr>
            <w:tcW w:w="1080" w:type="dxa"/>
            <w:vAlign w:val="bottom"/>
            <w:gridSpan w:val="2"/>
          </w:tcPr>
          <w:p>
            <w:pPr>
              <w:jc w:val="right"/>
              <w:spacing w:after="0"/>
              <w:rPr>
                <w:sz w:val="20"/>
                <w:szCs w:val="20"/>
                <w:color w:val="auto"/>
              </w:rPr>
            </w:pPr>
            <w:r>
              <w:rPr>
                <w:rFonts w:ascii="Arial" w:cs="Arial" w:eastAsia="Arial" w:hAnsi="Arial"/>
                <w:sz w:val="22"/>
                <w:szCs w:val="22"/>
                <w:color w:val="auto"/>
              </w:rPr>
              <w:t>$ 0.9</w:t>
            </w:r>
          </w:p>
        </w:tc>
        <w:tc>
          <w:tcPr>
            <w:tcW w:w="1160" w:type="dxa"/>
            <w:vAlign w:val="bottom"/>
            <w:gridSpan w:val="2"/>
          </w:tcPr>
          <w:p>
            <w:pPr>
              <w:jc w:val="right"/>
              <w:spacing w:after="0"/>
              <w:rPr>
                <w:sz w:val="20"/>
                <w:szCs w:val="20"/>
                <w:color w:val="auto"/>
              </w:rPr>
            </w:pPr>
            <w:r>
              <w:rPr>
                <w:rFonts w:ascii="Arial" w:cs="Arial" w:eastAsia="Arial" w:hAnsi="Arial"/>
                <w:sz w:val="22"/>
                <w:szCs w:val="22"/>
                <w:color w:val="auto"/>
              </w:rPr>
              <w:t>$(6.3)</w:t>
            </w:r>
          </w:p>
        </w:tc>
        <w:tc>
          <w:tcPr>
            <w:tcW w:w="1000" w:type="dxa"/>
            <w:vAlign w:val="bottom"/>
            <w:gridSpan w:val="3"/>
          </w:tcPr>
          <w:p>
            <w:pPr>
              <w:jc w:val="right"/>
              <w:spacing w:after="0"/>
              <w:rPr>
                <w:sz w:val="20"/>
                <w:szCs w:val="20"/>
                <w:color w:val="auto"/>
              </w:rPr>
            </w:pPr>
            <w:r>
              <w:rPr>
                <w:rFonts w:ascii="Arial" w:cs="Arial" w:eastAsia="Arial" w:hAnsi="Arial"/>
                <w:sz w:val="22"/>
                <w:szCs w:val="22"/>
                <w:color w:val="auto"/>
              </w:rPr>
              <w:t>$ 1.0</w:t>
            </w:r>
          </w:p>
        </w:tc>
        <w:tc>
          <w:tcPr>
            <w:tcW w:w="20" w:type="dxa"/>
            <w:vAlign w:val="bottom"/>
          </w:tcPr>
          <w:p>
            <w:pPr>
              <w:spacing w:after="0"/>
              <w:rPr>
                <w:sz w:val="24"/>
                <w:szCs w:val="24"/>
                <w:color w:val="auto"/>
              </w:rPr>
            </w:pPr>
          </w:p>
        </w:tc>
      </w:tr>
      <w:tr>
        <w:trPr>
          <w:trHeight w:val="122"/>
        </w:trPr>
        <w:tc>
          <w:tcPr>
            <w:tcW w:w="2580" w:type="dxa"/>
            <w:vAlign w:val="bottom"/>
          </w:tcPr>
          <w:p>
            <w:pPr>
              <w:spacing w:after="0"/>
              <w:rPr>
                <w:sz w:val="10"/>
                <w:szCs w:val="10"/>
                <w:color w:val="auto"/>
              </w:rPr>
            </w:pPr>
          </w:p>
        </w:tc>
        <w:tc>
          <w:tcPr>
            <w:tcW w:w="920" w:type="dxa"/>
            <w:vAlign w:val="bottom"/>
            <w:tcBorders>
              <w:bottom w:val="single" w:sz="8" w:color="336699"/>
            </w:tcBorders>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Borders>
              <w:bottom w:val="single" w:sz="8" w:color="336699"/>
            </w:tcBorders>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Borders>
              <w:bottom w:val="single" w:sz="8" w:color="336699"/>
            </w:tcBorders>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Borders>
              <w:bottom w:val="single" w:sz="8" w:color="336699"/>
            </w:tcBorders>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2207260</wp:posOffset>
            </wp:positionH>
            <wp:positionV relativeFrom="paragraph">
              <wp:posOffset>-29210</wp:posOffset>
            </wp:positionV>
            <wp:extent cx="1270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1632585</wp:posOffset>
            </wp:positionH>
            <wp:positionV relativeFrom="paragraph">
              <wp:posOffset>-29210</wp:posOffset>
            </wp:positionV>
            <wp:extent cx="1270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-29210</wp:posOffset>
            </wp:positionV>
            <wp:extent cx="1270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2301240</wp:posOffset>
            </wp:positionH>
            <wp:positionV relativeFrom="paragraph">
              <wp:posOffset>-29210</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-29210</wp:posOffset>
            </wp:positionV>
            <wp:extent cx="1270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-29210</wp:posOffset>
            </wp:positionV>
            <wp:extent cx="1270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-29210</wp:posOffset>
            </wp:positionV>
            <wp:extent cx="1270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-29210</wp:posOffset>
            </wp:positionV>
            <wp:extent cx="1270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60" w:firstLine="270"/>
        <w:spacing w:after="0" w:line="287" w:lineRule="auto"/>
        <w:rPr>
          <w:sz w:val="20"/>
          <w:szCs w:val="20"/>
          <w:color w:val="auto"/>
        </w:rPr>
      </w:pPr>
      <w:r>
        <w:rPr>
          <w:rFonts w:ascii="Arial" w:cs="Arial" w:eastAsia="Arial" w:hAnsi="Arial"/>
          <w:sz w:val="19"/>
          <w:szCs w:val="19"/>
          <w:color w:val="auto"/>
        </w:rPr>
        <w:t>Interest expense in Q3-08 and YTD-08 increased as compared to the same periods in the prior year, primarily as a result of the Company's increased debt levels and higher interest rates on outstanding debt. Investment and other income (expense), net, for Q3-08 and YTD-08 decreased as compared to the comparable periods in the prior year due to decreased investment income associated with reduced cash and short-term investment balances, reduced foreign currency gains and gains on the sales of investments.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Provision for Income Taxes</w:t>
      </w:r>
    </w:p>
    <w:p>
      <w:pPr>
        <w:spacing w:after="0" w:line="200" w:lineRule="exact"/>
        <w:rPr>
          <w:sz w:val="20"/>
          <w:szCs w:val="20"/>
          <w:color w:val="auto"/>
        </w:rPr>
      </w:pPr>
    </w:p>
    <w:p>
      <w:pPr>
        <w:ind w:left="2760"/>
        <w:spacing w:after="0"/>
        <w:tabs>
          <w:tab w:leader="none" w:pos="5040" w:val="left"/>
        </w:tabs>
        <w:rPr>
          <w:sz w:val="20"/>
          <w:szCs w:val="20"/>
          <w:color w:val="auto"/>
        </w:rPr>
      </w:pPr>
      <w:r>
        <w:rPr>
          <w:rFonts w:ascii="Arial" w:cs="Arial" w:eastAsia="Arial" w:hAnsi="Arial"/>
          <w:sz w:val="22"/>
          <w:szCs w:val="22"/>
          <w:b w:val="1"/>
          <w:bCs w:val="1"/>
          <w:color w:val="auto"/>
        </w:rPr>
        <w:t>Three Months Ended</w:t>
      </w:r>
      <w:r>
        <w:rPr>
          <w:sz w:val="20"/>
          <w:szCs w:val="20"/>
          <w:color w:val="auto"/>
        </w:rPr>
        <w:tab/>
      </w:r>
      <w:r>
        <w:rPr>
          <w:rFonts w:ascii="Arial" w:cs="Arial" w:eastAsia="Arial" w:hAnsi="Arial"/>
          <w:sz w:val="19"/>
          <w:szCs w:val="19"/>
          <w:b w:val="1"/>
          <w:bCs w:val="1"/>
          <w:color w:val="auto"/>
        </w:rPr>
        <w:t>Nine Months Ended</w:t>
      </w:r>
    </w:p>
    <w:p>
      <w:pPr>
        <w:sectPr>
          <w:pgSz w:w="11900" w:h="16866" w:orient="portrait"/>
          <w:cols w:equalWidth="0" w:num="1">
            <w:col w:w="11400"/>
          </w:cols>
          <w:pgMar w:left="240" w:top="108" w:right="259" w:bottom="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81"/>
        </w:trPr>
        <w:tc>
          <w:tcPr>
            <w:tcW w:w="2760" w:type="dxa"/>
            <w:vAlign w:val="bottom"/>
          </w:tcPr>
          <w:p>
            <w:pPr>
              <w:spacing w:after="0"/>
              <w:rPr>
                <w:sz w:val="24"/>
                <w:szCs w:val="24"/>
                <w:color w:val="auto"/>
              </w:rPr>
            </w:pPr>
          </w:p>
        </w:tc>
        <w:tc>
          <w:tcPr>
            <w:tcW w:w="920" w:type="dxa"/>
            <w:vAlign w:val="bottom"/>
          </w:tcPr>
          <w:p>
            <w:pPr>
              <w:jc w:val="right"/>
              <w:ind w:right="72"/>
              <w:spacing w:after="0"/>
              <w:rPr>
                <w:sz w:val="20"/>
                <w:szCs w:val="20"/>
                <w:color w:val="auto"/>
              </w:rPr>
            </w:pPr>
            <w:r>
              <w:rPr>
                <w:rFonts w:ascii="Arial" w:cs="Arial" w:eastAsia="Arial" w:hAnsi="Arial"/>
                <w:sz w:val="22"/>
                <w:szCs w:val="22"/>
                <w:b w:val="1"/>
                <w:bCs w:val="1"/>
                <w:color w:val="auto"/>
              </w:rPr>
              <w:t>Q3-08</w:t>
            </w:r>
          </w:p>
        </w:tc>
        <w:tc>
          <w:tcPr>
            <w:tcW w:w="140" w:type="dxa"/>
            <w:vAlign w:val="bottom"/>
          </w:tcPr>
          <w:p>
            <w:pPr>
              <w:spacing w:after="0"/>
              <w:rPr>
                <w:sz w:val="24"/>
                <w:szCs w:val="24"/>
                <w:color w:val="auto"/>
              </w:rPr>
            </w:pPr>
          </w:p>
        </w:tc>
        <w:tc>
          <w:tcPr>
            <w:tcW w:w="940" w:type="dxa"/>
            <w:vAlign w:val="bottom"/>
          </w:tcPr>
          <w:p>
            <w:pPr>
              <w:jc w:val="right"/>
              <w:ind w:right="92"/>
              <w:spacing w:after="0"/>
              <w:rPr>
                <w:sz w:val="20"/>
                <w:szCs w:val="20"/>
                <w:color w:val="auto"/>
              </w:rPr>
            </w:pPr>
            <w:r>
              <w:rPr>
                <w:rFonts w:ascii="Arial" w:cs="Arial" w:eastAsia="Arial" w:hAnsi="Arial"/>
                <w:sz w:val="22"/>
                <w:szCs w:val="22"/>
                <w:b w:val="1"/>
                <w:bCs w:val="1"/>
                <w:color w:val="auto"/>
              </w:rPr>
              <w:t>Q3-07</w:t>
            </w: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2"/>
                <w:szCs w:val="22"/>
                <w:b w:val="1"/>
                <w:bCs w:val="1"/>
                <w:color w:val="auto"/>
              </w:rPr>
              <w:t>YTD-08</w:t>
            </w: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2"/>
                <w:szCs w:val="22"/>
                <w:b w:val="1"/>
                <w:bCs w:val="1"/>
                <w:color w:val="auto"/>
              </w:rPr>
              <w:t>YTD-07</w:t>
            </w:r>
          </w:p>
        </w:tc>
      </w:tr>
      <w:tr>
        <w:trPr>
          <w:trHeight w:val="98"/>
        </w:trPr>
        <w:tc>
          <w:tcPr>
            <w:tcW w:w="276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r>
      <w:tr>
        <w:trPr>
          <w:trHeight w:val="611"/>
        </w:trPr>
        <w:tc>
          <w:tcPr>
            <w:tcW w:w="2760" w:type="dxa"/>
            <w:vAlign w:val="bottom"/>
          </w:tcPr>
          <w:p>
            <w:pPr>
              <w:spacing w:after="0"/>
              <w:rPr>
                <w:sz w:val="20"/>
                <w:szCs w:val="20"/>
                <w:color w:val="auto"/>
              </w:rPr>
            </w:pPr>
            <w:r>
              <w:rPr>
                <w:rFonts w:ascii="Arial" w:cs="Arial" w:eastAsia="Arial" w:hAnsi="Arial"/>
                <w:sz w:val="22"/>
                <w:szCs w:val="22"/>
                <w:color w:val="auto"/>
                <w:w w:val="94"/>
              </w:rPr>
              <w:t>Income tax benefit (provision)</w:t>
            </w:r>
          </w:p>
        </w:tc>
        <w:tc>
          <w:tcPr>
            <w:tcW w:w="920" w:type="dxa"/>
            <w:vAlign w:val="bottom"/>
          </w:tcPr>
          <w:p>
            <w:pPr>
              <w:jc w:val="right"/>
              <w:spacing w:after="0"/>
              <w:rPr>
                <w:sz w:val="20"/>
                <w:szCs w:val="20"/>
                <w:color w:val="auto"/>
              </w:rPr>
            </w:pPr>
            <w:r>
              <w:rPr>
                <w:rFonts w:ascii="Arial" w:cs="Arial" w:eastAsia="Arial" w:hAnsi="Arial"/>
                <w:sz w:val="22"/>
                <w:szCs w:val="22"/>
                <w:color w:val="auto"/>
              </w:rPr>
              <w:t>$7.0</w:t>
            </w:r>
          </w:p>
        </w:tc>
        <w:tc>
          <w:tcPr>
            <w:tcW w:w="1080" w:type="dxa"/>
            <w:vAlign w:val="bottom"/>
            <w:gridSpan w:val="2"/>
          </w:tcPr>
          <w:p>
            <w:pPr>
              <w:jc w:val="right"/>
              <w:spacing w:after="0"/>
              <w:rPr>
                <w:sz w:val="20"/>
                <w:szCs w:val="20"/>
                <w:color w:val="auto"/>
              </w:rPr>
            </w:pPr>
            <w:r>
              <w:rPr>
                <w:rFonts w:ascii="Arial" w:cs="Arial" w:eastAsia="Arial" w:hAnsi="Arial"/>
                <w:sz w:val="22"/>
                <w:szCs w:val="22"/>
                <w:color w:val="auto"/>
              </w:rPr>
              <w:t>$(1.1)</w:t>
            </w:r>
          </w:p>
        </w:tc>
        <w:tc>
          <w:tcPr>
            <w:tcW w:w="1180" w:type="dxa"/>
            <w:vAlign w:val="bottom"/>
            <w:gridSpan w:val="2"/>
          </w:tcPr>
          <w:p>
            <w:pPr>
              <w:jc w:val="right"/>
              <w:spacing w:after="0"/>
              <w:rPr>
                <w:sz w:val="20"/>
                <w:szCs w:val="20"/>
                <w:color w:val="auto"/>
              </w:rPr>
            </w:pPr>
            <w:r>
              <w:rPr>
                <w:rFonts w:ascii="Arial" w:cs="Arial" w:eastAsia="Arial" w:hAnsi="Arial"/>
                <w:sz w:val="22"/>
                <w:szCs w:val="22"/>
                <w:color w:val="auto"/>
              </w:rPr>
              <w:t>$4.2</w:t>
            </w: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$4.0</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1906905</wp:posOffset>
            </wp:positionH>
            <wp:positionV relativeFrom="page">
              <wp:posOffset>88900</wp:posOffset>
            </wp:positionV>
            <wp:extent cx="264985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right="60" w:firstLine="266"/>
        <w:spacing w:after="0" w:line="236" w:lineRule="auto"/>
        <w:rPr>
          <w:sz w:val="20"/>
          <w:szCs w:val="20"/>
          <w:color w:val="auto"/>
        </w:rPr>
      </w:pPr>
      <w:r>
        <w:rPr>
          <w:rFonts w:ascii="Arial" w:cs="Arial" w:eastAsia="Arial" w:hAnsi="Arial"/>
          <w:sz w:val="22"/>
          <w:szCs w:val="22"/>
          <w:color w:val="auto"/>
        </w:rPr>
        <w:t>The income tax benefit for Q3-08 and YTD-08 differs from the amounts computed by applying the U.S. statutory rate of 35% to the income before taxes, primarily due to tax benefits related to the impairments of goodwill and long-lived assets. The income tax benefit for Q3-07 and YTD-07 differs from the amounts computed by applying the U.S. statutory rate of 35% to income before taxes, primarily due to the benefit (provision) recorded for the resolution and settlement of U.S. and foreign tax matters that were associated with uncertain tax positions in prior years.</w:t>
      </w:r>
    </w:p>
    <w:p>
      <w:pPr>
        <w:spacing w:after="0" w:line="188" w:lineRule="exact"/>
        <w:rPr>
          <w:sz w:val="20"/>
          <w:szCs w:val="20"/>
          <w:color w:val="auto"/>
        </w:rPr>
      </w:pPr>
    </w:p>
    <w:p>
      <w:pPr>
        <w:ind w:right="180" w:firstLine="266"/>
        <w:spacing w:after="0" w:line="235" w:lineRule="auto"/>
        <w:rPr>
          <w:sz w:val="20"/>
          <w:szCs w:val="20"/>
          <w:color w:val="auto"/>
        </w:rPr>
      </w:pPr>
      <w:r>
        <w:rPr>
          <w:rFonts w:ascii="Arial" w:cs="Arial" w:eastAsia="Arial" w:hAnsi="Arial"/>
          <w:sz w:val="22"/>
          <w:szCs w:val="22"/>
          <w:color w:val="auto"/>
        </w:rPr>
        <w:t>The Company's operations have followed the migration of semiconductor industry fabrication to Asia, where the Company operates in countries where it is accorded favorable tax treatment. PKLT, the Company's FPD manufacturing facility in Taiwan, is accorded a tax holiday, which is expected to expire in 2012. In addition, the Company has been accorded a tax holiday in China which is expected to expire in 2011. These tax holidays had no dollar or per share effect in the three and nine months ended July 27, 2008 and July 29, 2007. In Korea and Taiwan, various investment tax credits have been utilized to reduce the Company's effective income tax rate.</w:t>
      </w:r>
    </w:p>
    <w:p>
      <w:pPr>
        <w:spacing w:after="0" w:line="188" w:lineRule="exact"/>
        <w:rPr>
          <w:sz w:val="20"/>
          <w:szCs w:val="20"/>
          <w:color w:val="auto"/>
        </w:rPr>
      </w:pPr>
    </w:p>
    <w:p>
      <w:pPr>
        <w:ind w:right="80" w:firstLine="270"/>
        <w:spacing w:after="0" w:line="247" w:lineRule="auto"/>
        <w:rPr>
          <w:sz w:val="20"/>
          <w:szCs w:val="20"/>
          <w:color w:val="auto"/>
        </w:rPr>
      </w:pPr>
      <w:r>
        <w:rPr>
          <w:rFonts w:ascii="Arial" w:cs="Arial" w:eastAsia="Arial" w:hAnsi="Arial"/>
          <w:sz w:val="21"/>
          <w:szCs w:val="21"/>
          <w:color w:val="auto"/>
        </w:rPr>
        <w:t>In June 2006, the FASB issued FASB Interpretation Number 48 ("FIN 48"), "Accounting for Uncertainty in Income Taxes - an Interpretation of FASB Statement No. 109" ("SFAS 109"). The interpretation contains a two-step approach to recognizing and measuring uncertain tax positions accounted for in accordance with SFAS 109. The first step is to evaluate the tax position for recognition by determining if the weight of available evidence indicates it is more likely than not that the position will be sustained on audit, including resolution of related appeals or litigation processes, if any. The second step is to measure the tax benefit as the largest amount that is more than 50% likely of being realized upon ultimate settlement. The Company adopted FIN 48 as of the beginning of its 2008 fiscal year. Prior to adoption, the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60"/>
        <w:spacing w:after="0" w:line="277" w:lineRule="auto"/>
        <w:rPr>
          <w:sz w:val="20"/>
          <w:szCs w:val="20"/>
          <w:color w:val="auto"/>
        </w:rPr>
      </w:pPr>
      <w:r>
        <w:rPr>
          <w:rFonts w:ascii="Arial" w:cs="Arial" w:eastAsia="Arial" w:hAnsi="Arial"/>
          <w:sz w:val="19"/>
          <w:szCs w:val="19"/>
          <w:color w:val="auto"/>
        </w:rPr>
        <w:t>Company's pre-existing policy was to establish reserves, including interest and penalties, for uncertain tax positions that reflected the probable outcome of known tax contingencies. As of the date of adoption of FIN 48, the Company has elected to recognize interest, and penalties if applicable, related to uncertain tax positions in the income tax provision in its condensed consolidated statements of operations. As compared to the Company's historical approach, the application of FIN 48 resulted in a net increase to accrued income taxes payable of approximately $1.0 million (including interest and penalties of approximately $0.2 million), and a decrease to retained earnings of the same amount. There were no significant changes to the liability for uncertain tax positions (or accrued interest and penalties) during the nine months ended July 27, 2008.</w:t>
      </w:r>
    </w:p>
    <w:p>
      <w:pPr>
        <w:spacing w:after="0" w:line="153" w:lineRule="exact"/>
        <w:rPr>
          <w:sz w:val="20"/>
          <w:szCs w:val="20"/>
          <w:color w:val="auto"/>
        </w:rPr>
      </w:pPr>
    </w:p>
    <w:p>
      <w:pPr>
        <w:ind w:firstLine="258"/>
        <w:spacing w:after="0"/>
        <w:rPr>
          <w:sz w:val="20"/>
          <w:szCs w:val="20"/>
          <w:color w:val="auto"/>
        </w:rPr>
      </w:pPr>
      <w:r>
        <w:rPr>
          <w:rFonts w:ascii="Arial" w:cs="Arial" w:eastAsia="Arial" w:hAnsi="Arial"/>
          <w:sz w:val="22"/>
          <w:szCs w:val="22"/>
          <w:color w:val="auto"/>
        </w:rPr>
        <w:t>As of the date of adoption of FIN 48 the gross unrecognized tax benefits for income taxes associated with uncertain tax positions totaled approximately $3.5 million. If recognized, the benefits would favorably affect the Company's effective tax rate in future periods.</w:t>
      </w:r>
    </w:p>
    <w:p>
      <w:pPr>
        <w:spacing w:after="0" w:line="186" w:lineRule="exact"/>
        <w:rPr>
          <w:sz w:val="20"/>
          <w:szCs w:val="20"/>
          <w:color w:val="auto"/>
        </w:rPr>
      </w:pPr>
    </w:p>
    <w:p>
      <w:pPr>
        <w:ind w:right="160" w:firstLine="270"/>
        <w:spacing w:after="0" w:line="238" w:lineRule="auto"/>
        <w:rPr>
          <w:sz w:val="20"/>
          <w:szCs w:val="20"/>
          <w:color w:val="auto"/>
        </w:rPr>
      </w:pPr>
      <w:r>
        <w:rPr>
          <w:rFonts w:ascii="Arial" w:cs="Arial" w:eastAsia="Arial" w:hAnsi="Arial"/>
          <w:sz w:val="22"/>
          <w:szCs w:val="22"/>
          <w:color w:val="auto"/>
        </w:rPr>
        <w:t>It is possible that material changes to the gross unrecognized tax benefits may be required during fiscal year 2008. These changes relate to possible settlements in the U.K. and Germany during fiscal year 2008. Though the Company expects these items may result in a net reduction of its unrecognized tax benefits, an estimate of the expected reduction and related income tax benefit cannot be made at this time.</w:t>
      </w:r>
    </w:p>
    <w:p>
      <w:pPr>
        <w:spacing w:after="0" w:line="185" w:lineRule="exact"/>
        <w:rPr>
          <w:sz w:val="20"/>
          <w:szCs w:val="20"/>
          <w:color w:val="auto"/>
        </w:rPr>
      </w:pPr>
    </w:p>
    <w:p>
      <w:pPr>
        <w:ind w:right="60" w:firstLine="270"/>
        <w:spacing w:after="0" w:line="251" w:lineRule="auto"/>
        <w:rPr>
          <w:sz w:val="20"/>
          <w:szCs w:val="20"/>
          <w:color w:val="auto"/>
        </w:rPr>
      </w:pPr>
      <w:r>
        <w:rPr>
          <w:rFonts w:ascii="Arial" w:cs="Arial" w:eastAsia="Arial" w:hAnsi="Arial"/>
          <w:sz w:val="22"/>
          <w:szCs w:val="22"/>
          <w:color w:val="auto"/>
        </w:rPr>
        <w:t>Currently, the statutes of limitations remain open subsequent to and including 2003 in the U.S. and Korea, 2002 in the U.K., and 2001 in Germany.</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Minority Interest in Consolidated Subsidiaries</w:t>
      </w:r>
    </w:p>
    <w:p>
      <w:pPr>
        <w:spacing w:after="0" w:line="206" w:lineRule="exact"/>
        <w:rPr>
          <w:sz w:val="20"/>
          <w:szCs w:val="20"/>
          <w:color w:val="auto"/>
        </w:rPr>
      </w:pPr>
    </w:p>
    <w:p>
      <w:pPr>
        <w:ind w:right="20" w:firstLine="270"/>
        <w:spacing w:after="0" w:line="238" w:lineRule="auto"/>
        <w:rPr>
          <w:sz w:val="20"/>
          <w:szCs w:val="20"/>
          <w:color w:val="auto"/>
        </w:rPr>
      </w:pPr>
      <w:r>
        <w:rPr>
          <w:rFonts w:ascii="Arial" w:cs="Arial" w:eastAsia="Arial" w:hAnsi="Arial"/>
          <w:sz w:val="22"/>
          <w:szCs w:val="22"/>
          <w:color w:val="auto"/>
        </w:rPr>
        <w:t>Minority interest decreased $0.4 million to $0.5 million in Q3-08 as compared to Q3-07 due to decreased net income at the Company's non-wholly owned subsidiary in Taiwan. The Company's ownership in its subsidiary in Taiwan was approximately 58% at July 27, 2008 and October 28, 2007, and its ownership in its subsidiary in Korea was approximately 99.7% at July 27, 2008 and October 28, 2007.</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12" w:lineRule="exact"/>
        <w:rPr>
          <w:sz w:val="20"/>
          <w:szCs w:val="20"/>
          <w:color w:val="auto"/>
        </w:rPr>
      </w:pPr>
    </w:p>
    <w:p>
      <w:pPr>
        <w:ind w:right="280" w:firstLine="266"/>
        <w:spacing w:after="0" w:line="279" w:lineRule="auto"/>
        <w:rPr>
          <w:sz w:val="20"/>
          <w:szCs w:val="20"/>
          <w:color w:val="auto"/>
        </w:rPr>
      </w:pPr>
      <w:r>
        <w:rPr>
          <w:rFonts w:ascii="Arial" w:cs="Arial" w:eastAsia="Arial" w:hAnsi="Arial"/>
          <w:sz w:val="19"/>
          <w:szCs w:val="19"/>
          <w:color w:val="auto"/>
        </w:rPr>
        <w:t>The Company's working capital decreased $31.3 million to $65.3 million at July 27, 2008, as compared to $96.6 million at October 28, 2007, primarily related to payments for capital expenditures and an increase in the current portion of long-term borrowings related to the U.S. Nanofab capital lease agreement which commenced during Q1-08. Cash, cash equivalents, and short-term investments decreased to $79.6 million at July 27, 2008 as compared to $151.7 million at October 28, 2007, primarily due to payments for capital expenditures and the redemption of convertible subordinated debt. Net cash provided by operating activities decreased to $65.9 million for the nine months ended July 27, 2008 as compared to $94.1 for the same period last year,</w:t>
      </w:r>
    </w:p>
    <w:p>
      <w:pPr>
        <w:sectPr>
          <w:pgSz w:w="11900" w:h="16838" w:orient="portrait"/>
          <w:cols w:equalWidth="0" w:num="1">
            <w:col w:w="11420"/>
          </w:cols>
          <w:pgMar w:left="240" w:top="355" w:right="239" w:bottom="0" w:gutter="0" w:footer="0" w:header="0"/>
        </w:sectPr>
      </w:pPr>
    </w:p>
    <w:bookmarkStart w:id="17" w:name="page18"/>
    <w:bookmarkEnd w:id="17"/>
    <w:p>
      <w:pPr>
        <w:ind w:right="140"/>
        <w:spacing w:after="0" w:line="248" w:lineRule="auto"/>
        <w:rPr>
          <w:sz w:val="20"/>
          <w:szCs w:val="20"/>
          <w:color w:val="auto"/>
        </w:rPr>
      </w:pPr>
      <w:r>
        <w:rPr>
          <w:rFonts w:ascii="Arial" w:cs="Arial" w:eastAsia="Arial" w:hAnsi="Arial"/>
          <w:sz w:val="21"/>
          <w:szCs w:val="21"/>
          <w:color w:val="auto"/>
        </w:rPr>
        <w:t>primarily due to a reduction of accounts payable of $40.4 million, primarily for accrued capital expenditure payments. Net cash used in investing activities for the nine months ended July 27, 2008 was $94.3 million, which was comprised primarily of capital expenditure payments of $94.9 million. Net cash used in financing activities of $41.3 million for the nine months ended July 27, 2008 was primarily comprised of $172.5 million repayments of long-term borrowings (primarily relating to the Company's redemption of its $150.0 million convertible subordinated notes) offset by $139.6 million in proceeds from long-term borrowings, primarily related to the Company's revolving credit facility.</w:t>
      </w:r>
    </w:p>
    <w:p>
      <w:pPr>
        <w:spacing w:after="0" w:line="178" w:lineRule="exact"/>
        <w:rPr>
          <w:sz w:val="20"/>
          <w:szCs w:val="20"/>
          <w:color w:val="auto"/>
        </w:rPr>
      </w:pPr>
    </w:p>
    <w:p>
      <w:pPr>
        <w:ind w:firstLine="258"/>
        <w:spacing w:after="0" w:line="235" w:lineRule="auto"/>
        <w:rPr>
          <w:sz w:val="20"/>
          <w:szCs w:val="20"/>
          <w:color w:val="auto"/>
        </w:rPr>
      </w:pPr>
      <w:r>
        <w:rPr>
          <w:rFonts w:ascii="Arial" w:cs="Arial" w:eastAsia="Arial" w:hAnsi="Arial"/>
          <w:sz w:val="22"/>
          <w:szCs w:val="22"/>
          <w:color w:val="auto"/>
        </w:rPr>
        <w:t>At July 27, 2008, the Company had capital commitments outstanding of approximately $20 million. Photronics believes that its currently available resources, together with its access to other debt and equity financing sources, will be sufficient to satisfy its currently planned capital expenditures, as well as its anticipated working capital requirements for the remainder of its 2008 fiscal year. However, the Company cannot assure that additional sources of financing would be available to the Company on commercially favorable terms should the Company's capital requirements exceed cash available from operations, existing cash, and short-term investments.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Cash Requirements</w:t>
      </w:r>
    </w:p>
    <w:p>
      <w:pPr>
        <w:spacing w:after="0" w:line="212" w:lineRule="exact"/>
        <w:rPr>
          <w:sz w:val="20"/>
          <w:szCs w:val="20"/>
          <w:color w:val="auto"/>
        </w:rPr>
      </w:pPr>
    </w:p>
    <w:p>
      <w:pPr>
        <w:jc w:val="both"/>
        <w:ind w:right="360" w:firstLine="266"/>
        <w:spacing w:after="0" w:line="287" w:lineRule="auto"/>
        <w:rPr>
          <w:sz w:val="20"/>
          <w:szCs w:val="20"/>
          <w:color w:val="auto"/>
        </w:rPr>
      </w:pPr>
      <w:r>
        <w:rPr>
          <w:rFonts w:ascii="Arial" w:cs="Arial" w:eastAsia="Arial" w:hAnsi="Arial"/>
          <w:sz w:val="19"/>
          <w:szCs w:val="19"/>
          <w:color w:val="auto"/>
        </w:rPr>
        <w:t>The Company's cash requirements for the balance of fiscal 2008 will be primarily to fund operations, including spending on capital expenditures and capital lease obligations, as well as any cash acquisitions that it may undertake. On April 25, 2008, the Company's credit facility was amended, including a provision that the Company enter into an agreement evidencing permanent long-term capital of at least $75.0 million by November 2, 2008. The Company expects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160"/>
        <w:spacing w:after="0" w:line="235" w:lineRule="auto"/>
        <w:rPr>
          <w:sz w:val="20"/>
          <w:szCs w:val="20"/>
          <w:color w:val="auto"/>
        </w:rPr>
      </w:pPr>
      <w:r>
        <w:rPr>
          <w:rFonts w:ascii="Arial" w:cs="Arial" w:eastAsia="Arial" w:hAnsi="Arial"/>
          <w:sz w:val="22"/>
          <w:szCs w:val="22"/>
          <w:color w:val="auto"/>
        </w:rPr>
        <w:t>that cash, cash equivalents, short-term investments, cash generated from operations, along with access to other debt and equity financing sources, should be sufficient to meet its cash requirements for the next 12 months. The Company regularly reviews the availability and terms on which it might issue additional equity or debt securities in the public or private markets. However, the Company cannot assure that additional sources of financing would be available to the Company on commercially favorable terms should the Company's capital requirements exceed cash available from operations, cash available under its credit facility, existing cash, and short-term investments.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Stock-Based Compensation</w:t>
      </w:r>
    </w:p>
    <w:p>
      <w:pPr>
        <w:spacing w:after="0" w:line="212" w:lineRule="exact"/>
        <w:rPr>
          <w:sz w:val="20"/>
          <w:szCs w:val="20"/>
          <w:color w:val="auto"/>
        </w:rPr>
      </w:pPr>
    </w:p>
    <w:p>
      <w:pPr>
        <w:ind w:right="40" w:firstLine="266"/>
        <w:spacing w:after="0" w:line="249" w:lineRule="auto"/>
        <w:rPr>
          <w:sz w:val="20"/>
          <w:szCs w:val="20"/>
          <w:color w:val="auto"/>
        </w:rPr>
      </w:pPr>
      <w:r>
        <w:rPr>
          <w:rFonts w:ascii="Arial" w:cs="Arial" w:eastAsia="Arial" w:hAnsi="Arial"/>
          <w:sz w:val="21"/>
          <w:szCs w:val="21"/>
          <w:color w:val="auto"/>
        </w:rPr>
        <w:t>Total stock-based compensation expense for the three and nine months ended July 27, 2008 was $0.8 million and $2.0 million, respectively, as compared to $0.8 million and $2.3 million, respectively, for the comparable prior year periods, substantially all of which is in selling, general and administrative expenses. No compensation cost was capitalized as part of inventory, and no income tax benefit has been recorded. As of July 27, 2008 total unrecognized compensation cost of $6.8 million is expected to be recognized over a weighted average amortization period of 3.5 years.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Outlook</w:t>
      </w:r>
    </w:p>
    <w:p>
      <w:pPr>
        <w:spacing w:after="0" w:line="212" w:lineRule="exact"/>
        <w:rPr>
          <w:sz w:val="20"/>
          <w:szCs w:val="20"/>
          <w:color w:val="auto"/>
        </w:rPr>
      </w:pPr>
    </w:p>
    <w:p>
      <w:pPr>
        <w:ind w:right="100" w:firstLine="258"/>
        <w:spacing w:after="0" w:line="282" w:lineRule="auto"/>
        <w:rPr>
          <w:sz w:val="20"/>
          <w:szCs w:val="20"/>
          <w:color w:val="auto"/>
        </w:rPr>
      </w:pPr>
      <w:r>
        <w:rPr>
          <w:rFonts w:ascii="Arial" w:cs="Arial" w:eastAsia="Arial" w:hAnsi="Arial"/>
          <w:sz w:val="19"/>
          <w:szCs w:val="19"/>
          <w:color w:val="auto"/>
        </w:rPr>
        <w:t>A majority of the Company's revenue growth has come from, and is expected to continue to come from, the Asian region, as customers increase their use of manufacturing foundries located outside of North America and Europe. Additional revenue growth is also anticipated from North America as a result of utilizing technology licensed under the Company's technology license with Micron Technology, Inc. The Company's Korean and Taiwanese operations are non-wholly owned subsidiaries. Therefore, a portion of earnings generated at each of these locations is allocated to the minority shareholders.</w:t>
      </w:r>
    </w:p>
    <w:p>
      <w:pPr>
        <w:spacing w:after="0" w:line="148" w:lineRule="exact"/>
        <w:rPr>
          <w:sz w:val="20"/>
          <w:szCs w:val="20"/>
          <w:color w:val="auto"/>
        </w:rPr>
      </w:pPr>
    </w:p>
    <w:p>
      <w:pPr>
        <w:ind w:right="460" w:firstLine="266"/>
        <w:spacing w:after="0" w:line="252" w:lineRule="auto"/>
        <w:rPr>
          <w:sz w:val="20"/>
          <w:szCs w:val="20"/>
          <w:color w:val="auto"/>
        </w:rPr>
      </w:pPr>
      <w:r>
        <w:rPr>
          <w:rFonts w:ascii="Arial" w:cs="Arial" w:eastAsia="Arial" w:hAnsi="Arial"/>
          <w:sz w:val="21"/>
          <w:szCs w:val="21"/>
          <w:color w:val="auto"/>
        </w:rPr>
        <w:t>The Company continues to assess its global manufacturing strategy and monitor its market capitalization, sales volume and related cash flows from operations. This ongoing assessment could result in future facilities closures, asset redeployments, additional impairments of intangible or long-lived assets, workforce reductions, or the addition of increased manufacturing facilities, all of which would be based on market conditions and customer requirements.</w:t>
      </w:r>
    </w:p>
    <w:p>
      <w:pPr>
        <w:spacing w:after="0" w:line="174" w:lineRule="exact"/>
        <w:rPr>
          <w:sz w:val="20"/>
          <w:szCs w:val="20"/>
          <w:color w:val="auto"/>
        </w:rPr>
      </w:pPr>
    </w:p>
    <w:p>
      <w:pPr>
        <w:ind w:firstLine="266"/>
        <w:spacing w:after="0"/>
        <w:rPr>
          <w:sz w:val="20"/>
          <w:szCs w:val="20"/>
          <w:color w:val="auto"/>
        </w:rPr>
      </w:pPr>
      <w:r>
        <w:rPr>
          <w:rFonts w:ascii="Arial" w:cs="Arial" w:eastAsia="Arial" w:hAnsi="Arial"/>
          <w:sz w:val="22"/>
          <w:szCs w:val="22"/>
          <w:color w:val="auto"/>
        </w:rPr>
        <w:t>The Company's future results of operations and the other forward-looking statements contained in this filing involve a number of risks and uncertainties. Various factors that have been discussed and a number of other factors could cause actual results to differ materially from the Company's expectations.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Application of Critical Accounting Policies</w:t>
      </w:r>
    </w:p>
    <w:p>
      <w:pPr>
        <w:spacing w:after="0" w:line="212" w:lineRule="exact"/>
        <w:rPr>
          <w:sz w:val="20"/>
          <w:szCs w:val="20"/>
          <w:color w:val="auto"/>
        </w:rPr>
      </w:pPr>
    </w:p>
    <w:p>
      <w:pPr>
        <w:ind w:firstLine="266"/>
        <w:spacing w:after="0" w:line="238" w:lineRule="auto"/>
        <w:rPr>
          <w:sz w:val="20"/>
          <w:szCs w:val="20"/>
          <w:color w:val="auto"/>
        </w:rPr>
      </w:pPr>
      <w:r>
        <w:rPr>
          <w:rFonts w:ascii="Arial" w:cs="Arial" w:eastAsia="Arial" w:hAnsi="Arial"/>
          <w:sz w:val="22"/>
          <w:szCs w:val="22"/>
          <w:color w:val="auto"/>
        </w:rPr>
        <w:t>The Company's condensed consolidated financial statements are based on the selection and application of significant accounting policies, which require management to make significant estimates and assumptions. The Company believes that the following are some of the more critical judgment areas in the application of the Company's accounting policies that affect its financial condition and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Estimates and Assumptions</w:t>
      </w:r>
    </w:p>
    <w:p>
      <w:pPr>
        <w:spacing w:after="0" w:line="206" w:lineRule="exact"/>
        <w:rPr>
          <w:sz w:val="20"/>
          <w:szCs w:val="20"/>
          <w:color w:val="auto"/>
        </w:rPr>
      </w:pPr>
    </w:p>
    <w:p>
      <w:pPr>
        <w:ind w:right="420" w:firstLine="266"/>
        <w:spacing w:after="0" w:line="328" w:lineRule="auto"/>
        <w:rPr>
          <w:sz w:val="20"/>
          <w:szCs w:val="20"/>
          <w:color w:val="auto"/>
        </w:rPr>
      </w:pPr>
      <w:r>
        <w:rPr>
          <w:rFonts w:ascii="Arial" w:cs="Arial" w:eastAsia="Arial" w:hAnsi="Arial"/>
          <w:sz w:val="19"/>
          <w:szCs w:val="19"/>
          <w:color w:val="auto"/>
        </w:rPr>
        <w:t>The preparation of financial statements in conformity with accounting principles generally accepted in the United States of America requires management to make estimates and assumptions that affect amounts reported in them. Management bases its</w:t>
      </w:r>
    </w:p>
    <w:p>
      <w:pPr>
        <w:sectPr>
          <w:pgSz w:w="11900" w:h="16838" w:orient="portrait"/>
          <w:cols w:equalWidth="0" w:num="1">
            <w:col w:w="11380"/>
          </w:cols>
          <w:pgMar w:left="240" w:top="118" w:right="279" w:bottom="0" w:gutter="0" w:footer="0" w:header="0"/>
        </w:sectPr>
      </w:pPr>
    </w:p>
    <w:bookmarkStart w:id="18" w:name="page19"/>
    <w:bookmarkEnd w:id="18"/>
    <w:p>
      <w:pPr>
        <w:ind w:right="100"/>
        <w:spacing w:after="0" w:line="275" w:lineRule="auto"/>
        <w:rPr>
          <w:sz w:val="20"/>
          <w:szCs w:val="20"/>
          <w:color w:val="auto"/>
        </w:rPr>
      </w:pPr>
      <w:r>
        <w:rPr>
          <w:rFonts w:ascii="Arial" w:cs="Arial" w:eastAsia="Arial" w:hAnsi="Arial"/>
          <w:sz w:val="19"/>
          <w:szCs w:val="19"/>
          <w:color w:val="auto"/>
        </w:rPr>
        <w:t>estimates on historical experience and on various assumptions that are believed to be reasonable under the circumstances. Significant accounting estimates include those used in the testing of long-lived assets and goodwill for potential impairment, and those used in developing income tax provisions, allowances for uncollectible accounts receivable, inventory valuation allowances, and restructuring reserves. The Company's estimates are based on the facts and circumstances available at the time and different reasonable estimates could have been used in the current period. Changes in accounting estimates used are likely to occur from period to period, which may have a material impact on the presentation of the Company's financial condition and results of operations. Actual results reported by the Company may differ from such estimates. The Company reviews these estimates periodically and reflects the effect of revisions in the period in which they are determined.</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Derivative Instruments and Hedging Activities</w:t>
      </w:r>
    </w:p>
    <w:p>
      <w:pPr>
        <w:spacing w:after="0" w:line="206" w:lineRule="exact"/>
        <w:rPr>
          <w:sz w:val="20"/>
          <w:szCs w:val="20"/>
          <w:color w:val="auto"/>
        </w:rPr>
      </w:pPr>
    </w:p>
    <w:p>
      <w:pPr>
        <w:ind w:right="100" w:firstLine="266"/>
        <w:spacing w:after="0" w:line="287" w:lineRule="auto"/>
        <w:rPr>
          <w:sz w:val="20"/>
          <w:szCs w:val="20"/>
          <w:color w:val="auto"/>
        </w:rPr>
      </w:pPr>
      <w:r>
        <w:rPr>
          <w:rFonts w:ascii="Arial" w:cs="Arial" w:eastAsia="Arial" w:hAnsi="Arial"/>
          <w:sz w:val="19"/>
          <w:szCs w:val="19"/>
          <w:color w:val="auto"/>
        </w:rPr>
        <w:t>The Company records derivatives in the condensed consolidated balance sheet as assets or liabilities, measured at fair value. Gains or losses resulting from changes in the values of those derivatives are reported in the condensed consolidated statements of income or as accumulated other comprehensive income, a separate component of shareholders' equity, depending on the use of the derivatives and whether they qualify for hedge accounting. Among other criteria, in order to</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20"/>
        <w:spacing w:after="0" w:line="279" w:lineRule="auto"/>
        <w:rPr>
          <w:sz w:val="20"/>
          <w:szCs w:val="20"/>
          <w:color w:val="auto"/>
        </w:rPr>
      </w:pPr>
      <w:r>
        <w:rPr>
          <w:rFonts w:ascii="Arial" w:cs="Arial" w:eastAsia="Arial" w:hAnsi="Arial"/>
          <w:sz w:val="19"/>
          <w:szCs w:val="19"/>
          <w:color w:val="auto"/>
        </w:rPr>
        <w:t>qualify for hedge accounting, the derivative must be a hedge for an interest rate, price, foreign currency exchange rate, or credit risk; expected to be highly effective at the inception of the hedge and be highly effective in achieving offsetting changes in the fair value or cash flows of the hedged items during the term of the hedge, and formally documented at the inception of the hedge. The Company uses judgment in assessing the fair value of derivatives and related financial instruments, including assumptions utilized in derivative fair value models in areas such as projected interest and foreign currency exchange rates during the contract term. The Company manages a portion of its foreign currency exchange and interest rate risks through these derivative instruments.</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Property, Plant and Equipment</w:t>
      </w:r>
    </w:p>
    <w:p>
      <w:pPr>
        <w:spacing w:after="0" w:line="206" w:lineRule="exact"/>
        <w:rPr>
          <w:sz w:val="20"/>
          <w:szCs w:val="20"/>
          <w:color w:val="auto"/>
        </w:rPr>
      </w:pPr>
    </w:p>
    <w:p>
      <w:pPr>
        <w:ind w:right="80" w:firstLine="270"/>
        <w:spacing w:after="0" w:line="236" w:lineRule="auto"/>
        <w:rPr>
          <w:sz w:val="20"/>
          <w:szCs w:val="20"/>
          <w:color w:val="auto"/>
        </w:rPr>
      </w:pPr>
      <w:r>
        <w:rPr>
          <w:rFonts w:ascii="Arial" w:cs="Arial" w:eastAsia="Arial" w:hAnsi="Arial"/>
          <w:sz w:val="22"/>
          <w:szCs w:val="22"/>
          <w:color w:val="auto"/>
        </w:rPr>
        <w:t>Property, plant and equipment, except as explained below under "Impairment of Long-Lived Assets," are stated at cost less accumulated depreciation and amortization. Repairs and maintenance, as well as renewals and replacements of a routine nature are charged to operations as incurred, while those which improve or extend the lives of existing assets are capitalized. Upon sale or other disposition, the cost of the asset and accumulated depreciation are removed from the accounts, and any resulting gain or loss is reflected in operations.</w:t>
      </w:r>
    </w:p>
    <w:p>
      <w:pPr>
        <w:spacing w:after="0" w:line="188" w:lineRule="exact"/>
        <w:rPr>
          <w:sz w:val="20"/>
          <w:szCs w:val="20"/>
          <w:color w:val="auto"/>
        </w:rPr>
      </w:pPr>
    </w:p>
    <w:p>
      <w:pPr>
        <w:ind w:right="140" w:firstLine="270"/>
        <w:spacing w:after="0" w:line="277" w:lineRule="auto"/>
        <w:rPr>
          <w:sz w:val="20"/>
          <w:szCs w:val="20"/>
          <w:color w:val="auto"/>
        </w:rPr>
      </w:pPr>
      <w:r>
        <w:rPr>
          <w:rFonts w:ascii="Arial" w:cs="Arial" w:eastAsia="Arial" w:hAnsi="Arial"/>
          <w:sz w:val="19"/>
          <w:szCs w:val="19"/>
          <w:color w:val="auto"/>
        </w:rPr>
        <w:t>Depreciation and amortization are computed using the straight line method over the estimated useful lives of the related assets. Buildings and improvements are depreciated over 15 to 40 years, machinery and equipment over 3 to 10 years and, furniture, fixtures and office equipment over 3 to 5 years. Leasehold improvements are amortized over the life of the lease or the estimated useful life of the improvement, whichever is less. Judgment and assumptions are used in establishing estimated useful lives and depreciation periods. The Company also uses judgment and assumptions as it periodically reviews property, plant and equipment for any potential impairment in carrying values whenever events such as a significant industry downturn, plant closure, technological obsolescence, or other change in circumstances indicate that their carrying amount may not be recoverable.</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Goodwill and Other Intangible Assets</w:t>
      </w:r>
    </w:p>
    <w:p>
      <w:pPr>
        <w:spacing w:after="0" w:line="206" w:lineRule="exact"/>
        <w:rPr>
          <w:sz w:val="20"/>
          <w:szCs w:val="20"/>
          <w:color w:val="auto"/>
        </w:rPr>
      </w:pPr>
    </w:p>
    <w:p>
      <w:pPr>
        <w:ind w:firstLine="270"/>
        <w:spacing w:after="0" w:line="234" w:lineRule="auto"/>
        <w:rPr>
          <w:sz w:val="20"/>
          <w:szCs w:val="20"/>
          <w:color w:val="auto"/>
        </w:rPr>
      </w:pPr>
      <w:r>
        <w:rPr>
          <w:rFonts w:ascii="Arial" w:cs="Arial" w:eastAsia="Arial" w:hAnsi="Arial"/>
          <w:sz w:val="22"/>
          <w:szCs w:val="22"/>
          <w:color w:val="auto"/>
        </w:rPr>
        <w:t>Intangible assets consist primarily of a technology license agreement, a supply agreement, acquisition-related intangibles, and prior to July 27, 2008, goodwill. These assets, except as explained below, are stated at fair value as of the date acquired less accumulated amortization. Amortization is calculated on a straight-line basis or another method that more fairly represents the utilization of the assets. The future economic benefit of the carrying value of intangible assets is reviewed annually and the Company uses judgment whenever events or changes in circumstances indicate the carrying value of an intangible asset may not be recoverable based on discounted cash flows or market factors and an impairment loss would be recorded in the period so determined.</w:t>
      </w:r>
    </w:p>
    <w:p>
      <w:pPr>
        <w:spacing w:after="0" w:line="191" w:lineRule="exact"/>
        <w:rPr>
          <w:sz w:val="20"/>
          <w:szCs w:val="20"/>
          <w:color w:val="auto"/>
        </w:rPr>
      </w:pPr>
    </w:p>
    <w:p>
      <w:pPr>
        <w:ind w:firstLine="270"/>
        <w:spacing w:after="0" w:line="273" w:lineRule="auto"/>
        <w:rPr>
          <w:sz w:val="20"/>
          <w:szCs w:val="20"/>
          <w:color w:val="auto"/>
        </w:rPr>
      </w:pPr>
      <w:r>
        <w:rPr>
          <w:rFonts w:ascii="Arial" w:cs="Arial" w:eastAsia="Arial" w:hAnsi="Arial"/>
          <w:sz w:val="19"/>
          <w:szCs w:val="19"/>
          <w:color w:val="auto"/>
        </w:rPr>
        <w:t>In accordance with SFAS No. 142, the Company tests goodwill for impairment annually and when an event occurs or circumstances change that would more likely than not reduce the fair value of a reporting unit below its carrying value. Goodwill is tested for impairment using a two-step process. In the first step, the fair value of the reporting unit is compared to its carrying value. For purposes of testing impairment under SFAS No. 142, the Company is a single reporting unit. If the fair value of the reporting unit exceeds the carrying value of its net assets, goodwill is considered not impaired and no further testing is required. If the carrying value of the net assets exceeds the fair value of the reporting unit, a second step of the impairment test is performed in order to determine the implied fair value of a reporting unit's goodwill. Determining the implied fair value of goodwill requires a valuation of the reporting unit's tangible and intangible assets and liabilities in a manner similar to the allocation of purchase price in a business combination. If the carrying value of the reporting unit's goodwill exceeds the implied fair value of its goodwill, goodwill is deemed impaired and is written down to the extent of the difference.</w:t>
      </w:r>
    </w:p>
    <w:p>
      <w:pPr>
        <w:spacing w:after="0" w:line="162" w:lineRule="exact"/>
        <w:rPr>
          <w:sz w:val="20"/>
          <w:szCs w:val="20"/>
          <w:color w:val="auto"/>
        </w:rPr>
      </w:pPr>
    </w:p>
    <w:p>
      <w:pPr>
        <w:ind w:right="140" w:firstLine="270"/>
        <w:spacing w:after="0" w:line="297" w:lineRule="auto"/>
        <w:rPr>
          <w:sz w:val="20"/>
          <w:szCs w:val="20"/>
          <w:color w:val="auto"/>
        </w:rPr>
      </w:pPr>
      <w:r>
        <w:rPr>
          <w:rFonts w:ascii="Arial" w:cs="Arial" w:eastAsia="Arial" w:hAnsi="Arial"/>
          <w:sz w:val="19"/>
          <w:szCs w:val="19"/>
          <w:color w:val="auto"/>
        </w:rPr>
        <w:t>In the three month period ended July 27, 2008, the Company performed an assessment of the carrying value of its goodwill for the purpose of determining whether it was impaired. Through the third quarter of fiscal 2008, the Company experienced a sustained, significant decline in its stock price. As a result of the decline in stock price, the Company's market capitalization fell</w:t>
      </w:r>
    </w:p>
    <w:p>
      <w:pPr>
        <w:sectPr>
          <w:pgSz w:w="11900" w:h="16838" w:orient="portrait"/>
          <w:cols w:equalWidth="0" w:num="1">
            <w:col w:w="11380"/>
          </w:cols>
          <w:pgMar w:left="240" w:top="118" w:right="279" w:bottom="0" w:gutter="0" w:footer="0" w:header="0"/>
        </w:sectPr>
      </w:pPr>
    </w:p>
    <w:bookmarkStart w:id="19" w:name="page20"/>
    <w:bookmarkEnd w:id="19"/>
    <w:p>
      <w:pPr>
        <w:ind w:right="200"/>
        <w:spacing w:after="0" w:line="251" w:lineRule="auto"/>
        <w:rPr>
          <w:sz w:val="20"/>
          <w:szCs w:val="20"/>
          <w:color w:val="auto"/>
        </w:rPr>
      </w:pPr>
      <w:r>
        <w:rPr>
          <w:rFonts w:ascii="Arial" w:cs="Arial" w:eastAsia="Arial" w:hAnsi="Arial"/>
          <w:sz w:val="22"/>
          <w:szCs w:val="22"/>
          <w:color w:val="auto"/>
        </w:rPr>
        <w:t>significantly below the recorded value of its consolidated net assets during the third quarter of fiscal 2008. In accordance with the requirements of SFAS No. 142, the Company performed the abovementioned assessment.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80" w:firstLine="270"/>
        <w:spacing w:after="0" w:line="282" w:lineRule="auto"/>
        <w:rPr>
          <w:sz w:val="20"/>
          <w:szCs w:val="20"/>
          <w:color w:val="auto"/>
        </w:rPr>
      </w:pPr>
      <w:r>
        <w:rPr>
          <w:rFonts w:ascii="Arial" w:cs="Arial" w:eastAsia="Arial" w:hAnsi="Arial"/>
          <w:sz w:val="19"/>
          <w:szCs w:val="19"/>
          <w:color w:val="auto"/>
        </w:rPr>
        <w:t>Based on the results of the Company's initial assessment of goodwill for impairment, it was determined that the carrying value of the Company's net assets exceeded its estimated fair value. Therefore, the Company performed a second step of the impairment test to determine the implied fair value of its goodwill. The result of the analysis indicated that there would be no remaining implied value attributable to the Company's goodwill and, accordingly, the Company wrote off all $138.5 million of its goodwill as of July 27, 2008. (See Note 2 of the Condensed Consolidated Financial Statements.)</w:t>
      </w:r>
    </w:p>
    <w:p>
      <w:pPr>
        <w:spacing w:after="0" w:line="148" w:lineRule="exact"/>
        <w:rPr>
          <w:sz w:val="20"/>
          <w:szCs w:val="20"/>
          <w:color w:val="auto"/>
        </w:rPr>
      </w:pPr>
    </w:p>
    <w:p>
      <w:pPr>
        <w:ind w:firstLine="270"/>
        <w:spacing w:after="0"/>
        <w:rPr>
          <w:sz w:val="20"/>
          <w:szCs w:val="20"/>
          <w:color w:val="auto"/>
        </w:rPr>
      </w:pPr>
      <w:r>
        <w:rPr>
          <w:rFonts w:ascii="Arial" w:cs="Arial" w:eastAsia="Arial" w:hAnsi="Arial"/>
          <w:sz w:val="22"/>
          <w:szCs w:val="22"/>
          <w:color w:val="auto"/>
        </w:rPr>
        <w:t>In performing the goodwill assessment, the Company used current market capitalization, discounted cash flows and other factors as the best evidence of fair value. There are inherent uncertainties and management judgment required in an analysis of goodwill impairment.</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Impairment of Long-Lived Assets</w:t>
      </w:r>
    </w:p>
    <w:p>
      <w:pPr>
        <w:spacing w:after="0" w:line="206" w:lineRule="exact"/>
        <w:rPr>
          <w:sz w:val="20"/>
          <w:szCs w:val="20"/>
          <w:color w:val="auto"/>
        </w:rPr>
      </w:pPr>
    </w:p>
    <w:p>
      <w:pPr>
        <w:ind w:right="200" w:firstLine="270"/>
        <w:spacing w:after="0" w:line="236" w:lineRule="auto"/>
        <w:rPr>
          <w:sz w:val="20"/>
          <w:szCs w:val="20"/>
          <w:color w:val="auto"/>
        </w:rPr>
      </w:pPr>
      <w:r>
        <w:rPr>
          <w:rFonts w:ascii="Arial" w:cs="Arial" w:eastAsia="Arial" w:hAnsi="Arial"/>
          <w:sz w:val="22"/>
          <w:szCs w:val="22"/>
          <w:color w:val="auto"/>
        </w:rPr>
        <w:t>Long-lived assets are reviewed for impairment whenever events or changes in circumstances indicate that the carrying amount of such assets may not be recoverable. Determination of recoverability is based on the Company's judgment and estimates of undiscounted future cash flows resulting from the use of the assets and their eventual disposition. Measurement of an impairment loss for long-lived assets and certain identifiable intangible assets that management expects to hold and use is based on the fair value of the asset.</w:t>
      </w:r>
    </w:p>
    <w:p>
      <w:pPr>
        <w:spacing w:after="0" w:line="188" w:lineRule="exact"/>
        <w:rPr>
          <w:sz w:val="20"/>
          <w:szCs w:val="20"/>
          <w:color w:val="auto"/>
        </w:rPr>
      </w:pPr>
    </w:p>
    <w:p>
      <w:pPr>
        <w:ind w:right="40" w:firstLine="258"/>
        <w:spacing w:after="0" w:line="238" w:lineRule="auto"/>
        <w:rPr>
          <w:sz w:val="20"/>
          <w:szCs w:val="20"/>
          <w:color w:val="auto"/>
        </w:rPr>
      </w:pPr>
      <w:r>
        <w:rPr>
          <w:rFonts w:ascii="Arial" w:cs="Arial" w:eastAsia="Arial" w:hAnsi="Arial"/>
          <w:sz w:val="22"/>
          <w:szCs w:val="22"/>
          <w:color w:val="auto"/>
        </w:rPr>
        <w:t>As a result of the Company's projected undiscounted future cash flows related to certain asset groups located in Europe and Asia being less than the carrying values of those assets, during the three months ended July 27, 2008 the Company recorded an impairment charge of $66.9 million, which represents the difference between the fair values of such long-lived assets as compared to their carrying values.</w:t>
      </w:r>
    </w:p>
    <w:p>
      <w:pPr>
        <w:spacing w:after="0" w:line="185" w:lineRule="exact"/>
        <w:rPr>
          <w:sz w:val="20"/>
          <w:szCs w:val="20"/>
          <w:color w:val="auto"/>
        </w:rPr>
      </w:pPr>
    </w:p>
    <w:p>
      <w:pPr>
        <w:ind w:right="80" w:firstLine="258"/>
        <w:spacing w:after="0" w:line="258" w:lineRule="auto"/>
        <w:rPr>
          <w:sz w:val="20"/>
          <w:szCs w:val="20"/>
          <w:color w:val="auto"/>
        </w:rPr>
      </w:pPr>
      <w:r>
        <w:rPr>
          <w:rFonts w:ascii="Arial" w:cs="Arial" w:eastAsia="Arial" w:hAnsi="Arial"/>
          <w:sz w:val="21"/>
          <w:szCs w:val="21"/>
          <w:color w:val="auto"/>
        </w:rPr>
        <w:t>As required by SFAS No. 144, the carrying values of the assets determined to be impaired were reduced to their fair values. The fair values of the impaired assets were determined based on market conditions, the income approach which utilized cash flow projections, and other factors. (See Note 2 of the Condensed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Investment in Joint Venture</w:t>
      </w:r>
    </w:p>
    <w:p>
      <w:pPr>
        <w:spacing w:after="0" w:line="206" w:lineRule="exact"/>
        <w:rPr>
          <w:sz w:val="20"/>
          <w:szCs w:val="20"/>
          <w:color w:val="auto"/>
        </w:rPr>
      </w:pPr>
    </w:p>
    <w:p>
      <w:pPr>
        <w:ind w:right="40" w:firstLine="270"/>
        <w:spacing w:after="0" w:line="275" w:lineRule="auto"/>
        <w:rPr>
          <w:sz w:val="20"/>
          <w:szCs w:val="20"/>
          <w:color w:val="auto"/>
        </w:rPr>
      </w:pPr>
      <w:r>
        <w:rPr>
          <w:rFonts w:ascii="Arial" w:cs="Arial" w:eastAsia="Arial" w:hAnsi="Arial"/>
          <w:sz w:val="19"/>
          <w:szCs w:val="19"/>
          <w:color w:val="auto"/>
        </w:rPr>
        <w:t>Investments in joint ventures over which the Company has the ability to exercise significant influence and that, in general, are at least 20 percent owned are stated at cost plus equity in undistributed net income (loss) of the joint venture. These investments are evaluated for impairment in accordance with the requirements of Accounting Principles Board Opinion No. 18, "The Equity Method of Accounting for Investments in Common Stock." An impairment loss would be recorded whenever a decline in the value of an equity investment below its carrying amount is determined to be other than temporary. In judging "other than temporary," the Company would consider the length of time and extent to which the fair value of the investment has been less than the carrying amount of the investment, the near-term and longer-term operating and financial prospects of the investee, and the Company's longer-term intent of retaining the investment in the investee.</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Income Taxes</w:t>
      </w:r>
    </w:p>
    <w:p>
      <w:pPr>
        <w:spacing w:after="0" w:line="206" w:lineRule="exact"/>
        <w:rPr>
          <w:sz w:val="20"/>
          <w:szCs w:val="20"/>
          <w:color w:val="auto"/>
        </w:rPr>
      </w:pPr>
    </w:p>
    <w:p>
      <w:pPr>
        <w:ind w:right="140" w:firstLine="266"/>
        <w:spacing w:after="0" w:line="235" w:lineRule="auto"/>
        <w:rPr>
          <w:sz w:val="20"/>
          <w:szCs w:val="20"/>
          <w:color w:val="auto"/>
        </w:rPr>
      </w:pPr>
      <w:r>
        <w:rPr>
          <w:rFonts w:ascii="Arial" w:cs="Arial" w:eastAsia="Arial" w:hAnsi="Arial"/>
          <w:sz w:val="22"/>
          <w:szCs w:val="22"/>
          <w:color w:val="auto"/>
        </w:rPr>
        <w:t>The income tax (provision) benefit is computed on the basis of the various tax jurisdictions' financial statements income or loss before income taxes. Deferred income taxes reflect the tax effects of differences between the carrying amounts of assets and liabilities for financial reporting purposes and the amounts used for income tax purposes. The Company uses judgment and assumptions to determine if valuation allowances for deferred income tax assets are required if realization is not likely by considering future market growth, forecasted operations, future taxable income, and the mix of earnings in the tax jurisdictions in which it operates.</w:t>
      </w:r>
    </w:p>
    <w:p>
      <w:pPr>
        <w:spacing w:after="0" w:line="188" w:lineRule="exact"/>
        <w:rPr>
          <w:sz w:val="20"/>
          <w:szCs w:val="20"/>
          <w:color w:val="auto"/>
        </w:rPr>
      </w:pPr>
    </w:p>
    <w:p>
      <w:pPr>
        <w:ind w:right="80" w:firstLine="266"/>
        <w:spacing w:after="0" w:line="277" w:lineRule="auto"/>
        <w:rPr>
          <w:sz w:val="20"/>
          <w:szCs w:val="20"/>
          <w:color w:val="auto"/>
        </w:rPr>
      </w:pPr>
      <w:r>
        <w:rPr>
          <w:rFonts w:ascii="Arial" w:cs="Arial" w:eastAsia="Arial" w:hAnsi="Arial"/>
          <w:sz w:val="19"/>
          <w:szCs w:val="19"/>
          <w:color w:val="auto"/>
        </w:rPr>
        <w:t>The Company considers income taxes in each of the tax jurisdictions in which it operates in order to determine its effective income tax rate. Current income tax exposure is identified and temporary differences resulting from differing treatments of items for tax and financial reporting purposes are assessed. These differences result in deferred tax assets and liabilities, which are included in the Company's consolidated balance sheets. Additionally, the Company evaluates the recoverability of deferred income tax assets from future taxable income and establishes valuation allowances if recovery is deemed not likely. Accordingly, the income tax provision in the consolidated statements of operations is impacted by changes in the valuation allowance. Significant management estimates and judgment are required in determining any valuation allowance recorded against net deferred tax assets.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Revenue Recognition</w:t>
      </w:r>
    </w:p>
    <w:p>
      <w:pPr>
        <w:sectPr>
          <w:pgSz w:w="11900" w:h="16838" w:orient="portrait"/>
          <w:cols w:equalWidth="0" w:num="1">
            <w:col w:w="11420"/>
          </w:cols>
          <w:pgMar w:left="240" w:top="118" w:right="239" w:bottom="0" w:gutter="0" w:footer="0" w:header="0"/>
          <w:type w:val="continuous"/>
        </w:sectPr>
      </w:pPr>
    </w:p>
    <w:bookmarkStart w:id="20" w:name="page21"/>
    <w:bookmarkEnd w:id="20"/>
    <w:p>
      <w:pPr>
        <w:ind w:right="220" w:firstLine="266"/>
        <w:spacing w:after="0" w:line="241" w:lineRule="auto"/>
        <w:rPr>
          <w:sz w:val="20"/>
          <w:szCs w:val="20"/>
          <w:color w:val="auto"/>
        </w:rPr>
      </w:pPr>
      <w:r>
        <w:rPr>
          <w:rFonts w:ascii="Arial" w:cs="Arial" w:eastAsia="Arial" w:hAnsi="Arial"/>
          <w:sz w:val="22"/>
          <w:szCs w:val="22"/>
          <w:color w:val="auto"/>
        </w:rPr>
        <w:t>The Company recognizes revenue when both title and risk of loss transfer to the customer. The Company makes estimates and assumptions and uses judgment relating to discounts and estimates for product returns and warranties which are accrued and recognized at the time of sale.</w:t>
      </w:r>
    </w:p>
    <w:p>
      <w:pPr>
        <w:spacing w:after="0" w:line="184" w:lineRule="exact"/>
        <w:rPr>
          <w:sz w:val="20"/>
          <w:szCs w:val="20"/>
          <w:color w:val="auto"/>
        </w:rPr>
      </w:pPr>
    </w:p>
    <w:p>
      <w:pPr>
        <w:ind w:right="200" w:firstLine="270"/>
        <w:spacing w:after="0" w:line="251" w:lineRule="auto"/>
        <w:rPr>
          <w:sz w:val="20"/>
          <w:szCs w:val="20"/>
          <w:color w:val="auto"/>
        </w:rPr>
      </w:pPr>
      <w:r>
        <w:rPr>
          <w:rFonts w:ascii="Arial" w:cs="Arial" w:eastAsia="Arial" w:hAnsi="Arial"/>
          <w:sz w:val="22"/>
          <w:szCs w:val="22"/>
          <w:u w:val="single" w:color="auto"/>
          <w:color w:val="auto"/>
        </w:rPr>
        <w:t>Discounts</w:t>
      </w:r>
      <w:r>
        <w:rPr>
          <w:rFonts w:ascii="Arial" w:cs="Arial" w:eastAsia="Arial" w:hAnsi="Arial"/>
          <w:sz w:val="22"/>
          <w:szCs w:val="22"/>
          <w:color w:val="auto"/>
        </w:rPr>
        <w:t xml:space="preserve"> - Sales discounts are negotiated with customers prior to billing and at the time of billing, sales invoices are prepared net of negotiated sales discounts.</w:t>
      </w:r>
    </w:p>
    <w:p>
      <w:pPr>
        <w:spacing w:after="0" w:line="173" w:lineRule="exact"/>
        <w:rPr>
          <w:sz w:val="20"/>
          <w:szCs w:val="20"/>
          <w:color w:val="auto"/>
        </w:rPr>
      </w:pPr>
    </w:p>
    <w:p>
      <w:pPr>
        <w:ind w:right="280" w:firstLine="270"/>
        <w:spacing w:after="0" w:line="251" w:lineRule="auto"/>
        <w:rPr>
          <w:sz w:val="20"/>
          <w:szCs w:val="20"/>
          <w:color w:val="auto"/>
        </w:rPr>
      </w:pPr>
      <w:r>
        <w:rPr>
          <w:rFonts w:ascii="Arial" w:cs="Arial" w:eastAsia="Arial" w:hAnsi="Arial"/>
          <w:sz w:val="22"/>
          <w:szCs w:val="22"/>
          <w:u w:val="single" w:color="auto"/>
          <w:color w:val="auto"/>
        </w:rPr>
        <w:t>Product Returns</w:t>
      </w:r>
      <w:r>
        <w:rPr>
          <w:rFonts w:ascii="Arial" w:cs="Arial" w:eastAsia="Arial" w:hAnsi="Arial"/>
          <w:sz w:val="22"/>
          <w:szCs w:val="22"/>
          <w:color w:val="auto"/>
        </w:rPr>
        <w:t xml:space="preserve"> - Customer returns have historically been insignificant. However, the Company does record a liability for the insignificant amount of estimated sales returns based upon historical experience.</w:t>
      </w:r>
    </w:p>
    <w:p>
      <w:pPr>
        <w:spacing w:after="0" w:line="173" w:lineRule="exact"/>
        <w:rPr>
          <w:sz w:val="20"/>
          <w:szCs w:val="20"/>
          <w:color w:val="auto"/>
        </w:rPr>
      </w:pPr>
    </w:p>
    <w:p>
      <w:pPr>
        <w:ind w:right="80" w:firstLine="270"/>
        <w:spacing w:after="0" w:line="236" w:lineRule="auto"/>
        <w:rPr>
          <w:sz w:val="20"/>
          <w:szCs w:val="20"/>
          <w:color w:val="auto"/>
        </w:rPr>
      </w:pPr>
      <w:r>
        <w:rPr>
          <w:rFonts w:ascii="Arial" w:cs="Arial" w:eastAsia="Arial" w:hAnsi="Arial"/>
          <w:sz w:val="22"/>
          <w:szCs w:val="22"/>
          <w:u w:val="single" w:color="auto"/>
          <w:color w:val="auto"/>
        </w:rPr>
        <w:t>Warranties and Other Post Shipment Obligations</w:t>
      </w:r>
      <w:r>
        <w:rPr>
          <w:rFonts w:ascii="Arial" w:cs="Arial" w:eastAsia="Arial" w:hAnsi="Arial"/>
          <w:sz w:val="22"/>
          <w:szCs w:val="22"/>
          <w:color w:val="auto"/>
        </w:rPr>
        <w:t xml:space="preserve"> - For a 30-day period, the Company warrants that items sold will conform to customer specification. However, the Company's liability is limited to repair or replacement of the photomasks at its sole option. The Company inspects photomasks for conformity to customer specifications prior to shipment. Accordingly, customer returns of items under warranty have historically been insignificant. However, the Company records a liability for the insignificant amount of estimated warranty returns based on historical experience.</w:t>
      </w:r>
    </w:p>
    <w:p>
      <w:pPr>
        <w:spacing w:after="0" w:line="188" w:lineRule="exact"/>
        <w:rPr>
          <w:sz w:val="20"/>
          <w:szCs w:val="20"/>
          <w:color w:val="auto"/>
        </w:rPr>
      </w:pPr>
    </w:p>
    <w:p>
      <w:pPr>
        <w:ind w:right="80" w:firstLine="270"/>
        <w:spacing w:after="0" w:line="251" w:lineRule="auto"/>
        <w:rPr>
          <w:sz w:val="20"/>
          <w:szCs w:val="20"/>
          <w:color w:val="auto"/>
        </w:rPr>
      </w:pPr>
      <w:r>
        <w:rPr>
          <w:rFonts w:ascii="Arial" w:cs="Arial" w:eastAsia="Arial" w:hAnsi="Arial"/>
          <w:sz w:val="22"/>
          <w:szCs w:val="22"/>
          <w:u w:val="single" w:color="auto"/>
          <w:color w:val="auto"/>
        </w:rPr>
        <w:t>Sales Taxes</w:t>
      </w:r>
      <w:r>
        <w:rPr>
          <w:rFonts w:ascii="Arial" w:cs="Arial" w:eastAsia="Arial" w:hAnsi="Arial"/>
          <w:sz w:val="22"/>
          <w:szCs w:val="22"/>
          <w:color w:val="auto"/>
        </w:rPr>
        <w:t xml:space="preserve"> - The Company presents it revenues in the consolidated statements of operations net of sales taxes, if any (excluded from revenues).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Effect of New Accounting Standards</w:t>
      </w:r>
    </w:p>
    <w:p>
      <w:pPr>
        <w:spacing w:after="0" w:line="212" w:lineRule="exact"/>
        <w:rPr>
          <w:sz w:val="20"/>
          <w:szCs w:val="20"/>
          <w:color w:val="auto"/>
        </w:rPr>
      </w:pPr>
    </w:p>
    <w:p>
      <w:pPr>
        <w:ind w:right="20" w:firstLine="270"/>
        <w:spacing w:after="0" w:line="277" w:lineRule="auto"/>
        <w:rPr>
          <w:sz w:val="20"/>
          <w:szCs w:val="20"/>
          <w:color w:val="auto"/>
        </w:rPr>
      </w:pPr>
      <w:r>
        <w:rPr>
          <w:rFonts w:ascii="Arial" w:cs="Arial" w:eastAsia="Arial" w:hAnsi="Arial"/>
          <w:sz w:val="19"/>
          <w:szCs w:val="19"/>
          <w:color w:val="auto"/>
        </w:rPr>
        <w:t>In May 2008, the Financial Accounting Standards Board ("FASB") issued FASB Staff Position ("FSP") No. APB 14-1, "Accounting for Convertible Debt Instruments That May Be Settled in Cash upon Conversion (Including Partial Cash Settlement)." FSP No. APB 14-1 requires that issuers of convertible debt instruments that may be settled in cash upon conversion separately account for the liability and equity components in a manner that will reflect the entity's nonconvertible debt borrowing rate when interest cost is recognized in subsequent periods. FSP No. APB 14-1 is effective for fiscal years beginning after December 15, 2008 and interim periods within those fiscal years, and is required to be retrospectively applied. The Company is evaluating the impact that the adoption of FSP No. APB 14-1 will have on its consolidated financial statements.</w:t>
      </w:r>
    </w:p>
    <w:p>
      <w:pPr>
        <w:spacing w:after="0" w:line="153" w:lineRule="exact"/>
        <w:rPr>
          <w:sz w:val="20"/>
          <w:szCs w:val="20"/>
          <w:color w:val="auto"/>
        </w:rPr>
      </w:pPr>
    </w:p>
    <w:p>
      <w:pPr>
        <w:ind w:right="20" w:firstLine="270"/>
        <w:spacing w:after="0" w:line="247" w:lineRule="auto"/>
        <w:rPr>
          <w:sz w:val="20"/>
          <w:szCs w:val="20"/>
          <w:color w:val="auto"/>
        </w:rPr>
      </w:pPr>
      <w:r>
        <w:rPr>
          <w:rFonts w:ascii="Arial" w:cs="Arial" w:eastAsia="Arial" w:hAnsi="Arial"/>
          <w:sz w:val="21"/>
          <w:szCs w:val="21"/>
          <w:color w:val="auto"/>
        </w:rPr>
        <w:t>In May 2008, FASB issued Statement of Financial Accounting Standards ("SFAS") No. 162, "The Hierarchy of Generally Accepted Accounting Principles." SFAS No. 162 identifies the sources of accounting principles and the framework for selecting the principles to be used in the preparation of financial statements of nongovernmental entities that are presented in conformity with generally accepted accounting principles. SFAS No. 162 will be effective 60 days following the Security and Exchange Commission's approval of the Public Company Accounting Oversight Board's amendments to AU Section 411, "The Meaning of Present Fairly in Conformity With Generally Accepted Accounting Principles." The Company is evaluating the impact, if any, SFAS No. 162 will have on its consolidated financial statements.</w:t>
      </w:r>
    </w:p>
    <w:p>
      <w:pPr>
        <w:spacing w:after="0" w:line="178" w:lineRule="exact"/>
        <w:rPr>
          <w:sz w:val="20"/>
          <w:szCs w:val="20"/>
          <w:color w:val="auto"/>
        </w:rPr>
      </w:pPr>
    </w:p>
    <w:p>
      <w:pPr>
        <w:ind w:right="160" w:firstLine="270"/>
        <w:spacing w:after="0" w:line="277" w:lineRule="auto"/>
        <w:rPr>
          <w:sz w:val="20"/>
          <w:szCs w:val="20"/>
          <w:color w:val="auto"/>
        </w:rPr>
      </w:pPr>
      <w:r>
        <w:rPr>
          <w:rFonts w:ascii="Arial" w:cs="Arial" w:eastAsia="Arial" w:hAnsi="Arial"/>
          <w:sz w:val="19"/>
          <w:szCs w:val="19"/>
          <w:color w:val="auto"/>
        </w:rPr>
        <w:t>In March 2008, the FASB issued SFAS No. 161, "Disclosures about Derivative Instruments and Hedging Activities - an amendment of FASB No. 133." SFAS No. 161 changes the disclosure requirements for derivative instruments and hedging activities by requiring entities to provide enhanced disclosures about how and why an entity uses derivative instruments, how derivative instruments and related hedged items are accounted for under SFAS No. 133 and its related interpretations, and how derivative instruments and related hedged items affect an entity's financial position, financial performance, and cash flows. SFAS No. 161 is effective for financial statements issued for fiscal years beginning after November 15, 2008 and interim periods within those fiscal years. The Company is evaluating the impact, if any, SFAS No. 161 will have on its consolidated financial statements.</w:t>
      </w:r>
    </w:p>
    <w:p>
      <w:pPr>
        <w:spacing w:after="0" w:line="153" w:lineRule="exact"/>
        <w:rPr>
          <w:sz w:val="20"/>
          <w:szCs w:val="20"/>
          <w:color w:val="auto"/>
        </w:rPr>
      </w:pPr>
    </w:p>
    <w:p>
      <w:pPr>
        <w:ind w:right="660" w:firstLine="324"/>
        <w:spacing w:after="0" w:line="282" w:lineRule="auto"/>
        <w:rPr>
          <w:sz w:val="20"/>
          <w:szCs w:val="20"/>
          <w:color w:val="auto"/>
        </w:rPr>
      </w:pPr>
      <w:r>
        <w:rPr>
          <w:rFonts w:ascii="Arial" w:cs="Arial" w:eastAsia="Arial" w:hAnsi="Arial"/>
          <w:sz w:val="19"/>
          <w:szCs w:val="19"/>
          <w:color w:val="auto"/>
        </w:rPr>
        <w:t>In December 2007, the FASB issued SFAS No. 160, "Noncontrolling Interests in Consolidated Financial Statements - an amendment of Accounting Research Bulletin No. 51." SFAS No. 160 establishes accounting and reporting standards for the noncontrolling interest in a subsidiary and for the deconsolidation of a subsidiary. SFAS No. 160 is effective for financial statements issued for fiscal years beginning after December 15, 2008, and interim statements within those fiscal years. The Company is currently evaluating the impact SFAS No. 160 will have on its consolidated financial statements.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firstLine="270"/>
        <w:spacing w:after="0" w:line="277" w:lineRule="auto"/>
        <w:rPr>
          <w:sz w:val="20"/>
          <w:szCs w:val="20"/>
          <w:color w:val="auto"/>
        </w:rPr>
      </w:pPr>
      <w:r>
        <w:rPr>
          <w:rFonts w:ascii="Arial" w:cs="Arial" w:eastAsia="Arial" w:hAnsi="Arial"/>
          <w:sz w:val="19"/>
          <w:szCs w:val="19"/>
          <w:color w:val="auto"/>
        </w:rPr>
        <w:t>In December 2007, the FASB issued SFAS No. 141R, "Business Combinations." SFAS No. 141R establishes principles and requirements for how the acquirer of a business recognizes and measures in its financial statements the identifiable assets acquired, the liabilities assumed, and any noncontrolling interest in the acquiree. The statement also provides guidance for recognizing and measuring the goodwill acquired in the business combination and determines what information to disclose to enable users of the financial statement to evaluate the nature and financial effects of the business combination. SFAS No. 141R applies prospectively to business combinations for which the acquisition date is on or after the beginning of the first annual reporting period beginning on or after December 15, 2008, and, therefore will not impact the Company's consolidated financial statements upon adoption.</w:t>
      </w:r>
    </w:p>
    <w:p>
      <w:pPr>
        <w:spacing w:after="0" w:line="153" w:lineRule="exact"/>
        <w:rPr>
          <w:sz w:val="20"/>
          <w:szCs w:val="20"/>
          <w:color w:val="auto"/>
        </w:rPr>
      </w:pPr>
    </w:p>
    <w:p>
      <w:pPr>
        <w:ind w:right="200" w:firstLine="324"/>
        <w:spacing w:after="0" w:line="236" w:lineRule="auto"/>
        <w:rPr>
          <w:sz w:val="20"/>
          <w:szCs w:val="20"/>
          <w:color w:val="auto"/>
        </w:rPr>
      </w:pPr>
      <w:r>
        <w:rPr>
          <w:rFonts w:ascii="Arial" w:cs="Arial" w:eastAsia="Arial" w:hAnsi="Arial"/>
          <w:sz w:val="22"/>
          <w:szCs w:val="22"/>
          <w:color w:val="auto"/>
        </w:rPr>
        <w:t>In February 2007, the FASB issued SFAS No. 159, "The Fair Value Option for Financial Assets and Financial Liabilities-Including an Amendment of FASB Statement No. 115." SFAS No. 159 permits entities to choose to measure many financial instruments and certain other items at fair value, and is effective as of the beginning of an entity's first fiscal year that begins after November 15, 2007. The Company is currently evaluating the impact that the adoption of SFAS No. 159 will have on its consolidated financial statements.</w:t>
      </w:r>
    </w:p>
    <w:p>
      <w:pPr>
        <w:sectPr>
          <w:pgSz w:w="11900" w:h="16838" w:orient="portrait"/>
          <w:cols w:equalWidth="0" w:num="1">
            <w:col w:w="11420"/>
          </w:cols>
          <w:pgMar w:left="240" w:top="118" w:right="239" w:bottom="0" w:gutter="0" w:footer="0" w:header="0"/>
        </w:sectPr>
      </w:pPr>
    </w:p>
    <w:bookmarkStart w:id="21" w:name="page22"/>
    <w:bookmarkEnd w:id="21"/>
    <w:p>
      <w:pPr>
        <w:spacing w:after="0" w:line="42" w:lineRule="exact"/>
        <w:rPr>
          <w:sz w:val="20"/>
          <w:szCs w:val="20"/>
          <w:color w:val="auto"/>
        </w:rPr>
      </w:pPr>
    </w:p>
    <w:p>
      <w:pPr>
        <w:ind w:right="60" w:firstLine="270"/>
        <w:spacing w:after="0" w:line="271" w:lineRule="auto"/>
        <w:rPr>
          <w:sz w:val="20"/>
          <w:szCs w:val="20"/>
          <w:color w:val="auto"/>
        </w:rPr>
      </w:pPr>
      <w:r>
        <w:rPr>
          <w:rFonts w:ascii="Arial" w:cs="Arial" w:eastAsia="Arial" w:hAnsi="Arial"/>
          <w:sz w:val="19"/>
          <w:szCs w:val="19"/>
          <w:color w:val="auto"/>
        </w:rPr>
        <w:t>In September 2006, the FASB issued SFAS No. 157, "Fair Value Measurements" which provides a consistent definition of fair value which focuses on exit price and prioritizes, within a measurement of fair value, the use of market-based inputs over entity-specific inputs. SFAS No. 157 requires expanded disclosures about fair value measurements and establishes a three-level hierarchy for fair value measurements based on the transparency of inputs to the valuation of an asset or liability as of the measurement date. The standard also requires that a company use its own nonperformance risk when measuring liabilities carried at fair value, including derivatives. In February 2008, the FASB approved a FASB Staff Position ("FSP") that permits companies to partially defer the effective date of SFAS No. 157 for one year for nonfinancial assets and nonfinancial liabilities that are recognized or disclosed at fair value in the financial statements on a nonrecurring basis. The FSP did not permit companies to defer recognition and disclosure requirements for financial assets and financial liabilities or for nonfinancial assets and nonfinancial liabilities that are remeasured at least annually. SFAS No. 157 is effective for financial assets and financial liabilities and for nonfinancial assets and nonfinancial liabilities that are remeasured at least annually for financial statements issued for fiscal years beginning after November 15, 2007 and interim periods within those fiscal years. The provisions of SFAS No. 157 will be applied prospectively. The Company intends to defer adoption of SFAS No. 157 for one year for nonfinancial assets and nonfinancial liabilities that are recognized or disclosed at fair value in the financial statements on a nonrecurring basis. The Company is currently evaluating the effects, if any, that SFAS No. 157 may have on its consolidated financial statements.</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212" w:lineRule="exact"/>
        <w:rPr>
          <w:sz w:val="20"/>
          <w:szCs w:val="20"/>
          <w:color w:val="auto"/>
        </w:rPr>
      </w:pPr>
    </w:p>
    <w:p>
      <w:pPr>
        <w:ind w:right="40" w:firstLine="266"/>
        <w:spacing w:after="0" w:line="273" w:lineRule="auto"/>
        <w:rPr>
          <w:sz w:val="20"/>
          <w:szCs w:val="20"/>
          <w:color w:val="auto"/>
        </w:rPr>
      </w:pPr>
      <w:r>
        <w:rPr>
          <w:rFonts w:ascii="Arial" w:cs="Arial" w:eastAsia="Arial" w:hAnsi="Arial"/>
          <w:sz w:val="19"/>
          <w:szCs w:val="19"/>
          <w:color w:val="auto"/>
        </w:rPr>
        <w:t>The Company records derivatives on the balance sheet as assets or liabilities, measured at fair value. The Company does not engage in derivative instruments for speculative purposes. Gains or losses resulting from changes in the values of those derivatives are reported in the condensed consolidated statement of operations, or as accumulated other comprehensive income, a separate component of shareholders' equity, depending on the use of the derivatives and whether they qualify for hedge accounting. In order to qualify for hedge accounting, among other criteria, the derivative must be a hedge for an interest rate, price, foreign currency exchange rate, or credit risk, expected to be highly effective at the inception of the hedge and be highly effective in achieving offsetting changes in the fair value or cash flows of the hedged item during the term of the hedge, and formally documented at the inception of the hedge. In general, the types of risks hedged are those relating to the variability of future cash flows caused by movements in foreign currency exchange and interest rates. The Company documents its risk management strategy and hedge effectiveness at the inception of, and during the term of each hedge.</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Foreign Currency Exchange Rate Risk</w:t>
      </w:r>
    </w:p>
    <w:p>
      <w:pPr>
        <w:spacing w:after="0" w:line="212" w:lineRule="exact"/>
        <w:rPr>
          <w:sz w:val="20"/>
          <w:szCs w:val="20"/>
          <w:color w:val="auto"/>
        </w:rPr>
      </w:pPr>
    </w:p>
    <w:p>
      <w:pPr>
        <w:ind w:right="40" w:firstLine="266"/>
        <w:spacing w:after="0" w:line="236" w:lineRule="auto"/>
        <w:rPr>
          <w:sz w:val="20"/>
          <w:szCs w:val="20"/>
          <w:color w:val="auto"/>
        </w:rPr>
      </w:pPr>
      <w:r>
        <w:rPr>
          <w:rFonts w:ascii="Arial" w:cs="Arial" w:eastAsia="Arial" w:hAnsi="Arial"/>
          <w:sz w:val="22"/>
          <w:szCs w:val="22"/>
          <w:color w:val="auto"/>
        </w:rPr>
        <w:t>The Company conducts business in several major international currencies through its worldwide operations and is subject to changes in foreign exchange rates of such currencies. Changes in exchange rates can positively or negatively affect the Company's sales, operating margins and retained earnings. The functional currencies of the Company's Asian subsidiaries are the Korean won, New Taiwan dollar, Chinese renminbi, and Singapore dollar. The functional currencies of the Company's European subsidiaries are the British pound and the euro.</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60" w:firstLine="266"/>
        <w:spacing w:after="0" w:line="247" w:lineRule="auto"/>
        <w:rPr>
          <w:sz w:val="20"/>
          <w:szCs w:val="20"/>
          <w:color w:val="auto"/>
        </w:rPr>
      </w:pPr>
      <w:r>
        <w:rPr>
          <w:rFonts w:ascii="Arial" w:cs="Arial" w:eastAsia="Arial" w:hAnsi="Arial"/>
          <w:sz w:val="21"/>
          <w:szCs w:val="21"/>
          <w:color w:val="auto"/>
        </w:rPr>
        <w:t>The Company attempts to minimize its risk to foreign currency transaction losses by producing its products in the same country in which the products are sold and thereby generating revenues and incurring expenses in the same currency, and by managing its working capital. In some instances, the Company may sell or purchase products in a currency other than the functional currency of the country where it was produced. To date, the Company has not experienced a significant foreign exchange loss on these transactions. However, there can be no assurance that this approach will be successful, especially in the event of a significant adverse movement in the value of any foreign currencies against the U.S. dollar. The Company does not engage in purchasing forward exchange contracts for speculative purposes.</w:t>
      </w:r>
    </w:p>
    <w:p>
      <w:pPr>
        <w:spacing w:after="0" w:line="178" w:lineRule="exact"/>
        <w:rPr>
          <w:sz w:val="20"/>
          <w:szCs w:val="20"/>
          <w:color w:val="auto"/>
        </w:rPr>
      </w:pPr>
    </w:p>
    <w:p>
      <w:pPr>
        <w:ind w:right="80" w:firstLine="266"/>
        <w:spacing w:after="0" w:line="249" w:lineRule="auto"/>
        <w:rPr>
          <w:sz w:val="20"/>
          <w:szCs w:val="20"/>
          <w:color w:val="auto"/>
        </w:rPr>
      </w:pPr>
      <w:r>
        <w:rPr>
          <w:rFonts w:ascii="Arial" w:cs="Arial" w:eastAsia="Arial" w:hAnsi="Arial"/>
          <w:sz w:val="21"/>
          <w:szCs w:val="21"/>
          <w:color w:val="auto"/>
        </w:rPr>
        <w:t>The Company's primary net foreign currency exposures as of July 27, 2008 included the Korean won, the Singapore dollar, the New Taiwan dollar, the Chinese renminbi, the British pound, and the euro. As of July 27, 2008, a 10% adverse movement in the value of these currencies against the U.S. dollar would have resulted in a net unrealized pre-tax loss of $3.3 million. The Company does not believe that a 10% change in the exchange rates of other non-U.S. dollar currencies would have a material effect on its consolidated financial position, results of operations, or cash flows.</w:t>
      </w:r>
    </w:p>
    <w:p>
      <w:pPr>
        <w:spacing w:after="0" w:line="179" w:lineRule="exact"/>
        <w:rPr>
          <w:sz w:val="20"/>
          <w:szCs w:val="20"/>
          <w:color w:val="auto"/>
        </w:rPr>
      </w:pPr>
    </w:p>
    <w:p>
      <w:pPr>
        <w:ind w:right="240" w:firstLine="270"/>
        <w:spacing w:after="0" w:line="252" w:lineRule="auto"/>
        <w:rPr>
          <w:sz w:val="20"/>
          <w:szCs w:val="20"/>
          <w:color w:val="auto"/>
        </w:rPr>
      </w:pPr>
      <w:r>
        <w:rPr>
          <w:rFonts w:ascii="Arial" w:cs="Arial" w:eastAsia="Arial" w:hAnsi="Arial"/>
          <w:sz w:val="21"/>
          <w:szCs w:val="21"/>
          <w:color w:val="auto"/>
        </w:rPr>
        <w:t>In April, 2006, the Company's Korean subsidiary entered into a foreign currency rate swap contract which, under the terms of the contract, effectively converted a $50 million interest bearing intercompany loan denominated in U.S. dollars to Korean won. The intercompany loan was repaid and related swap settled during the nine month period ended July 27, 2008, including a final payment of $5.0 million during the three month period ended July 27, 2008.</w:t>
      </w:r>
    </w:p>
    <w:p>
      <w:pPr>
        <w:spacing w:after="0" w:line="174" w:lineRule="exact"/>
        <w:rPr>
          <w:sz w:val="20"/>
          <w:szCs w:val="20"/>
          <w:color w:val="auto"/>
        </w:rPr>
      </w:pPr>
    </w:p>
    <w:p>
      <w:pPr>
        <w:ind w:firstLine="270"/>
        <w:spacing w:after="0" w:line="275" w:lineRule="auto"/>
        <w:rPr>
          <w:sz w:val="20"/>
          <w:szCs w:val="20"/>
          <w:color w:val="auto"/>
        </w:rPr>
      </w:pPr>
      <w:r>
        <w:rPr>
          <w:rFonts w:ascii="Arial" w:cs="Arial" w:eastAsia="Arial" w:hAnsi="Arial"/>
          <w:sz w:val="19"/>
          <w:szCs w:val="19"/>
          <w:color w:val="auto"/>
        </w:rPr>
        <w:t>In accordance with SFAS No. 133, "Accounting for Derivatives and Hedging Activities," hedges related to anticipated transactions are designated and documented at their inception as cash flow hedges and are evaluated for effectiveness. In September, 2006, the Company entered into forward contracts to convert the fixed yen purchase price of certain equipment into fixed U.S. dollar amounts, which were designated as cash flow hedges. The Company records these derivative instruments in either current assets, noncurrent assets, or accrued liabilities, depending on their net position, at fair value regardless of the purpose or intent for holding the instrument. Changes in the fair value of derivative financial instruments are recognized in earnings for the ineffective portion of hedges, or in shareholders equity as a component of accumulated other comprehensive income or loss for the effective portion. As of July 27, 2008, all of the Company's forward contracts were settled.</w:t>
      </w:r>
    </w:p>
    <w:p>
      <w:pPr>
        <w:sectPr>
          <w:pgSz w:w="11900" w:h="16880" w:orient="portrait"/>
          <w:cols w:equalWidth="0" w:num="1">
            <w:col w:w="11380"/>
          </w:cols>
          <w:pgMar w:left="240" w:top="118" w:right="279" w:bottom="0" w:gutter="0" w:footer="0" w:header="0"/>
        </w:sectPr>
      </w:pPr>
    </w:p>
    <w:bookmarkStart w:id="22" w:name="page23"/>
    <w:bookmarkEnd w:id="22"/>
    <w:p>
      <w:pPr>
        <w:spacing w:after="0"/>
        <w:rPr>
          <w:sz w:val="20"/>
          <w:szCs w:val="20"/>
          <w:color w:val="auto"/>
        </w:rPr>
      </w:pPr>
      <w:r>
        <w:rPr>
          <w:rFonts w:ascii="Arial" w:cs="Arial" w:eastAsia="Arial" w:hAnsi="Arial"/>
          <w:sz w:val="22"/>
          <w:szCs w:val="22"/>
          <w:b w:val="1"/>
          <w:bCs w:val="1"/>
          <w:color w:val="auto"/>
        </w:rPr>
        <w:t>Interest Rate Risk</w:t>
      </w:r>
    </w:p>
    <w:p>
      <w:pPr>
        <w:spacing w:after="0" w:line="213" w:lineRule="exact"/>
        <w:rPr>
          <w:sz w:val="20"/>
          <w:szCs w:val="20"/>
          <w:color w:val="auto"/>
        </w:rPr>
      </w:pPr>
    </w:p>
    <w:p>
      <w:pPr>
        <w:ind w:firstLine="266"/>
        <w:spacing w:after="0" w:line="236" w:lineRule="auto"/>
        <w:rPr>
          <w:sz w:val="20"/>
          <w:szCs w:val="20"/>
          <w:color w:val="auto"/>
        </w:rPr>
      </w:pPr>
      <w:r>
        <w:rPr>
          <w:rFonts w:ascii="Arial" w:cs="Arial" w:eastAsia="Arial" w:hAnsi="Arial"/>
          <w:sz w:val="22"/>
          <w:szCs w:val="22"/>
          <w:color w:val="auto"/>
        </w:rPr>
        <w:t>The majority of the Company's borrowings at July 27, 2008 were in the form of its variable rate revolving credit facility and its capital lease obligation for the U.S. Nanofab, which bears interest at a fixed rate of 8%. At July 27, 2008, the Company had approximately $77.0 million in net variable rate financial instrument liabilities which were sensitive to interest rate risk. A 10% change in interest rates would not have a material effect on the Company's consolidated financial position, results of operations, or cash flows.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Evaluation of Disclosure Controls and Procedures</w:t>
      </w:r>
    </w:p>
    <w:p>
      <w:pPr>
        <w:spacing w:after="0" w:line="212" w:lineRule="exact"/>
        <w:rPr>
          <w:sz w:val="20"/>
          <w:szCs w:val="20"/>
          <w:color w:val="auto"/>
        </w:rPr>
      </w:pPr>
    </w:p>
    <w:p>
      <w:pPr>
        <w:ind w:firstLine="258"/>
        <w:spacing w:after="0" w:line="246" w:lineRule="auto"/>
        <w:rPr>
          <w:sz w:val="20"/>
          <w:szCs w:val="20"/>
          <w:color w:val="auto"/>
        </w:rPr>
      </w:pPr>
      <w:r>
        <w:rPr>
          <w:rFonts w:ascii="Arial" w:cs="Arial" w:eastAsia="Arial" w:hAnsi="Arial"/>
          <w:sz w:val="21"/>
          <w:szCs w:val="21"/>
          <w:color w:val="auto"/>
        </w:rPr>
        <w:t>An evaluation was carried out under the supervision and with the participation of the Company's management, including our Chief Executive Officer and Chief Financial Officer, of the effectiveness of the design and operation of the Company's disclosure controls and procedures (as defined in Rule 13a-15(e) and 15d-15(e) under the Securities Act of 1934) as of July 27, 2008, the end of the period covered by this report. Based upon that evaluation, the Company's Chief Executive Officer and Chief Financial Officer have concluded that, as of July 27, 2008, the end of the period covered by this report, the Company's disclosure controls and procedures were effective to ensure that information required to be disclosed by the Company in the reports that it files or submits under the Exchange Act is recorded, processed, summarized and reported within the time periods specified in the Commission's rules and forms.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Changes in Internal Control over Financial Reporting</w:t>
      </w:r>
    </w:p>
    <w:p>
      <w:pPr>
        <w:spacing w:after="0" w:line="212" w:lineRule="exact"/>
        <w:rPr>
          <w:sz w:val="20"/>
          <w:szCs w:val="20"/>
          <w:color w:val="auto"/>
        </w:rPr>
      </w:pPr>
    </w:p>
    <w:p>
      <w:pPr>
        <w:ind w:right="320" w:firstLine="266"/>
        <w:spacing w:after="0"/>
        <w:rPr>
          <w:sz w:val="20"/>
          <w:szCs w:val="20"/>
          <w:color w:val="auto"/>
        </w:rPr>
      </w:pPr>
      <w:r>
        <w:rPr>
          <w:rFonts w:ascii="Arial" w:cs="Arial" w:eastAsia="Arial" w:hAnsi="Arial"/>
          <w:sz w:val="22"/>
          <w:szCs w:val="22"/>
          <w:color w:val="auto"/>
        </w:rPr>
        <w:t>There was no change in the Company's internal control over financial reporting during the Company's third quarter of fiscal 2008 that has materially affected, or is reasonably likely to materially affect, the Company's internal control over financial reporting.</w:t>
      </w:r>
    </w:p>
    <w:p>
      <w:pPr>
        <w:spacing w:after="0" w:line="186"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II. OTHER INFORMATION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RISKS RELATING TO THE COMPANY'S BUSINESS</w:t>
      </w:r>
    </w:p>
    <w:p>
      <w:pPr>
        <w:spacing w:after="0" w:line="212" w:lineRule="exact"/>
        <w:rPr>
          <w:sz w:val="20"/>
          <w:szCs w:val="20"/>
          <w:color w:val="auto"/>
        </w:rPr>
      </w:pPr>
    </w:p>
    <w:p>
      <w:pPr>
        <w:ind w:right="820" w:firstLine="266"/>
        <w:spacing w:after="0" w:line="251" w:lineRule="auto"/>
        <w:rPr>
          <w:sz w:val="20"/>
          <w:szCs w:val="20"/>
          <w:color w:val="auto"/>
        </w:rPr>
      </w:pPr>
      <w:r>
        <w:rPr>
          <w:rFonts w:ascii="Arial" w:cs="Arial" w:eastAsia="Arial" w:hAnsi="Arial"/>
          <w:sz w:val="22"/>
          <w:szCs w:val="22"/>
          <w:color w:val="auto"/>
        </w:rPr>
        <w:t>There have been no material changes to risks relating to the Company's business as disclosed in Part 1, Item 1A of the Company's Form 10-K for the year ended October 28, 2007</w:t>
      </w:r>
      <w:r>
        <w:rPr>
          <w:rFonts w:ascii="Arial" w:cs="Arial" w:eastAsia="Arial" w:hAnsi="Arial"/>
          <w:sz w:val="22"/>
          <w:szCs w:val="22"/>
          <w:b w:val="1"/>
          <w:bCs w:val="1"/>
          <w:color w:val="auto"/>
        </w:rPr>
        <w:t>.</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w:t>
      </w:r>
    </w:p>
    <w:p>
      <w:pPr>
        <w:spacing w:after="0" w:line="239" w:lineRule="exact"/>
        <w:rPr>
          <w:sz w:val="20"/>
          <w:szCs w:val="20"/>
          <w:color w:val="auto"/>
        </w:rPr>
      </w:pPr>
    </w:p>
    <w:p>
      <w:pPr>
        <w:ind w:left="1000" w:hanging="290"/>
        <w:spacing w:after="0"/>
        <w:tabs>
          <w:tab w:leader="none" w:pos="1000" w:val="left"/>
        </w:tabs>
        <w:numPr>
          <w:ilvl w:val="0"/>
          <w:numId w:val="3"/>
        </w:numPr>
        <w:rPr>
          <w:rFonts w:ascii="Arial" w:cs="Arial" w:eastAsia="Arial" w:hAnsi="Arial"/>
          <w:sz w:val="22"/>
          <w:szCs w:val="22"/>
          <w:color w:val="auto"/>
        </w:rPr>
      </w:pPr>
      <w:r>
        <w:rPr>
          <w:rFonts w:ascii="Arial" w:cs="Arial" w:eastAsia="Arial" w:hAnsi="Arial"/>
          <w:sz w:val="22"/>
          <w:szCs w:val="22"/>
          <w:color w:val="auto"/>
        </w:rPr>
        <w:t>Exhibits</w:t>
      </w:r>
    </w:p>
    <w:p>
      <w:pPr>
        <w:spacing w:after="0" w:line="227" w:lineRule="exact"/>
        <w:rPr>
          <w:rFonts w:ascii="Arial" w:cs="Arial" w:eastAsia="Arial" w:hAnsi="Arial"/>
          <w:sz w:val="22"/>
          <w:szCs w:val="22"/>
          <w:color w:val="auto"/>
        </w:rPr>
      </w:pPr>
    </w:p>
    <w:p>
      <w:pPr>
        <w:ind w:left="1000"/>
        <w:spacing w:after="0"/>
        <w:rPr>
          <w:rFonts w:ascii="Arial" w:cs="Arial" w:eastAsia="Arial" w:hAnsi="Arial"/>
          <w:sz w:val="22"/>
          <w:szCs w:val="22"/>
          <w:color w:val="auto"/>
        </w:rPr>
      </w:pPr>
      <w:r>
        <w:rPr>
          <w:rFonts w:ascii="Arial" w:cs="Arial" w:eastAsia="Arial" w:hAnsi="Arial"/>
          <w:sz w:val="22"/>
          <w:szCs w:val="22"/>
          <w:b w:val="1"/>
          <w:bCs w:val="1"/>
          <w:color w:val="auto"/>
        </w:rPr>
        <w:t>Exhibit</w:t>
      </w:r>
    </w:p>
    <w:p>
      <w:pPr>
        <w:spacing w:after="0" w:line="14" w:lineRule="exact"/>
        <w:rPr>
          <w:rFonts w:ascii="Arial" w:cs="Arial" w:eastAsia="Arial" w:hAnsi="Arial"/>
          <w:sz w:val="22"/>
          <w:szCs w:val="22"/>
          <w:color w:val="auto"/>
        </w:rPr>
      </w:pPr>
    </w:p>
    <w:p>
      <w:pPr>
        <w:ind w:left="1000"/>
        <w:spacing w:after="0"/>
        <w:rPr>
          <w:rFonts w:ascii="Arial" w:cs="Arial" w:eastAsia="Arial" w:hAnsi="Arial"/>
          <w:sz w:val="22"/>
          <w:szCs w:val="22"/>
          <w:color w:val="auto"/>
        </w:rPr>
      </w:pPr>
      <w:r>
        <w:rPr>
          <w:rFonts w:ascii="Arial" w:cs="Arial" w:eastAsia="Arial" w:hAnsi="Arial"/>
          <w:sz w:val="22"/>
          <w:szCs w:val="22"/>
          <w:b w:val="1"/>
          <w:bCs w:val="1"/>
          <w:u w:val="single" w:color="auto"/>
          <w:color w:val="auto"/>
        </w:rPr>
        <w:t>Number Description</w:t>
      </w:r>
    </w:p>
    <w:p>
      <w:pPr>
        <w:spacing w:after="0" w:line="215" w:lineRule="exact"/>
        <w:rPr>
          <w:rFonts w:ascii="Arial" w:cs="Arial" w:eastAsia="Arial" w:hAnsi="Arial"/>
          <w:sz w:val="22"/>
          <w:szCs w:val="22"/>
          <w:color w:val="auto"/>
        </w:rPr>
      </w:pPr>
    </w:p>
    <w:p>
      <w:pPr>
        <w:ind w:left="1840" w:right="2820" w:hanging="824"/>
        <w:spacing w:after="0"/>
        <w:rPr>
          <w:rFonts w:ascii="Arial" w:cs="Arial" w:eastAsia="Arial" w:hAnsi="Arial"/>
          <w:sz w:val="22"/>
          <w:szCs w:val="22"/>
          <w:color w:val="auto"/>
        </w:rPr>
      </w:pPr>
      <w:r>
        <w:rPr>
          <w:rFonts w:ascii="Arial" w:cs="Arial" w:eastAsia="Arial" w:hAnsi="Arial"/>
          <w:sz w:val="22"/>
          <w:szCs w:val="22"/>
          <w:color w:val="auto"/>
        </w:rPr>
        <w:t>10.28 Supplemental Agreement entered into as of January 1, 2008 by and between Micron Technology, Inc. and Photronics, Inc. in connection with the Build to Suit Lease dated May 5, 2006.</w:t>
      </w:r>
    </w:p>
    <w:p>
      <w:pPr>
        <w:spacing w:after="0" w:line="213" w:lineRule="exact"/>
        <w:rPr>
          <w:rFonts w:ascii="Arial" w:cs="Arial" w:eastAsia="Arial" w:hAnsi="Arial"/>
          <w:sz w:val="22"/>
          <w:szCs w:val="22"/>
          <w:color w:val="auto"/>
        </w:rPr>
      </w:pPr>
    </w:p>
    <w:p>
      <w:pPr>
        <w:ind w:left="1840" w:right="2300" w:hanging="824"/>
        <w:spacing w:after="0"/>
        <w:rPr>
          <w:rFonts w:ascii="Arial" w:cs="Arial" w:eastAsia="Arial" w:hAnsi="Arial"/>
          <w:sz w:val="22"/>
          <w:szCs w:val="22"/>
          <w:color w:val="auto"/>
        </w:rPr>
      </w:pPr>
      <w:r>
        <w:rPr>
          <w:rFonts w:ascii="Arial" w:cs="Arial" w:eastAsia="Arial" w:hAnsi="Arial"/>
          <w:sz w:val="22"/>
          <w:szCs w:val="22"/>
          <w:color w:val="auto"/>
        </w:rPr>
        <w:t>10.29 First Amendment to the Build to Suit Lease Agreement entered into as of January 15, 2008 between Micron Technology, Inc. and Photronics, Inc. in connection with the Build to Suit Lease dated May 5, 2006.*</w:t>
      </w:r>
    </w:p>
    <w:p>
      <w:pPr>
        <w:spacing w:after="0" w:line="213" w:lineRule="exact"/>
        <w:rPr>
          <w:rFonts w:ascii="Arial" w:cs="Arial" w:eastAsia="Arial" w:hAnsi="Arial"/>
          <w:sz w:val="22"/>
          <w:szCs w:val="22"/>
          <w:color w:val="auto"/>
        </w:rPr>
      </w:pPr>
    </w:p>
    <w:p>
      <w:pPr>
        <w:ind w:left="1840" w:right="2220" w:hanging="824"/>
        <w:spacing w:after="0" w:line="251" w:lineRule="auto"/>
        <w:rPr>
          <w:rFonts w:ascii="Arial" w:cs="Arial" w:eastAsia="Arial" w:hAnsi="Arial"/>
          <w:sz w:val="22"/>
          <w:szCs w:val="22"/>
          <w:color w:val="auto"/>
        </w:rPr>
      </w:pPr>
      <w:r>
        <w:rPr>
          <w:rFonts w:ascii="Arial" w:cs="Arial" w:eastAsia="Arial" w:hAnsi="Arial"/>
          <w:sz w:val="22"/>
          <w:szCs w:val="22"/>
          <w:color w:val="auto"/>
        </w:rPr>
        <w:t>10.30 Separation and Consulting Agreement between Photronics, Inc., its subsidiaries and affiliates and Michael J. Luttati dated July 21, 2008.</w:t>
      </w:r>
    </w:p>
    <w:p>
      <w:pPr>
        <w:spacing w:after="0" w:line="200" w:lineRule="exact"/>
        <w:rPr>
          <w:rFonts w:ascii="Arial" w:cs="Arial" w:eastAsia="Arial" w:hAnsi="Arial"/>
          <w:sz w:val="22"/>
          <w:szCs w:val="22"/>
          <w:color w:val="auto"/>
        </w:rPr>
      </w:pPr>
    </w:p>
    <w:p>
      <w:pPr>
        <w:ind w:left="1840" w:right="2180" w:hanging="824"/>
        <w:spacing w:after="0"/>
        <w:rPr>
          <w:rFonts w:ascii="Arial" w:cs="Arial" w:eastAsia="Arial" w:hAnsi="Arial"/>
          <w:sz w:val="22"/>
          <w:szCs w:val="22"/>
          <w:color w:val="auto"/>
        </w:rPr>
      </w:pPr>
      <w:r>
        <w:rPr>
          <w:rFonts w:ascii="Arial" w:cs="Arial" w:eastAsia="Arial" w:hAnsi="Arial"/>
          <w:sz w:val="22"/>
          <w:szCs w:val="22"/>
          <w:color w:val="auto"/>
        </w:rPr>
        <w:t>31.1Certification of Chief Executive Officer pursuant to Rule 13a-14(a)/15d-14(a) of the Securities Exchange Act of 1934, as adopted pursuant to Section 302 of the Sarbanes-Oxley Act of 2002.</w:t>
      </w:r>
    </w:p>
    <w:p>
      <w:pPr>
        <w:spacing w:after="0" w:line="213" w:lineRule="exact"/>
        <w:rPr>
          <w:rFonts w:ascii="Arial" w:cs="Arial" w:eastAsia="Arial" w:hAnsi="Arial"/>
          <w:sz w:val="22"/>
          <w:szCs w:val="22"/>
          <w:color w:val="auto"/>
        </w:rPr>
      </w:pPr>
    </w:p>
    <w:p>
      <w:pPr>
        <w:ind w:left="1840" w:right="2240" w:hanging="824"/>
        <w:spacing w:after="0"/>
        <w:rPr>
          <w:rFonts w:ascii="Arial" w:cs="Arial" w:eastAsia="Arial" w:hAnsi="Arial"/>
          <w:sz w:val="22"/>
          <w:szCs w:val="22"/>
          <w:color w:val="auto"/>
        </w:rPr>
      </w:pPr>
      <w:r>
        <w:rPr>
          <w:rFonts w:ascii="Arial" w:cs="Arial" w:eastAsia="Arial" w:hAnsi="Arial"/>
          <w:sz w:val="22"/>
          <w:szCs w:val="22"/>
          <w:color w:val="auto"/>
        </w:rPr>
        <w:t>31.2Certification of Chief Financial Officer pursuant to Rule 13a-14(a)/15d-14(a) of the Securities Exchange Act of 1934, as adopted pursuant to Section 302 of the Sarbanes-Oxley Act of 2002.</w:t>
      </w:r>
    </w:p>
    <w:p>
      <w:pPr>
        <w:spacing w:after="0" w:line="213" w:lineRule="exact"/>
        <w:rPr>
          <w:rFonts w:ascii="Arial" w:cs="Arial" w:eastAsia="Arial" w:hAnsi="Arial"/>
          <w:sz w:val="22"/>
          <w:szCs w:val="22"/>
          <w:color w:val="auto"/>
        </w:rPr>
      </w:pPr>
    </w:p>
    <w:p>
      <w:pPr>
        <w:jc w:val="center"/>
        <w:ind w:left="1840" w:right="2660" w:hanging="824"/>
        <w:spacing w:after="0" w:line="328" w:lineRule="auto"/>
        <w:rPr>
          <w:rFonts w:ascii="Arial" w:cs="Arial" w:eastAsia="Arial" w:hAnsi="Arial"/>
          <w:sz w:val="22"/>
          <w:szCs w:val="22"/>
          <w:color w:val="auto"/>
        </w:rPr>
      </w:pPr>
      <w:r>
        <w:rPr>
          <w:rFonts w:ascii="Arial" w:cs="Arial" w:eastAsia="Arial" w:hAnsi="Arial"/>
          <w:sz w:val="22"/>
          <w:szCs w:val="22"/>
          <w:color w:val="auto"/>
        </w:rPr>
        <w:t>32.1</w:t>
      </w:r>
      <w:r>
        <w:rPr>
          <w:rFonts w:ascii="Arial" w:cs="Arial" w:eastAsia="Arial" w:hAnsi="Arial"/>
          <w:sz w:val="19"/>
          <w:szCs w:val="19"/>
          <w:color w:val="auto"/>
        </w:rPr>
        <w:t>Certification of Chief Executive Officer pursuant to 18 U.S.C. Section 1350 as adopted pursuant to Section 906 of the Sarbanes-Oxley Act of 2002.</w:t>
      </w:r>
    </w:p>
    <w:p>
      <w:pPr>
        <w:spacing w:after="0" w:line="132" w:lineRule="exact"/>
        <w:rPr>
          <w:rFonts w:ascii="Arial" w:cs="Arial" w:eastAsia="Arial" w:hAnsi="Arial"/>
          <w:sz w:val="22"/>
          <w:szCs w:val="22"/>
          <w:color w:val="auto"/>
        </w:rPr>
      </w:pPr>
    </w:p>
    <w:p>
      <w:pPr>
        <w:ind w:left="1000"/>
        <w:spacing w:after="0"/>
        <w:rPr>
          <w:rFonts w:ascii="Arial" w:cs="Arial" w:eastAsia="Arial" w:hAnsi="Arial"/>
          <w:sz w:val="22"/>
          <w:szCs w:val="22"/>
          <w:color w:val="auto"/>
        </w:rPr>
      </w:pPr>
      <w:r>
        <w:rPr>
          <w:rFonts w:ascii="Arial" w:cs="Arial" w:eastAsia="Arial" w:hAnsi="Arial"/>
          <w:sz w:val="22"/>
          <w:szCs w:val="22"/>
          <w:color w:val="auto"/>
        </w:rPr>
        <w:t>32.2</w:t>
      </w:r>
      <w:r>
        <w:rPr>
          <w:rFonts w:ascii="Arial" w:cs="Arial" w:eastAsia="Arial" w:hAnsi="Arial"/>
          <w:sz w:val="19"/>
          <w:szCs w:val="19"/>
          <w:color w:val="auto"/>
        </w:rPr>
        <w:t>Certification of Chief Financial Officer pursuant to 18 U.S.C. Section 1350 as</w:t>
      </w:r>
    </w:p>
    <w:p>
      <w:pPr>
        <w:sectPr>
          <w:pgSz w:w="11900" w:h="16838" w:orient="portrait"/>
          <w:cols w:equalWidth="0" w:num="1">
            <w:col w:w="11300"/>
          </w:cols>
          <w:pgMar w:left="240" w:top="111" w:right="359" w:bottom="0" w:gutter="0" w:footer="0" w:header="0"/>
        </w:sectPr>
      </w:pPr>
    </w:p>
    <w:bookmarkStart w:id="23" w:name="page24"/>
    <w:bookmarkEnd w:id="23"/>
    <w:p>
      <w:pPr>
        <w:ind w:left="1840"/>
        <w:spacing w:after="0"/>
        <w:rPr>
          <w:sz w:val="20"/>
          <w:szCs w:val="20"/>
          <w:color w:val="auto"/>
        </w:rPr>
      </w:pPr>
      <w:r>
        <w:rPr>
          <w:rFonts w:ascii="Arial" w:cs="Arial" w:eastAsia="Arial" w:hAnsi="Arial"/>
          <w:sz w:val="22"/>
          <w:szCs w:val="22"/>
          <w:color w:val="auto"/>
        </w:rPr>
        <w:t>adopted pursuant to Section 906 of the Sarbanes-Oxley Act of 2002.</w:t>
      </w:r>
    </w:p>
    <w:p>
      <w:pPr>
        <w:spacing w:after="0" w:line="234" w:lineRule="exact"/>
        <w:rPr>
          <w:sz w:val="20"/>
          <w:szCs w:val="20"/>
          <w:color w:val="auto"/>
        </w:rPr>
      </w:pPr>
    </w:p>
    <w:p>
      <w:pPr>
        <w:ind w:left="1840" w:right="2400" w:hanging="9"/>
        <w:spacing w:after="0" w:line="274" w:lineRule="auto"/>
        <w:tabs>
          <w:tab w:leader="none" w:pos="2002" w:val="left"/>
        </w:tabs>
        <w:numPr>
          <w:ilvl w:val="0"/>
          <w:numId w:val="4"/>
        </w:numPr>
        <w:rPr>
          <w:rFonts w:ascii="Arial" w:cs="Arial" w:eastAsia="Arial" w:hAnsi="Arial"/>
          <w:sz w:val="21"/>
          <w:szCs w:val="21"/>
          <w:color w:val="auto"/>
        </w:rPr>
      </w:pPr>
      <w:r>
        <w:rPr>
          <w:rFonts w:ascii="Arial" w:cs="Arial" w:eastAsia="Arial" w:hAnsi="Arial"/>
          <w:sz w:val="21"/>
          <w:szCs w:val="21"/>
          <w:color w:val="auto"/>
        </w:rPr>
        <w:t>Portions of this exhibit have been omitted pursuant to a request for confidential treatment filed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SIGNATURES</w:t>
      </w:r>
    </w:p>
    <w:p>
      <w:pPr>
        <w:spacing w:after="0" w:line="212" w:lineRule="exact"/>
        <w:rPr>
          <w:sz w:val="20"/>
          <w:szCs w:val="20"/>
          <w:color w:val="auto"/>
        </w:rPr>
      </w:pPr>
    </w:p>
    <w:p>
      <w:pPr>
        <w:ind w:firstLine="270"/>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73" w:lineRule="exact"/>
        <w:rPr>
          <w:sz w:val="20"/>
          <w:szCs w:val="20"/>
          <w:color w:val="auto"/>
        </w:rPr>
      </w:pPr>
    </w:p>
    <w:p>
      <w:pPr>
        <w:jc w:val="center"/>
        <w:ind w:right="7460"/>
        <w:spacing w:after="0"/>
        <w:rPr>
          <w:sz w:val="20"/>
          <w:szCs w:val="20"/>
          <w:color w:val="auto"/>
        </w:rPr>
      </w:pPr>
      <w:r>
        <w:rPr>
          <w:rFonts w:ascii="Arial" w:cs="Arial" w:eastAsia="Arial" w:hAnsi="Arial"/>
          <w:sz w:val="22"/>
          <w:szCs w:val="22"/>
          <w:color w:val="auto"/>
        </w:rPr>
        <w:t>Photronics, Inc.</w:t>
      </w:r>
    </w:p>
    <w:p>
      <w:pPr>
        <w:spacing w:after="0" w:line="8" w:lineRule="exact"/>
        <w:rPr>
          <w:sz w:val="20"/>
          <w:szCs w:val="20"/>
          <w:color w:val="auto"/>
        </w:rPr>
      </w:pPr>
    </w:p>
    <w:p>
      <w:pPr>
        <w:jc w:val="center"/>
        <w:ind w:right="7460"/>
        <w:spacing w:after="0"/>
        <w:rPr>
          <w:sz w:val="20"/>
          <w:szCs w:val="20"/>
          <w:color w:val="auto"/>
        </w:rPr>
      </w:pPr>
      <w:r>
        <w:rPr>
          <w:rFonts w:ascii="Arial" w:cs="Arial" w:eastAsia="Arial" w:hAnsi="Arial"/>
          <w:sz w:val="22"/>
          <w:szCs w:val="22"/>
          <w:color w:val="auto"/>
        </w:rPr>
        <w:t>(Registrant)</w:t>
      </w:r>
    </w:p>
    <w:p>
      <w:pPr>
        <w:spacing w:after="0" w:line="215" w:lineRule="exact"/>
        <w:rPr>
          <w:sz w:val="20"/>
          <w:szCs w:val="20"/>
          <w:color w:val="auto"/>
        </w:rPr>
      </w:pPr>
    </w:p>
    <w:p>
      <w:pPr>
        <w:ind w:left="20"/>
        <w:spacing w:after="0"/>
        <w:tabs>
          <w:tab w:leader="none" w:pos="9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SEAN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380365</wp:posOffset>
            </wp:positionH>
            <wp:positionV relativeFrom="paragraph">
              <wp:posOffset>73660</wp:posOffset>
            </wp:positionV>
            <wp:extent cx="1659255"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659255" cy="21590"/>
                    </a:xfrm>
                    <a:prstGeom prst="rect">
                      <a:avLst/>
                    </a:prstGeom>
                    <a:noFill/>
                  </pic:spPr>
                </pic:pic>
              </a:graphicData>
            </a:graphic>
          </wp:anchor>
        </w:drawing>
      </w:r>
    </w:p>
    <w:p>
      <w:pPr>
        <w:spacing w:after="0" w:line="213" w:lineRule="exact"/>
        <w:rPr>
          <w:sz w:val="20"/>
          <w:szCs w:val="20"/>
          <w:color w:val="auto"/>
        </w:rPr>
      </w:pPr>
    </w:p>
    <w:p>
      <w:pPr>
        <w:jc w:val="center"/>
        <w:ind w:right="7460"/>
        <w:spacing w:after="0"/>
        <w:rPr>
          <w:sz w:val="20"/>
          <w:szCs w:val="20"/>
          <w:color w:val="auto"/>
        </w:rPr>
      </w:pPr>
      <w:r>
        <w:rPr>
          <w:rFonts w:ascii="Arial" w:cs="Arial" w:eastAsia="Arial" w:hAnsi="Arial"/>
          <w:sz w:val="22"/>
          <w:szCs w:val="22"/>
          <w:color w:val="auto"/>
        </w:rPr>
        <w:t>Sean T. Smith</w:t>
      </w:r>
    </w:p>
    <w:p>
      <w:pPr>
        <w:jc w:val="center"/>
        <w:ind w:right="7460"/>
        <w:spacing w:after="0" w:line="238" w:lineRule="auto"/>
        <w:rPr>
          <w:sz w:val="20"/>
          <w:szCs w:val="20"/>
          <w:color w:val="auto"/>
        </w:rPr>
      </w:pPr>
      <w:r>
        <w:rPr>
          <w:rFonts w:ascii="Arial" w:cs="Arial" w:eastAsia="Arial" w:hAnsi="Arial"/>
          <w:sz w:val="22"/>
          <w:szCs w:val="22"/>
          <w:color w:val="auto"/>
        </w:rPr>
        <w:t>Senior Vice President</w:t>
      </w:r>
    </w:p>
    <w:p>
      <w:pPr>
        <w:jc w:val="center"/>
        <w:ind w:right="7460"/>
        <w:spacing w:after="0" w:line="230" w:lineRule="auto"/>
        <w:rPr>
          <w:sz w:val="20"/>
          <w:szCs w:val="20"/>
          <w:color w:val="auto"/>
        </w:rPr>
      </w:pPr>
      <w:r>
        <w:rPr>
          <w:rFonts w:ascii="Arial" w:cs="Arial" w:eastAsia="Arial" w:hAnsi="Arial"/>
          <w:sz w:val="22"/>
          <w:szCs w:val="22"/>
          <w:color w:val="auto"/>
        </w:rPr>
        <w:t>Chief Financial Officer</w:t>
      </w:r>
    </w:p>
    <w:p>
      <w:pPr>
        <w:jc w:val="center"/>
        <w:ind w:right="7460"/>
        <w:spacing w:after="0" w:line="231" w:lineRule="auto"/>
        <w:rPr>
          <w:sz w:val="20"/>
          <w:szCs w:val="20"/>
          <w:color w:val="auto"/>
        </w:rPr>
      </w:pPr>
      <w:r>
        <w:rPr>
          <w:rFonts w:ascii="Arial" w:cs="Arial" w:eastAsia="Arial" w:hAnsi="Arial"/>
          <w:sz w:val="22"/>
          <w:szCs w:val="22"/>
          <w:color w:val="auto"/>
        </w:rPr>
        <w:t>(Duly Authorized Officer and</w:t>
      </w:r>
    </w:p>
    <w:p>
      <w:pPr>
        <w:spacing w:after="0" w:line="1" w:lineRule="exact"/>
        <w:rPr>
          <w:sz w:val="20"/>
          <w:szCs w:val="20"/>
          <w:color w:val="auto"/>
        </w:rPr>
      </w:pPr>
    </w:p>
    <w:p>
      <w:pPr>
        <w:jc w:val="center"/>
        <w:ind w:right="7460"/>
        <w:spacing w:after="0"/>
        <w:rPr>
          <w:sz w:val="20"/>
          <w:szCs w:val="20"/>
          <w:color w:val="auto"/>
        </w:rPr>
      </w:pPr>
      <w:r>
        <w:rPr>
          <w:rFonts w:ascii="Arial" w:cs="Arial" w:eastAsia="Arial" w:hAnsi="Arial"/>
          <w:sz w:val="22"/>
          <w:szCs w:val="22"/>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Date: September 3, 2008</w:t>
      </w:r>
    </w:p>
    <w:p>
      <w:pPr>
        <w:spacing w:after="0" w:line="206"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240"/>
          </w:cols>
          <w:pgMar w:left="240" w:top="118" w:right="419" w:bottom="1440" w:gutter="0" w:footer="0" w:header="0"/>
        </w:sectPr>
      </w:pPr>
    </w:p>
    <w:bookmarkStart w:id="24" w:name="page25"/>
    <w:bookmarkEnd w:id="24"/>
    <w:p>
      <w:pPr>
        <w:spacing w:after="0"/>
        <w:rPr>
          <w:sz w:val="20"/>
          <w:szCs w:val="20"/>
          <w:color w:val="auto"/>
        </w:rPr>
      </w:pPr>
      <w:r>
        <w:rPr>
          <w:rFonts w:ascii="Arial" w:cs="Arial" w:eastAsia="Arial" w:hAnsi="Arial"/>
          <w:sz w:val="22"/>
          <w:szCs w:val="22"/>
          <w:color w:val="auto"/>
        </w:rPr>
        <w:t>Exhibit 10.28</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SUPPLEMENTAL AGREEMENT</w:t>
      </w:r>
    </w:p>
    <w:p>
      <w:pPr>
        <w:spacing w:after="0" w:line="212" w:lineRule="exact"/>
        <w:rPr>
          <w:sz w:val="20"/>
          <w:szCs w:val="20"/>
          <w:color w:val="auto"/>
        </w:rPr>
      </w:pPr>
    </w:p>
    <w:p>
      <w:pPr>
        <w:ind w:right="100" w:firstLine="266"/>
        <w:spacing w:after="0" w:line="238" w:lineRule="auto"/>
        <w:rPr>
          <w:sz w:val="20"/>
          <w:szCs w:val="20"/>
          <w:color w:val="auto"/>
        </w:rPr>
      </w:pPr>
      <w:r>
        <w:rPr>
          <w:rFonts w:ascii="Arial" w:cs="Arial" w:eastAsia="Arial" w:hAnsi="Arial"/>
          <w:sz w:val="22"/>
          <w:szCs w:val="22"/>
          <w:color w:val="auto"/>
        </w:rPr>
        <w:t>This supplemental agreement (this "Agreement") is entered into as of January 1, 2008, by and between MICRON TECHNOLOGY, INC., a Delaware corporation and PHOTRONICS, INC., a Connecticut corporation in connection with the Build to Suit Lease (the "Lease") between the Parties dated May 5, 2006. All capitalized terms used herein and not otherwise defined shall have the meaning ascribed to such terms in the Lease.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RECITALS</w:t>
      </w:r>
    </w:p>
    <w:p>
      <w:pPr>
        <w:spacing w:after="0" w:line="212" w:lineRule="exact"/>
        <w:rPr>
          <w:sz w:val="20"/>
          <w:szCs w:val="20"/>
          <w:color w:val="auto"/>
        </w:rPr>
      </w:pPr>
    </w:p>
    <w:p>
      <w:pPr>
        <w:ind w:firstLine="258"/>
        <w:spacing w:after="0" w:line="251" w:lineRule="auto"/>
        <w:rPr>
          <w:sz w:val="20"/>
          <w:szCs w:val="20"/>
          <w:color w:val="auto"/>
        </w:rPr>
      </w:pPr>
      <w:r>
        <w:rPr>
          <w:rFonts w:ascii="Arial" w:cs="Arial" w:eastAsia="Arial" w:hAnsi="Arial"/>
          <w:sz w:val="22"/>
          <w:szCs w:val="22"/>
          <w:color w:val="auto"/>
        </w:rPr>
        <w:t>A. On May 5, 2006, the Parties entered into the Lease, and, in accordance with the terms thereof, Micron constructed the Micron Improvements upon the Land.</w:t>
      </w:r>
    </w:p>
    <w:p>
      <w:pPr>
        <w:spacing w:after="0" w:line="173" w:lineRule="exact"/>
        <w:rPr>
          <w:sz w:val="20"/>
          <w:szCs w:val="20"/>
          <w:color w:val="auto"/>
        </w:rPr>
      </w:pPr>
    </w:p>
    <w:p>
      <w:pPr>
        <w:ind w:right="780" w:firstLine="270"/>
        <w:spacing w:after="0" w:line="251" w:lineRule="auto"/>
        <w:rPr>
          <w:sz w:val="20"/>
          <w:szCs w:val="20"/>
          <w:color w:val="auto"/>
        </w:rPr>
      </w:pPr>
      <w:r>
        <w:rPr>
          <w:rFonts w:ascii="Arial" w:cs="Arial" w:eastAsia="Arial" w:hAnsi="Arial"/>
          <w:sz w:val="22"/>
          <w:szCs w:val="22"/>
          <w:color w:val="auto"/>
        </w:rPr>
        <w:t>B. Section 4.2(c) of the Lease provides that the Parties shall enter into a supplemental agreement setting forth the Lease Commencement Date and the Rent Commencement Date.</w:t>
      </w:r>
    </w:p>
    <w:p>
      <w:pPr>
        <w:spacing w:after="0" w:line="173" w:lineRule="exact"/>
        <w:rPr>
          <w:sz w:val="20"/>
          <w:szCs w:val="20"/>
          <w:color w:val="auto"/>
        </w:rPr>
      </w:pPr>
    </w:p>
    <w:p>
      <w:pPr>
        <w:ind w:right="420" w:firstLine="270"/>
        <w:spacing w:after="0" w:line="251" w:lineRule="auto"/>
        <w:rPr>
          <w:sz w:val="20"/>
          <w:szCs w:val="20"/>
          <w:color w:val="auto"/>
        </w:rPr>
      </w:pPr>
      <w:r>
        <w:rPr>
          <w:rFonts w:ascii="Arial" w:cs="Arial" w:eastAsia="Arial" w:hAnsi="Arial"/>
          <w:sz w:val="22"/>
          <w:szCs w:val="22"/>
          <w:color w:val="auto"/>
        </w:rPr>
        <w:t>C. The Parties desire to enter into this Agreement to set forth the Lease Commencement Date and the Rent Commencement Date in accordance with Section 4.2(c) of the Lease.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AGREEMENT</w:t>
      </w:r>
    </w:p>
    <w:p>
      <w:pPr>
        <w:spacing w:after="0" w:line="212" w:lineRule="exact"/>
        <w:rPr>
          <w:sz w:val="20"/>
          <w:szCs w:val="20"/>
          <w:color w:val="auto"/>
        </w:rPr>
      </w:pPr>
    </w:p>
    <w:p>
      <w:pPr>
        <w:ind w:left="500" w:hanging="222"/>
        <w:spacing w:after="0"/>
        <w:tabs>
          <w:tab w:leader="none" w:pos="500"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Parties hereby acknowledge and agree that the Lease Commencement Date shall be November 30, 2007.</w:t>
      </w:r>
    </w:p>
    <w:p>
      <w:pPr>
        <w:spacing w:after="0" w:line="206" w:lineRule="exact"/>
        <w:rPr>
          <w:rFonts w:ascii="Arial" w:cs="Arial" w:eastAsia="Arial" w:hAnsi="Arial"/>
          <w:sz w:val="22"/>
          <w:szCs w:val="22"/>
          <w:color w:val="auto"/>
        </w:rPr>
      </w:pPr>
    </w:p>
    <w:p>
      <w:pPr>
        <w:ind w:left="500" w:hanging="222"/>
        <w:spacing w:after="0"/>
        <w:tabs>
          <w:tab w:leader="none" w:pos="500"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Parties hereby acknowledge and agree that the Rent Commencement Date shall be January 1, 2008.</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IN WITNESS WHEREOF the Parties hereto have executed this Agreement as of the date first set forth above.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PHOTRONICS, INC., a Connecticut corporation</w:t>
      </w:r>
    </w:p>
    <w:p>
      <w:pPr>
        <w:spacing w:after="0" w:line="206" w:lineRule="exact"/>
        <w:rPr>
          <w:sz w:val="20"/>
          <w:szCs w:val="20"/>
          <w:color w:val="auto"/>
        </w:rPr>
      </w:pPr>
    </w:p>
    <w:p>
      <w:pPr>
        <w:ind w:left="20"/>
        <w:spacing w:after="0"/>
        <w:rPr>
          <w:sz w:val="20"/>
          <w:szCs w:val="20"/>
          <w:color w:val="auto"/>
        </w:rPr>
      </w:pPr>
      <w:r>
        <w:rPr>
          <w:rFonts w:ascii="Arial" w:cs="Arial" w:eastAsia="Arial" w:hAnsi="Arial"/>
          <w:sz w:val="22"/>
          <w:szCs w:val="22"/>
          <w:color w:val="auto"/>
        </w:rPr>
        <w:t>By: /s/ MICHAEL J. LUTTATI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73660</wp:posOffset>
            </wp:positionV>
            <wp:extent cx="1522095"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522095" cy="21590"/>
                    </a:xfrm>
                    <a:prstGeom prst="rect">
                      <a:avLst/>
                    </a:prstGeom>
                    <a:noFill/>
                  </pic:spPr>
                </pic:pic>
              </a:graphicData>
            </a:graphic>
          </wp:anchor>
        </w:drawing>
      </w:r>
    </w:p>
    <w:p>
      <w:pPr>
        <w:spacing w:after="0" w:line="213" w:lineRule="exact"/>
        <w:rPr>
          <w:sz w:val="20"/>
          <w:szCs w:val="20"/>
          <w:color w:val="auto"/>
        </w:rPr>
      </w:pPr>
    </w:p>
    <w:p>
      <w:pPr>
        <w:jc w:val="center"/>
        <w:ind w:right="8280"/>
        <w:spacing w:after="0"/>
        <w:rPr>
          <w:sz w:val="20"/>
          <w:szCs w:val="20"/>
          <w:color w:val="auto"/>
        </w:rPr>
      </w:pPr>
      <w:r>
        <w:rPr>
          <w:rFonts w:ascii="Arial" w:cs="Arial" w:eastAsia="Arial" w:hAnsi="Arial"/>
          <w:sz w:val="22"/>
          <w:szCs w:val="22"/>
          <w:color w:val="auto"/>
        </w:rPr>
        <w:t>Michael J. Luttati</w:t>
      </w:r>
    </w:p>
    <w:p>
      <w:pPr>
        <w:spacing w:after="0" w:line="8" w:lineRule="exact"/>
        <w:rPr>
          <w:sz w:val="20"/>
          <w:szCs w:val="20"/>
          <w:color w:val="auto"/>
        </w:rPr>
      </w:pPr>
    </w:p>
    <w:p>
      <w:pPr>
        <w:jc w:val="center"/>
        <w:ind w:right="828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MICRON TECHNOLOGY, INC., a Delaware corporation</w:t>
      </w:r>
    </w:p>
    <w:p>
      <w:pPr>
        <w:spacing w:after="0" w:line="206" w:lineRule="exact"/>
        <w:rPr>
          <w:sz w:val="20"/>
          <w:szCs w:val="20"/>
          <w:color w:val="auto"/>
        </w:rPr>
      </w:pPr>
    </w:p>
    <w:p>
      <w:pPr>
        <w:ind w:left="20"/>
        <w:spacing w:after="0"/>
        <w:tabs>
          <w:tab w:leader="none" w:pos="8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D. MARK DURCAN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73660</wp:posOffset>
            </wp:positionV>
            <wp:extent cx="202819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028190" cy="21590"/>
                    </a:xfrm>
                    <a:prstGeom prst="rect">
                      <a:avLst/>
                    </a:prstGeom>
                    <a:noFill/>
                  </pic:spPr>
                </pic:pic>
              </a:graphicData>
            </a:graphic>
          </wp:anchor>
        </w:drawing>
      </w:r>
    </w:p>
    <w:p>
      <w:pPr>
        <w:spacing w:after="0" w:line="213" w:lineRule="exact"/>
        <w:rPr>
          <w:sz w:val="20"/>
          <w:szCs w:val="20"/>
          <w:color w:val="auto"/>
        </w:rPr>
      </w:pPr>
    </w:p>
    <w:p>
      <w:pPr>
        <w:jc w:val="center"/>
        <w:ind w:right="7480"/>
        <w:spacing w:after="0"/>
        <w:rPr>
          <w:sz w:val="20"/>
          <w:szCs w:val="20"/>
          <w:color w:val="auto"/>
        </w:rPr>
      </w:pPr>
      <w:r>
        <w:rPr>
          <w:rFonts w:ascii="Arial" w:cs="Arial" w:eastAsia="Arial" w:hAnsi="Arial"/>
          <w:sz w:val="22"/>
          <w:szCs w:val="22"/>
          <w:color w:val="auto"/>
        </w:rPr>
        <w:t>D. Mark Durcan</w:t>
      </w:r>
    </w:p>
    <w:p>
      <w:pPr>
        <w:spacing w:after="0" w:line="8" w:lineRule="exact"/>
        <w:rPr>
          <w:sz w:val="20"/>
          <w:szCs w:val="20"/>
          <w:color w:val="auto"/>
        </w:rPr>
      </w:pPr>
    </w:p>
    <w:p>
      <w:pPr>
        <w:jc w:val="center"/>
        <w:ind w:right="7480"/>
        <w:spacing w:after="0"/>
        <w:rPr>
          <w:sz w:val="20"/>
          <w:szCs w:val="20"/>
          <w:color w:val="auto"/>
        </w:rPr>
      </w:pPr>
      <w:r>
        <w:rPr>
          <w:rFonts w:ascii="Arial" w:cs="Arial" w:eastAsia="Arial" w:hAnsi="Arial"/>
          <w:sz w:val="22"/>
          <w:szCs w:val="22"/>
          <w:color w:val="auto"/>
        </w:rPr>
        <w:t>President &amp;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22"/>
          <w:szCs w:val="22"/>
          <w:color w:val="auto"/>
        </w:rPr>
        <w:t>REVIEWED</w:t>
      </w:r>
    </w:p>
    <w:p>
      <w:pPr>
        <w:spacing w:after="0" w:line="238" w:lineRule="auto"/>
        <w:rPr>
          <w:sz w:val="20"/>
          <w:szCs w:val="20"/>
          <w:color w:val="auto"/>
        </w:rPr>
      </w:pPr>
      <w:r>
        <w:rPr>
          <w:rFonts w:ascii="Arial" w:cs="Arial" w:eastAsia="Arial" w:hAnsi="Arial"/>
          <w:sz w:val="22"/>
          <w:szCs w:val="22"/>
          <w:color w:val="auto"/>
        </w:rPr>
        <w:t>MTI Legal</w:t>
      </w:r>
    </w:p>
    <w:p>
      <w:pPr>
        <w:spacing w:after="0"/>
        <w:rPr>
          <w:sz w:val="20"/>
          <w:szCs w:val="20"/>
          <w:color w:val="auto"/>
        </w:rPr>
      </w:pPr>
      <w:r>
        <w:rPr>
          <w:rFonts w:ascii="Arial" w:cs="Arial" w:eastAsia="Arial" w:hAnsi="Arial"/>
          <w:sz w:val="22"/>
          <w:szCs w:val="22"/>
          <w:u w:val="single" w:color="auto"/>
          <w:color w:val="auto"/>
        </w:rPr>
        <w:t>J.G.</w:t>
      </w:r>
    </w:p>
    <w:p>
      <w:pPr>
        <w:sectPr>
          <w:pgSz w:w="11900" w:h="16838" w:orient="portrait"/>
          <w:cols w:equalWidth="0" w:num="1">
            <w:col w:w="11400"/>
          </w:cols>
          <w:pgMar w:left="240" w:top="118" w:right="259" w:bottom="1440" w:gutter="0" w:footer="0" w:header="0"/>
        </w:sectPr>
      </w:pPr>
    </w:p>
    <w:bookmarkStart w:id="25" w:name="page26"/>
    <w:bookmarkEnd w:id="25"/>
    <w:p>
      <w:pPr>
        <w:spacing w:after="0"/>
        <w:rPr>
          <w:sz w:val="20"/>
          <w:szCs w:val="20"/>
          <w:color w:val="auto"/>
        </w:rPr>
      </w:pPr>
      <w:r>
        <w:rPr>
          <w:rFonts w:ascii="Arial" w:cs="Arial" w:eastAsia="Arial" w:hAnsi="Arial"/>
          <w:sz w:val="22"/>
          <w:szCs w:val="22"/>
          <w:color w:val="auto"/>
        </w:rPr>
        <w:t>Exhibit 10.29</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FIRST AMENDMENT</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to</w:t>
      </w:r>
    </w:p>
    <w:p>
      <w:pPr>
        <w:jc w:val="center"/>
        <w:ind w:right="-19"/>
        <w:spacing w:after="0"/>
        <w:rPr>
          <w:sz w:val="20"/>
          <w:szCs w:val="20"/>
          <w:color w:val="auto"/>
        </w:rPr>
      </w:pPr>
      <w:r>
        <w:rPr>
          <w:rFonts w:ascii="Arial" w:cs="Arial" w:eastAsia="Arial" w:hAnsi="Arial"/>
          <w:sz w:val="22"/>
          <w:szCs w:val="22"/>
          <w:b w:val="1"/>
          <w:bCs w:val="1"/>
          <w:u w:val="single" w:color="auto"/>
          <w:color w:val="auto"/>
        </w:rPr>
        <w:t>BUILD TO SUIT LEASE</w:t>
      </w:r>
    </w:p>
    <w:p>
      <w:pPr>
        <w:spacing w:after="0" w:line="188" w:lineRule="exact"/>
        <w:rPr>
          <w:sz w:val="20"/>
          <w:szCs w:val="20"/>
          <w:color w:val="auto"/>
        </w:rPr>
      </w:pPr>
    </w:p>
    <w:p>
      <w:pPr>
        <w:ind w:right="80" w:firstLine="266"/>
        <w:spacing w:after="0" w:line="238" w:lineRule="auto"/>
        <w:rPr>
          <w:sz w:val="20"/>
          <w:szCs w:val="20"/>
          <w:color w:val="auto"/>
        </w:rPr>
      </w:pPr>
      <w:r>
        <w:rPr>
          <w:rFonts w:ascii="Arial" w:cs="Arial" w:eastAsia="Arial" w:hAnsi="Arial"/>
          <w:sz w:val="22"/>
          <w:szCs w:val="22"/>
          <w:color w:val="auto"/>
        </w:rPr>
        <w:t>The first amendment (this "Amendment") is entered into as of January 15, 2008, by and between MICRON TECHNOLOGY, INC., a Delaware corporation and PHOTRONICS, INC., a Connecticut corporation in connection with the Build to Suit Lease (the "Lease") between the Parties dated May 5, 2006. All capitalized terms used herein and not otherwise defined shall have the meaning ascribed to such terms in the Lease.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RECITALS</w:t>
      </w:r>
    </w:p>
    <w:p>
      <w:pPr>
        <w:spacing w:after="0" w:line="212" w:lineRule="exact"/>
        <w:rPr>
          <w:sz w:val="20"/>
          <w:szCs w:val="20"/>
          <w:color w:val="auto"/>
        </w:rPr>
      </w:pPr>
    </w:p>
    <w:p>
      <w:pPr>
        <w:ind w:firstLine="258"/>
        <w:spacing w:after="0" w:line="251" w:lineRule="auto"/>
        <w:rPr>
          <w:sz w:val="20"/>
          <w:szCs w:val="20"/>
          <w:color w:val="auto"/>
        </w:rPr>
      </w:pPr>
      <w:r>
        <w:rPr>
          <w:rFonts w:ascii="Arial" w:cs="Arial" w:eastAsia="Arial" w:hAnsi="Arial"/>
          <w:sz w:val="22"/>
          <w:szCs w:val="22"/>
          <w:color w:val="auto"/>
        </w:rPr>
        <w:t>A. On May 5, 2006, the Parties entered into the Lease, and, in accordance with the terms thereof, Micron constructed the Micron Improvements upon the Land.</w:t>
      </w:r>
    </w:p>
    <w:p>
      <w:pPr>
        <w:spacing w:after="0" w:line="173" w:lineRule="exact"/>
        <w:rPr>
          <w:sz w:val="20"/>
          <w:szCs w:val="20"/>
          <w:color w:val="auto"/>
        </w:rPr>
      </w:pPr>
    </w:p>
    <w:p>
      <w:pPr>
        <w:ind w:right="340" w:firstLine="270"/>
        <w:spacing w:after="0" w:line="251" w:lineRule="auto"/>
        <w:rPr>
          <w:sz w:val="20"/>
          <w:szCs w:val="20"/>
          <w:color w:val="auto"/>
        </w:rPr>
      </w:pPr>
      <w:r>
        <w:rPr>
          <w:rFonts w:ascii="Arial" w:cs="Arial" w:eastAsia="Arial" w:hAnsi="Arial"/>
          <w:sz w:val="22"/>
          <w:szCs w:val="22"/>
          <w:color w:val="auto"/>
        </w:rPr>
        <w:t>B. Effective as of January 1, 2008 the Parties entered into a Supplemental Agreement as provided for in Section 4.2(c) of the Lease setting forth the Lease Commencement Date and the Rent Commencement Date.</w:t>
      </w:r>
    </w:p>
    <w:p>
      <w:pPr>
        <w:spacing w:after="0" w:line="173" w:lineRule="exact"/>
        <w:rPr>
          <w:sz w:val="20"/>
          <w:szCs w:val="20"/>
          <w:color w:val="auto"/>
        </w:rPr>
      </w:pPr>
    </w:p>
    <w:p>
      <w:pPr>
        <w:ind w:right="80" w:firstLine="270"/>
        <w:spacing w:after="0" w:line="274" w:lineRule="auto"/>
        <w:rPr>
          <w:sz w:val="20"/>
          <w:szCs w:val="20"/>
          <w:color w:val="auto"/>
        </w:rPr>
      </w:pPr>
      <w:r>
        <w:rPr>
          <w:rFonts w:ascii="Arial" w:cs="Arial" w:eastAsia="Arial" w:hAnsi="Arial"/>
          <w:sz w:val="21"/>
          <w:szCs w:val="21"/>
          <w:color w:val="auto"/>
        </w:rPr>
        <w:t>C. Section 3.1(a) of the Lease provides that the Parties shall enter into an amendment to the Lease to provide a legal description and depiction of the Land as Exhibits A and B to the Lease once the location of the Land has been identified.</w:t>
      </w:r>
    </w:p>
    <w:p>
      <w:pPr>
        <w:spacing w:after="0" w:line="151" w:lineRule="exact"/>
        <w:rPr>
          <w:sz w:val="20"/>
          <w:szCs w:val="20"/>
          <w:color w:val="auto"/>
        </w:rPr>
      </w:pPr>
    </w:p>
    <w:p>
      <w:pPr>
        <w:ind w:right="80" w:firstLine="270"/>
        <w:spacing w:after="0" w:line="287" w:lineRule="auto"/>
        <w:rPr>
          <w:sz w:val="20"/>
          <w:szCs w:val="20"/>
          <w:color w:val="auto"/>
        </w:rPr>
      </w:pPr>
      <w:r>
        <w:rPr>
          <w:rFonts w:ascii="Arial" w:cs="Arial" w:eastAsia="Arial" w:hAnsi="Arial"/>
          <w:sz w:val="19"/>
          <w:szCs w:val="19"/>
          <w:color w:val="auto"/>
        </w:rPr>
        <w:t xml:space="preserve">D. Section 5.1(a) of the Lease provides that Micron shall prepare and deliver to Photronics the Lease Payment Schedule setting forth the quarterly Base Rent. Section 5.1(a) further provides that Base Rent shall be calculated based upon amortization of all Development Costs in an amount not to exceed </w:t>
      </w:r>
      <w:r>
        <w:rPr>
          <w:rFonts w:ascii="Arial" w:cs="Arial" w:eastAsia="Arial" w:hAnsi="Arial"/>
          <w:sz w:val="19"/>
          <w:szCs w:val="19"/>
          <w:u w:val="single" w:color="auto"/>
          <w:color w:val="auto"/>
        </w:rPr>
        <w:t>xxxx</w:t>
      </w:r>
      <w:r>
        <w:rPr>
          <w:rFonts w:ascii="Arial" w:cs="Arial" w:eastAsia="Arial" w:hAnsi="Arial"/>
          <w:sz w:val="19"/>
          <w:szCs w:val="19"/>
          <w:color w:val="auto"/>
        </w:rPr>
        <w:t xml:space="preserve"> </w:t>
      </w:r>
      <w:r>
        <w:rPr>
          <w:rFonts w:ascii="Arial" w:cs="Arial" w:eastAsia="Arial" w:hAnsi="Arial"/>
          <w:sz w:val="19"/>
          <w:szCs w:val="19"/>
          <w:i w:val="1"/>
          <w:iCs w:val="1"/>
          <w:color w:val="auto"/>
        </w:rPr>
        <w:t>(Material omitted pursuant to a request for confidential treatment under Rule</w:t>
      </w:r>
      <w:r>
        <w:rPr>
          <w:rFonts w:ascii="Arial" w:cs="Arial" w:eastAsia="Arial" w:hAnsi="Arial"/>
          <w:sz w:val="19"/>
          <w:szCs w:val="19"/>
          <w:color w:val="auto"/>
        </w:rPr>
        <w:t xml:space="preserve"> </w:t>
      </w:r>
      <w:r>
        <w:rPr>
          <w:rFonts w:ascii="Arial" w:cs="Arial" w:eastAsia="Arial" w:hAnsi="Arial"/>
          <w:sz w:val="19"/>
          <w:szCs w:val="19"/>
          <w:i w:val="1"/>
          <w:iCs w:val="1"/>
          <w:color w:val="auto"/>
        </w:rPr>
        <w:t>24b-2 of the Exchange Act of 1934. Material filed separately with the Securities and Exchange Commission.)</w:t>
      </w:r>
    </w:p>
    <w:p>
      <w:pPr>
        <w:spacing w:after="0" w:line="143" w:lineRule="exact"/>
        <w:rPr>
          <w:sz w:val="20"/>
          <w:szCs w:val="20"/>
          <w:color w:val="auto"/>
        </w:rPr>
      </w:pPr>
    </w:p>
    <w:p>
      <w:pPr>
        <w:ind w:right="500" w:firstLine="270"/>
        <w:spacing w:after="0" w:line="328" w:lineRule="auto"/>
        <w:rPr>
          <w:sz w:val="20"/>
          <w:szCs w:val="20"/>
          <w:color w:val="auto"/>
        </w:rPr>
      </w:pPr>
      <w:r>
        <w:rPr>
          <w:rFonts w:ascii="Arial" w:cs="Arial" w:eastAsia="Arial" w:hAnsi="Arial"/>
          <w:sz w:val="19"/>
          <w:szCs w:val="19"/>
          <w:color w:val="auto"/>
        </w:rPr>
        <w:t>E. The Parties desire to enter into this Amendment to amend the Rent Commencement Date, supply a legal description and depiction of the Land, establish a Lease Payment Schedule and increase the limit on Development Costs.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AGREEMENT</w:t>
      </w:r>
    </w:p>
    <w:p>
      <w:pPr>
        <w:spacing w:after="0" w:line="212" w:lineRule="exact"/>
        <w:rPr>
          <w:sz w:val="20"/>
          <w:szCs w:val="20"/>
          <w:color w:val="auto"/>
        </w:rPr>
      </w:pPr>
    </w:p>
    <w:p>
      <w:pPr>
        <w:ind w:left="280"/>
        <w:spacing w:after="0"/>
        <w:rPr>
          <w:sz w:val="20"/>
          <w:szCs w:val="20"/>
          <w:color w:val="auto"/>
        </w:rPr>
      </w:pPr>
      <w:r>
        <w:rPr>
          <w:rFonts w:ascii="Arial" w:cs="Arial" w:eastAsia="Arial" w:hAnsi="Arial"/>
          <w:sz w:val="19"/>
          <w:szCs w:val="19"/>
          <w:color w:val="auto"/>
        </w:rPr>
        <w:t>In consideration of the mutual promises contained herein and for other good and valuable consideration, the receipt of which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Parties hereby acknowledge, the Parties hereby agree as follows:</w:t>
      </w:r>
    </w:p>
    <w:p>
      <w:pPr>
        <w:spacing w:after="0" w:line="188" w:lineRule="exact"/>
        <w:rPr>
          <w:sz w:val="20"/>
          <w:szCs w:val="20"/>
          <w:color w:val="auto"/>
        </w:rPr>
      </w:pPr>
    </w:p>
    <w:p>
      <w:pPr>
        <w:ind w:right="220" w:firstLine="278"/>
        <w:spacing w:after="0" w:line="328" w:lineRule="auto"/>
        <w:tabs>
          <w:tab w:leader="none" w:pos="486" w:val="left"/>
        </w:tabs>
        <w:numPr>
          <w:ilvl w:val="0"/>
          <w:numId w:val="6"/>
        </w:numPr>
        <w:rPr>
          <w:rFonts w:ascii="Arial" w:cs="Arial" w:eastAsia="Arial" w:hAnsi="Arial"/>
          <w:sz w:val="19"/>
          <w:szCs w:val="19"/>
          <w:color w:val="auto"/>
        </w:rPr>
      </w:pPr>
      <w:r>
        <w:rPr>
          <w:rFonts w:ascii="Arial" w:cs="Arial" w:eastAsia="Arial" w:hAnsi="Arial"/>
          <w:sz w:val="19"/>
          <w:szCs w:val="19"/>
          <w:color w:val="auto"/>
        </w:rPr>
        <w:t>The description attached hereto as Schedule A shall constitute Exhibit A to the Lease and shall be incorporated therein. The legal description attached hereto as Schedule B shall constitute Exhibit B to the Lease and shall be incorporated therein.</w:t>
      </w:r>
    </w:p>
    <w:p>
      <w:pPr>
        <w:spacing w:after="0" w:line="105" w:lineRule="exact"/>
        <w:rPr>
          <w:rFonts w:ascii="Arial" w:cs="Arial" w:eastAsia="Arial" w:hAnsi="Arial"/>
          <w:sz w:val="19"/>
          <w:szCs w:val="19"/>
          <w:color w:val="auto"/>
        </w:rPr>
      </w:pPr>
    </w:p>
    <w:p>
      <w:pPr>
        <w:ind w:right="300" w:firstLine="278"/>
        <w:spacing w:after="0" w:line="251" w:lineRule="auto"/>
        <w:tabs>
          <w:tab w:leader="none" w:pos="486" w:val="left"/>
        </w:tabs>
        <w:numPr>
          <w:ilvl w:val="0"/>
          <w:numId w:val="6"/>
        </w:numPr>
        <w:rPr>
          <w:rFonts w:ascii="Arial" w:cs="Arial" w:eastAsia="Arial" w:hAnsi="Arial"/>
          <w:sz w:val="22"/>
          <w:szCs w:val="22"/>
          <w:color w:val="auto"/>
        </w:rPr>
      </w:pPr>
      <w:r>
        <w:rPr>
          <w:rFonts w:ascii="Arial" w:cs="Arial" w:eastAsia="Arial" w:hAnsi="Arial"/>
          <w:sz w:val="22"/>
          <w:szCs w:val="22"/>
          <w:color w:val="auto"/>
        </w:rPr>
        <w:t>The schedule attached hereto as Schedule C shall constitute the Lease Payment Schedule described in Section 5.1(a) of the Lease.</w:t>
      </w:r>
    </w:p>
    <w:p>
      <w:pPr>
        <w:spacing w:after="0" w:line="173" w:lineRule="exact"/>
        <w:rPr>
          <w:rFonts w:ascii="Arial" w:cs="Arial" w:eastAsia="Arial" w:hAnsi="Arial"/>
          <w:sz w:val="22"/>
          <w:szCs w:val="22"/>
          <w:color w:val="auto"/>
        </w:rPr>
      </w:pPr>
    </w:p>
    <w:p>
      <w:pPr>
        <w:ind w:right="500" w:firstLine="278"/>
        <w:spacing w:after="0" w:line="251" w:lineRule="auto"/>
        <w:tabs>
          <w:tab w:leader="none" w:pos="486" w:val="left"/>
        </w:tabs>
        <w:numPr>
          <w:ilvl w:val="0"/>
          <w:numId w:val="6"/>
        </w:numPr>
        <w:rPr>
          <w:rFonts w:ascii="Arial" w:cs="Arial" w:eastAsia="Arial" w:hAnsi="Arial"/>
          <w:sz w:val="22"/>
          <w:szCs w:val="22"/>
          <w:color w:val="auto"/>
        </w:rPr>
      </w:pPr>
      <w:r>
        <w:rPr>
          <w:rFonts w:ascii="Arial" w:cs="Arial" w:eastAsia="Arial" w:hAnsi="Arial"/>
          <w:sz w:val="22"/>
          <w:szCs w:val="22"/>
          <w:color w:val="auto"/>
        </w:rPr>
        <w:t>The Rent Commencement Date of January 1, 2008 set forth in the Supplemental Agreement between the Parties shall be changed to April 1, 2008.</w:t>
      </w:r>
    </w:p>
    <w:p>
      <w:pPr>
        <w:spacing w:after="0" w:line="173" w:lineRule="exact"/>
        <w:rPr>
          <w:rFonts w:ascii="Arial" w:cs="Arial" w:eastAsia="Arial" w:hAnsi="Arial"/>
          <w:sz w:val="22"/>
          <w:szCs w:val="22"/>
          <w:color w:val="auto"/>
        </w:rPr>
      </w:pPr>
    </w:p>
    <w:p>
      <w:pPr>
        <w:ind w:right="160" w:firstLine="278"/>
        <w:spacing w:after="0"/>
        <w:tabs>
          <w:tab w:leader="none" w:pos="486" w:val="left"/>
        </w:tabs>
        <w:numPr>
          <w:ilvl w:val="0"/>
          <w:numId w:val="6"/>
        </w:numPr>
        <w:rPr>
          <w:rFonts w:ascii="Arial" w:cs="Arial" w:eastAsia="Arial" w:hAnsi="Arial"/>
          <w:sz w:val="22"/>
          <w:szCs w:val="22"/>
          <w:color w:val="auto"/>
        </w:rPr>
      </w:pPr>
      <w:r>
        <w:rPr>
          <w:rFonts w:ascii="Arial" w:cs="Arial" w:eastAsia="Arial" w:hAnsi="Arial"/>
          <w:sz w:val="22"/>
          <w:szCs w:val="22"/>
          <w:color w:val="auto"/>
        </w:rPr>
        <w:t xml:space="preserve">The language </w:t>
      </w:r>
      <w:r>
        <w:rPr>
          <w:rFonts w:ascii="Arial" w:cs="Arial" w:eastAsia="Arial" w:hAnsi="Arial"/>
          <w:sz w:val="22"/>
          <w:szCs w:val="22"/>
          <w:u w:val="single" w:color="auto"/>
          <w:color w:val="auto"/>
        </w:rPr>
        <w:t>xxxx</w:t>
      </w:r>
      <w:r>
        <w:rPr>
          <w:rFonts w:ascii="Arial" w:cs="Arial" w:eastAsia="Arial" w:hAnsi="Arial"/>
          <w:sz w:val="22"/>
          <w:szCs w:val="22"/>
          <w:color w:val="auto"/>
        </w:rPr>
        <w:t xml:space="preserve"> </w:t>
      </w:r>
      <w:r>
        <w:rPr>
          <w:rFonts w:ascii="Arial" w:cs="Arial" w:eastAsia="Arial" w:hAnsi="Arial"/>
          <w:sz w:val="22"/>
          <w:szCs w:val="22"/>
          <w:i w:val="1"/>
          <w:iCs w:val="1"/>
          <w:color w:val="auto"/>
        </w:rPr>
        <w:t>(Material omitted pursuant to a request for confidential treatment under Rule 24b-2 of the Exchange Act</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of 1934. Material filed separately with the Securities and Exchange Commission.) </w:t>
      </w:r>
      <w:r>
        <w:rPr>
          <w:rFonts w:ascii="Arial" w:cs="Arial" w:eastAsia="Arial" w:hAnsi="Arial"/>
          <w:sz w:val="22"/>
          <w:szCs w:val="22"/>
          <w:color w:val="auto"/>
        </w:rPr>
        <w:t>set forth in Section 5.1(a) and (c) of the Lease</w:t>
      </w:r>
      <w:r>
        <w:rPr>
          <w:rFonts w:ascii="Arial" w:cs="Arial" w:eastAsia="Arial" w:hAnsi="Arial"/>
          <w:sz w:val="22"/>
          <w:szCs w:val="22"/>
          <w:i w:val="1"/>
          <w:iCs w:val="1"/>
          <w:color w:val="auto"/>
        </w:rPr>
        <w:t xml:space="preserve"> </w:t>
      </w:r>
      <w:r>
        <w:rPr>
          <w:rFonts w:ascii="Arial" w:cs="Arial" w:eastAsia="Arial" w:hAnsi="Arial"/>
          <w:sz w:val="22"/>
          <w:szCs w:val="22"/>
          <w:color w:val="auto"/>
        </w:rPr>
        <w:t>shall be deleted and the following language shall be set forth in the place thereof:</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22"/>
          <w:szCs w:val="22"/>
          <w:color w:val="auto"/>
        </w:rPr>
        <w:t>"Sixty-One Million Six Hundred and Sixty-One Thousand</w:t>
      </w:r>
    </w:p>
    <w:p>
      <w:pPr>
        <w:spacing w:after="0" w:line="8" w:lineRule="exact"/>
        <w:rPr>
          <w:sz w:val="20"/>
          <w:szCs w:val="20"/>
          <w:color w:val="auto"/>
        </w:rPr>
      </w:pPr>
    </w:p>
    <w:p>
      <w:pPr>
        <w:ind w:left="540"/>
        <w:spacing w:after="0"/>
        <w:rPr>
          <w:sz w:val="20"/>
          <w:szCs w:val="20"/>
          <w:color w:val="auto"/>
        </w:rPr>
      </w:pPr>
      <w:r>
        <w:rPr>
          <w:rFonts w:ascii="Arial" w:cs="Arial" w:eastAsia="Arial" w:hAnsi="Arial"/>
          <w:sz w:val="22"/>
          <w:szCs w:val="22"/>
          <w:color w:val="auto"/>
        </w:rPr>
        <w:t>Six Hundred and Twenty-Six and No/100 Dollars ($61,661,626.00)"</w:t>
      </w:r>
    </w:p>
    <w:p>
      <w:pPr>
        <w:spacing w:after="0" w:line="188" w:lineRule="exact"/>
        <w:rPr>
          <w:sz w:val="20"/>
          <w:szCs w:val="20"/>
          <w:color w:val="auto"/>
        </w:rPr>
      </w:pPr>
    </w:p>
    <w:p>
      <w:pPr>
        <w:ind w:right="20" w:firstLine="278"/>
        <w:spacing w:after="0" w:line="273" w:lineRule="auto"/>
        <w:tabs>
          <w:tab w:leader="none" w:pos="486" w:val="left"/>
        </w:tabs>
        <w:numPr>
          <w:ilvl w:val="0"/>
          <w:numId w:val="7"/>
        </w:numPr>
        <w:rPr>
          <w:rFonts w:ascii="Arial" w:cs="Arial" w:eastAsia="Arial" w:hAnsi="Arial"/>
          <w:sz w:val="19"/>
          <w:szCs w:val="19"/>
          <w:color w:val="auto"/>
        </w:rPr>
      </w:pPr>
      <w:r>
        <w:rPr>
          <w:rFonts w:ascii="Arial" w:cs="Arial" w:eastAsia="Arial" w:hAnsi="Arial"/>
          <w:sz w:val="19"/>
          <w:szCs w:val="19"/>
          <w:color w:val="auto"/>
        </w:rPr>
        <w:t>This Amendment, together with the Supplemental Agreement and the Transaction Documents and the exhibits and schedules referred to herein and therein, constitute the entire agreement between the parties hereto pertaining to the subject matter hereof, and supersede any and all prior oral and written, and all contemporaneous oral, agreements or understandings pertaining thereto. There are no agreements, understandings, restrictions, warranties or representations relating to such subject matter among the Parties other than those set forth herein and in the other documents, exhibits and schedules referred to herein and therein. No verbal agreement or implied covenant shall be held to vary the provisions hereof, any statute, law or custom to the contrary notwithstanding. This Amendment shall not be amended without the prior written consent of each Party hereto and shall only be amended by a written amendment executed by the Parties. Any provision of this Amendment may be waived if, and only if, such waiver is in writing and is duly executed by the Party against whom the waiver is to be enforced. No failure or delay by any Party in exercising any right, power or privilege under this Amendment shall operate as a waiver thereof nor shall any single or partial waiver or exercise thereof preclude the enforcement of any other right, power or privilege.</w:t>
      </w:r>
    </w:p>
    <w:p>
      <w:pPr>
        <w:spacing w:after="0" w:line="156" w:lineRule="exact"/>
        <w:rPr>
          <w:rFonts w:ascii="Arial" w:cs="Arial" w:eastAsia="Arial" w:hAnsi="Arial"/>
          <w:sz w:val="19"/>
          <w:szCs w:val="19"/>
          <w:color w:val="auto"/>
        </w:rPr>
      </w:pPr>
    </w:p>
    <w:p>
      <w:pPr>
        <w:jc w:val="both"/>
        <w:ind w:right="500" w:firstLine="278"/>
        <w:spacing w:after="0" w:line="238" w:lineRule="auto"/>
        <w:tabs>
          <w:tab w:leader="none" w:pos="486" w:val="left"/>
        </w:tabs>
        <w:numPr>
          <w:ilvl w:val="0"/>
          <w:numId w:val="7"/>
        </w:numPr>
        <w:rPr>
          <w:rFonts w:ascii="Arial" w:cs="Arial" w:eastAsia="Arial" w:hAnsi="Arial"/>
          <w:sz w:val="22"/>
          <w:szCs w:val="22"/>
          <w:color w:val="auto"/>
        </w:rPr>
      </w:pPr>
      <w:r>
        <w:rPr>
          <w:rFonts w:ascii="Arial" w:cs="Arial" w:eastAsia="Arial" w:hAnsi="Arial"/>
          <w:sz w:val="22"/>
          <w:szCs w:val="22"/>
          <w:color w:val="auto"/>
        </w:rPr>
        <w:t>This Amendment may be executed in counterparts, each of which so executed will be deemed to be an original and such counterparts together will constitute one and the same agreement. Execution and delivery of this Amendment by exchange of facsimile copies bearing the facsimile signature of a Party shall constitute a valid and binding execution and delivery of this Amendment by such Party.</w:t>
      </w:r>
    </w:p>
    <w:p>
      <w:pPr>
        <w:sectPr>
          <w:pgSz w:w="11900" w:h="16838" w:orient="portrait"/>
          <w:cols w:equalWidth="0" w:num="1">
            <w:col w:w="11400"/>
          </w:cols>
          <w:pgMar w:left="240" w:top="118" w:right="259" w:bottom="0" w:gutter="0" w:footer="0" w:header="0"/>
        </w:sectPr>
      </w:pPr>
    </w:p>
    <w:bookmarkStart w:id="26" w:name="page27"/>
    <w:bookmarkEnd w:id="26"/>
    <w:p>
      <w:pPr>
        <w:ind w:right="80" w:firstLine="278"/>
        <w:spacing w:after="0" w:line="238" w:lineRule="auto"/>
        <w:tabs>
          <w:tab w:leader="none" w:pos="486" w:val="left"/>
        </w:tabs>
        <w:numPr>
          <w:ilvl w:val="0"/>
          <w:numId w:val="8"/>
        </w:numPr>
        <w:rPr>
          <w:rFonts w:ascii="Arial" w:cs="Arial" w:eastAsia="Arial" w:hAnsi="Arial"/>
          <w:sz w:val="22"/>
          <w:szCs w:val="22"/>
          <w:color w:val="auto"/>
        </w:rPr>
      </w:pPr>
      <w:r>
        <w:rPr>
          <w:rFonts w:ascii="Arial" w:cs="Arial" w:eastAsia="Arial" w:hAnsi="Arial"/>
          <w:sz w:val="22"/>
          <w:szCs w:val="22"/>
          <w:color w:val="auto"/>
        </w:rPr>
        <w:t>This Amendment will be governed by and construed in accordance with the laws of the State of Idaho, United States of America, as applied to agreements among Idaho residents entered into and wholly to be performed within the State of Idaho (without reference to any choice or conflicts of laws rules or principles that would require the application of the laws of any other jurisdiction).</w:t>
      </w:r>
    </w:p>
    <w:p>
      <w:pPr>
        <w:spacing w:after="0" w:line="185" w:lineRule="exact"/>
        <w:rPr>
          <w:rFonts w:ascii="Arial" w:cs="Arial" w:eastAsia="Arial" w:hAnsi="Arial"/>
          <w:sz w:val="22"/>
          <w:szCs w:val="22"/>
          <w:color w:val="auto"/>
        </w:rPr>
      </w:pPr>
    </w:p>
    <w:p>
      <w:pPr>
        <w:ind w:firstLine="278"/>
        <w:spacing w:after="0" w:line="238" w:lineRule="auto"/>
        <w:tabs>
          <w:tab w:leader="none" w:pos="540" w:val="left"/>
        </w:tabs>
        <w:numPr>
          <w:ilvl w:val="0"/>
          <w:numId w:val="8"/>
        </w:numPr>
        <w:rPr>
          <w:rFonts w:ascii="Arial" w:cs="Arial" w:eastAsia="Arial" w:hAnsi="Arial"/>
          <w:sz w:val="22"/>
          <w:szCs w:val="22"/>
          <w:color w:val="auto"/>
        </w:rPr>
      </w:pPr>
      <w:r>
        <w:rPr>
          <w:rFonts w:ascii="Arial" w:cs="Arial" w:eastAsia="Arial" w:hAnsi="Arial"/>
          <w:sz w:val="22"/>
          <w:szCs w:val="22"/>
          <w:color w:val="auto"/>
        </w:rPr>
        <w:t>The Parties hereby agree that claims, disputes or controversies of whatever nature, arising out of, in connection with, or in relation to the interpretation, performance or breach of this Amendment (or any other agreement contemplated by or related to this Amendment), shall be resolved in accordance with the dispute resolution procedures set forth in the Company Operating Agreement.</w:t>
      </w:r>
    </w:p>
    <w:p>
      <w:pPr>
        <w:spacing w:after="0" w:line="185" w:lineRule="exact"/>
        <w:rPr>
          <w:sz w:val="20"/>
          <w:szCs w:val="20"/>
          <w:color w:val="auto"/>
        </w:rPr>
      </w:pPr>
    </w:p>
    <w:p>
      <w:pPr>
        <w:ind w:left="280"/>
        <w:spacing w:after="0"/>
        <w:rPr>
          <w:sz w:val="20"/>
          <w:szCs w:val="20"/>
          <w:color w:val="auto"/>
        </w:rPr>
      </w:pPr>
      <w:r>
        <w:rPr>
          <w:rFonts w:ascii="Arial" w:cs="Arial" w:eastAsia="Arial" w:hAnsi="Arial"/>
          <w:sz w:val="22"/>
          <w:szCs w:val="22"/>
          <w:color w:val="auto"/>
        </w:rPr>
        <w:t>IN WITNESS WHEREOF the Parties hereto have executed this Agreement as of the date first set forth above.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PHOTRONICS, INC., a Connecticut corporation</w:t>
      </w:r>
    </w:p>
    <w:p>
      <w:pPr>
        <w:spacing w:after="0" w:line="206" w:lineRule="exact"/>
        <w:rPr>
          <w:sz w:val="20"/>
          <w:szCs w:val="20"/>
          <w:color w:val="auto"/>
        </w:rPr>
      </w:pPr>
    </w:p>
    <w:p>
      <w:pPr>
        <w:ind w:left="20"/>
        <w:spacing w:after="0"/>
        <w:rPr>
          <w:sz w:val="20"/>
          <w:szCs w:val="20"/>
          <w:color w:val="auto"/>
        </w:rPr>
      </w:pPr>
      <w:r>
        <w:rPr>
          <w:rFonts w:ascii="Arial" w:cs="Arial" w:eastAsia="Arial" w:hAnsi="Arial"/>
          <w:sz w:val="22"/>
          <w:szCs w:val="22"/>
          <w:color w:val="auto"/>
        </w:rPr>
        <w:t>By: /s/ MICHAEL J. LUTTATI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73660</wp:posOffset>
            </wp:positionV>
            <wp:extent cx="1522095"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522095" cy="21590"/>
                    </a:xfrm>
                    <a:prstGeom prst="rect">
                      <a:avLst/>
                    </a:prstGeom>
                    <a:noFill/>
                  </pic:spPr>
                </pic:pic>
              </a:graphicData>
            </a:graphic>
          </wp:anchor>
        </w:drawing>
      </w:r>
    </w:p>
    <w:p>
      <w:pPr>
        <w:spacing w:after="0" w:line="213" w:lineRule="exact"/>
        <w:rPr>
          <w:sz w:val="20"/>
          <w:szCs w:val="20"/>
          <w:color w:val="auto"/>
        </w:rPr>
      </w:pPr>
    </w:p>
    <w:p>
      <w:pPr>
        <w:jc w:val="center"/>
        <w:ind w:right="8160"/>
        <w:spacing w:after="0"/>
        <w:rPr>
          <w:sz w:val="20"/>
          <w:szCs w:val="20"/>
          <w:color w:val="auto"/>
        </w:rPr>
      </w:pPr>
      <w:r>
        <w:rPr>
          <w:rFonts w:ascii="Arial" w:cs="Arial" w:eastAsia="Arial" w:hAnsi="Arial"/>
          <w:sz w:val="22"/>
          <w:szCs w:val="22"/>
          <w:color w:val="auto"/>
        </w:rPr>
        <w:t>Michael J. Luttati</w:t>
      </w:r>
    </w:p>
    <w:p>
      <w:pPr>
        <w:spacing w:after="0" w:line="8" w:lineRule="exact"/>
        <w:rPr>
          <w:sz w:val="20"/>
          <w:szCs w:val="20"/>
          <w:color w:val="auto"/>
        </w:rPr>
      </w:pPr>
    </w:p>
    <w:p>
      <w:pPr>
        <w:jc w:val="center"/>
        <w:ind w:right="816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MICRON TECHNOLOGY, INC., a Delaware corporation</w:t>
      </w:r>
    </w:p>
    <w:p>
      <w:pPr>
        <w:spacing w:after="0" w:line="206" w:lineRule="exact"/>
        <w:rPr>
          <w:sz w:val="20"/>
          <w:szCs w:val="20"/>
          <w:color w:val="auto"/>
        </w:rPr>
      </w:pPr>
    </w:p>
    <w:p>
      <w:pPr>
        <w:ind w:left="20"/>
        <w:spacing w:after="0"/>
        <w:tabs>
          <w:tab w:leader="none" w:pos="8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D. MARK DURCAN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73660</wp:posOffset>
            </wp:positionV>
            <wp:extent cx="202819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028190" cy="21590"/>
                    </a:xfrm>
                    <a:prstGeom prst="rect">
                      <a:avLst/>
                    </a:prstGeom>
                    <a:noFill/>
                  </pic:spPr>
                </pic:pic>
              </a:graphicData>
            </a:graphic>
          </wp:anchor>
        </w:drawing>
      </w:r>
    </w:p>
    <w:p>
      <w:pPr>
        <w:spacing w:after="0" w:line="213" w:lineRule="exact"/>
        <w:rPr>
          <w:sz w:val="20"/>
          <w:szCs w:val="20"/>
          <w:color w:val="auto"/>
        </w:rPr>
      </w:pPr>
    </w:p>
    <w:p>
      <w:pPr>
        <w:jc w:val="center"/>
        <w:ind w:right="7360"/>
        <w:spacing w:after="0"/>
        <w:rPr>
          <w:sz w:val="20"/>
          <w:szCs w:val="20"/>
          <w:color w:val="auto"/>
        </w:rPr>
      </w:pPr>
      <w:r>
        <w:rPr>
          <w:rFonts w:ascii="Arial" w:cs="Arial" w:eastAsia="Arial" w:hAnsi="Arial"/>
          <w:sz w:val="22"/>
          <w:szCs w:val="22"/>
          <w:color w:val="auto"/>
        </w:rPr>
        <w:t>D. Mark Durcan</w:t>
      </w:r>
    </w:p>
    <w:p>
      <w:pPr>
        <w:spacing w:after="0" w:line="8" w:lineRule="exact"/>
        <w:rPr>
          <w:sz w:val="20"/>
          <w:szCs w:val="20"/>
          <w:color w:val="auto"/>
        </w:rPr>
      </w:pPr>
    </w:p>
    <w:p>
      <w:pPr>
        <w:jc w:val="center"/>
        <w:ind w:right="7360"/>
        <w:spacing w:after="0"/>
        <w:rPr>
          <w:sz w:val="20"/>
          <w:szCs w:val="20"/>
          <w:color w:val="auto"/>
        </w:rPr>
      </w:pPr>
      <w:r>
        <w:rPr>
          <w:rFonts w:ascii="Arial" w:cs="Arial" w:eastAsia="Arial" w:hAnsi="Arial"/>
          <w:sz w:val="22"/>
          <w:szCs w:val="22"/>
          <w:color w:val="auto"/>
        </w:rPr>
        <w:t>President &amp; Chief Executive Officer</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REVIEWED</w:t>
      </w:r>
    </w:p>
    <w:p>
      <w:pPr>
        <w:spacing w:after="0" w:line="238" w:lineRule="auto"/>
        <w:rPr>
          <w:sz w:val="20"/>
          <w:szCs w:val="20"/>
          <w:color w:val="auto"/>
        </w:rPr>
      </w:pPr>
      <w:r>
        <w:rPr>
          <w:rFonts w:ascii="Arial" w:cs="Arial" w:eastAsia="Arial" w:hAnsi="Arial"/>
          <w:sz w:val="22"/>
          <w:szCs w:val="22"/>
          <w:color w:val="auto"/>
        </w:rPr>
        <w:t>MTI Legal</w:t>
      </w:r>
    </w:p>
    <w:p>
      <w:pPr>
        <w:spacing w:after="0"/>
        <w:rPr>
          <w:sz w:val="20"/>
          <w:szCs w:val="20"/>
          <w:color w:val="auto"/>
        </w:rPr>
      </w:pPr>
      <w:r>
        <w:rPr>
          <w:rFonts w:ascii="Arial" w:cs="Arial" w:eastAsia="Arial" w:hAnsi="Arial"/>
          <w:sz w:val="22"/>
          <w:szCs w:val="22"/>
          <w:u w:val="single" w:color="auto"/>
          <w:color w:val="auto"/>
        </w:rPr>
        <w:t>J.G.</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u w:val="single" w:color="auto"/>
          <w:color w:val="auto"/>
        </w:rPr>
        <w:t>Schedule A</w:t>
      </w:r>
    </w:p>
    <w:p>
      <w:pPr>
        <w:spacing w:after="0" w:line="212" w:lineRule="exact"/>
        <w:rPr>
          <w:sz w:val="20"/>
          <w:szCs w:val="20"/>
          <w:color w:val="auto"/>
        </w:rPr>
      </w:pPr>
    </w:p>
    <w:p>
      <w:pPr>
        <w:ind w:right="180" w:firstLine="8"/>
        <w:spacing w:after="0" w:line="251" w:lineRule="auto"/>
        <w:tabs>
          <w:tab w:leader="none" w:pos="486" w:val="left"/>
        </w:tabs>
        <w:numPr>
          <w:ilvl w:val="0"/>
          <w:numId w:val="9"/>
        </w:numPr>
        <w:rPr>
          <w:rFonts w:ascii="Arial" w:cs="Arial" w:eastAsia="Arial" w:hAnsi="Arial"/>
          <w:sz w:val="22"/>
          <w:szCs w:val="22"/>
          <w:color w:val="auto"/>
        </w:rPr>
      </w:pPr>
      <w:r>
        <w:rPr>
          <w:rFonts w:ascii="Arial" w:cs="Arial" w:eastAsia="Arial" w:hAnsi="Arial"/>
          <w:sz w:val="22"/>
          <w:szCs w:val="22"/>
          <w:i w:val="1"/>
          <w:iCs w:val="1"/>
          <w:color w:val="auto"/>
        </w:rPr>
        <w:t>(Material omitted pursuant to a request for confidential treatment under Rule 24b-2 of the Exchange Act of 1934. Material filed separately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u w:val="single" w:color="auto"/>
          <w:color w:val="auto"/>
        </w:rPr>
        <w:t>Schedule B</w:t>
      </w:r>
    </w:p>
    <w:p>
      <w:pPr>
        <w:spacing w:after="0" w:line="212" w:lineRule="exact"/>
        <w:rPr>
          <w:sz w:val="20"/>
          <w:szCs w:val="20"/>
          <w:color w:val="auto"/>
        </w:rPr>
      </w:pPr>
    </w:p>
    <w:p>
      <w:pPr>
        <w:ind w:right="180" w:firstLine="8"/>
        <w:spacing w:after="0" w:line="251" w:lineRule="auto"/>
        <w:tabs>
          <w:tab w:leader="none" w:pos="486" w:val="left"/>
        </w:tabs>
        <w:numPr>
          <w:ilvl w:val="0"/>
          <w:numId w:val="10"/>
        </w:numPr>
        <w:rPr>
          <w:rFonts w:ascii="Arial" w:cs="Arial" w:eastAsia="Arial" w:hAnsi="Arial"/>
          <w:sz w:val="22"/>
          <w:szCs w:val="22"/>
          <w:color w:val="auto"/>
        </w:rPr>
      </w:pPr>
      <w:r>
        <w:rPr>
          <w:rFonts w:ascii="Arial" w:cs="Arial" w:eastAsia="Arial" w:hAnsi="Arial"/>
          <w:sz w:val="22"/>
          <w:szCs w:val="22"/>
          <w:i w:val="1"/>
          <w:iCs w:val="1"/>
          <w:color w:val="auto"/>
        </w:rPr>
        <w:t>(Material omitted pursuant to a request for confidential treatment under Rule 24b-2 of the Exchange Act of 1934. Material filed separately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u w:val="single" w:color="auto"/>
          <w:color w:val="auto"/>
        </w:rPr>
        <w:t>Schedule C</w:t>
      </w:r>
    </w:p>
    <w:p>
      <w:pPr>
        <w:spacing w:after="0" w:line="212" w:lineRule="exact"/>
        <w:rPr>
          <w:sz w:val="20"/>
          <w:szCs w:val="20"/>
          <w:color w:val="auto"/>
        </w:rPr>
      </w:pPr>
    </w:p>
    <w:p>
      <w:pPr>
        <w:ind w:right="180" w:firstLine="8"/>
        <w:spacing w:after="0" w:line="251" w:lineRule="auto"/>
        <w:tabs>
          <w:tab w:leader="none" w:pos="486" w:val="left"/>
        </w:tabs>
        <w:numPr>
          <w:ilvl w:val="0"/>
          <w:numId w:val="11"/>
        </w:numPr>
        <w:rPr>
          <w:rFonts w:ascii="Arial" w:cs="Arial" w:eastAsia="Arial" w:hAnsi="Arial"/>
          <w:sz w:val="22"/>
          <w:szCs w:val="22"/>
          <w:color w:val="auto"/>
        </w:rPr>
      </w:pPr>
      <w:r>
        <w:rPr>
          <w:rFonts w:ascii="Arial" w:cs="Arial" w:eastAsia="Arial" w:hAnsi="Arial"/>
          <w:sz w:val="22"/>
          <w:szCs w:val="22"/>
          <w:i w:val="1"/>
          <w:iCs w:val="1"/>
          <w:color w:val="auto"/>
        </w:rPr>
        <w:t>(Material omitted pursuant to a request for confidential treatment under Rule 24b-2 of the Exchange Act of 1934. Material filed separately with the Securities and Exchange Commission.)</w:t>
      </w:r>
    </w:p>
    <w:p>
      <w:pPr>
        <w:sectPr>
          <w:pgSz w:w="11900" w:h="16838" w:orient="portrait"/>
          <w:cols w:equalWidth="0" w:num="1">
            <w:col w:w="11280"/>
          </w:cols>
          <w:pgMar w:left="240" w:top="118" w:right="379" w:bottom="1440" w:gutter="0" w:footer="0" w:header="0"/>
        </w:sectPr>
      </w:pPr>
    </w:p>
    <w:bookmarkStart w:id="27" w:name="page28"/>
    <w:bookmarkEnd w:id="27"/>
    <w:p>
      <w:pPr>
        <w:spacing w:after="0"/>
        <w:rPr>
          <w:sz w:val="20"/>
          <w:szCs w:val="20"/>
          <w:color w:val="auto"/>
        </w:rPr>
      </w:pPr>
      <w:r>
        <w:rPr>
          <w:rFonts w:ascii="Arial" w:cs="Arial" w:eastAsia="Arial" w:hAnsi="Arial"/>
          <w:sz w:val="22"/>
          <w:szCs w:val="22"/>
          <w:color w:val="auto"/>
        </w:rPr>
        <w:t>Exhibit 10.30</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280"/>
        <w:spacing w:after="0"/>
        <w:rPr>
          <w:sz w:val="20"/>
          <w:szCs w:val="20"/>
          <w:color w:val="auto"/>
        </w:rPr>
      </w:pPr>
      <w:r>
        <w:rPr>
          <w:rFonts w:ascii="Arial" w:cs="Arial" w:eastAsia="Arial" w:hAnsi="Arial"/>
          <w:sz w:val="22"/>
          <w:szCs w:val="22"/>
          <w:b w:val="1"/>
          <w:bCs w:val="1"/>
          <w:color w:val="auto"/>
        </w:rPr>
        <w:t>SEPARATION AND CONSULTING AGREEMENT</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Photronics, Inc., its subsidiaries and affiliates (the "</w:t>
      </w:r>
      <w:r>
        <w:rPr>
          <w:rFonts w:ascii="Arial" w:cs="Arial" w:eastAsia="Arial" w:hAnsi="Arial"/>
          <w:sz w:val="22"/>
          <w:szCs w:val="22"/>
          <w:u w:val="single" w:color="auto"/>
          <w:color w:val="auto"/>
        </w:rPr>
        <w:t>Company</w:t>
      </w:r>
      <w:r>
        <w:rPr>
          <w:rFonts w:ascii="Arial" w:cs="Arial" w:eastAsia="Arial" w:hAnsi="Arial"/>
          <w:sz w:val="22"/>
          <w:szCs w:val="22"/>
          <w:color w:val="auto"/>
        </w:rPr>
        <w:t>") and I, Michael J. Luttati, agree as follows:</w:t>
      </w:r>
    </w:p>
    <w:p>
      <w:pPr>
        <w:spacing w:after="0" w:line="206" w:lineRule="exact"/>
        <w:rPr>
          <w:sz w:val="20"/>
          <w:szCs w:val="20"/>
          <w:color w:val="auto"/>
        </w:rPr>
      </w:pPr>
    </w:p>
    <w:p>
      <w:pPr>
        <w:jc w:val="both"/>
        <w:ind w:right="200" w:firstLine="8"/>
        <w:spacing w:after="0" w:line="287" w:lineRule="auto"/>
        <w:tabs>
          <w:tab w:leader="none" w:pos="270" w:val="left"/>
        </w:tabs>
        <w:numPr>
          <w:ilvl w:val="0"/>
          <w:numId w:val="12"/>
        </w:numPr>
        <w:rPr>
          <w:rFonts w:ascii="Arial" w:cs="Arial" w:eastAsia="Arial" w:hAnsi="Arial"/>
          <w:sz w:val="19"/>
          <w:szCs w:val="19"/>
          <w:color w:val="auto"/>
        </w:rPr>
      </w:pPr>
      <w:r>
        <w:rPr>
          <w:rFonts w:ascii="Arial" w:cs="Arial" w:eastAsia="Arial" w:hAnsi="Arial"/>
          <w:sz w:val="19"/>
          <w:szCs w:val="19"/>
          <w:u w:val="single" w:color="auto"/>
          <w:color w:val="auto"/>
        </w:rPr>
        <w:t>Resignation of Employment, Directorship.</w:t>
      </w:r>
      <w:r>
        <w:rPr>
          <w:rFonts w:ascii="Arial" w:cs="Arial" w:eastAsia="Arial" w:hAnsi="Arial"/>
          <w:sz w:val="19"/>
          <w:szCs w:val="19"/>
          <w:color w:val="auto"/>
        </w:rPr>
        <w:t xml:space="preserve"> I hereby resign my employment and all positions as an officer and director with the Company effective as of July 21, 2008 (the "</w:t>
      </w:r>
      <w:r>
        <w:rPr>
          <w:rFonts w:ascii="Arial" w:cs="Arial" w:eastAsia="Arial" w:hAnsi="Arial"/>
          <w:sz w:val="19"/>
          <w:szCs w:val="19"/>
          <w:u w:val="single" w:color="auto"/>
          <w:color w:val="auto"/>
        </w:rPr>
        <w:t>Effective Date</w:t>
      </w:r>
      <w:r>
        <w:rPr>
          <w:rFonts w:ascii="Arial" w:cs="Arial" w:eastAsia="Arial" w:hAnsi="Arial"/>
          <w:sz w:val="19"/>
          <w:szCs w:val="19"/>
          <w:color w:val="auto"/>
        </w:rPr>
        <w:t>"). On the Company's next regular pay day, I will receive my last pay check. My resignation of employment will be treated as a termination "without Cause" for purposes of Section 5(d) of the Employment Agreement between the Company and me, dated May 12, 2005 (the "</w:t>
      </w:r>
      <w:r>
        <w:rPr>
          <w:rFonts w:ascii="Arial" w:cs="Arial" w:eastAsia="Arial" w:hAnsi="Arial"/>
          <w:sz w:val="19"/>
          <w:szCs w:val="19"/>
          <w:u w:val="single" w:color="auto"/>
          <w:color w:val="auto"/>
        </w:rPr>
        <w:t>Employment Agreement</w:t>
      </w:r>
      <w:r>
        <w:rPr>
          <w:rFonts w:ascii="Arial" w:cs="Arial" w:eastAsia="Arial" w:hAnsi="Arial"/>
          <w:sz w:val="19"/>
          <w:szCs w:val="19"/>
          <w:color w:val="auto"/>
        </w:rPr>
        <w:t>").</w:t>
      </w:r>
    </w:p>
    <w:p>
      <w:pPr>
        <w:spacing w:after="0" w:line="143" w:lineRule="exact"/>
        <w:rPr>
          <w:rFonts w:ascii="Arial" w:cs="Arial" w:eastAsia="Arial" w:hAnsi="Arial"/>
          <w:sz w:val="19"/>
          <w:szCs w:val="19"/>
          <w:color w:val="auto"/>
        </w:rPr>
      </w:pPr>
    </w:p>
    <w:p>
      <w:pPr>
        <w:ind w:firstLine="8"/>
        <w:spacing w:after="0" w:line="238" w:lineRule="auto"/>
        <w:tabs>
          <w:tab w:leader="none" w:pos="270" w:val="left"/>
        </w:tabs>
        <w:numPr>
          <w:ilvl w:val="0"/>
          <w:numId w:val="12"/>
        </w:numPr>
        <w:rPr>
          <w:rFonts w:ascii="Arial" w:cs="Arial" w:eastAsia="Arial" w:hAnsi="Arial"/>
          <w:sz w:val="22"/>
          <w:szCs w:val="22"/>
          <w:color w:val="auto"/>
        </w:rPr>
      </w:pPr>
      <w:r>
        <w:rPr>
          <w:rFonts w:ascii="Arial" w:cs="Arial" w:eastAsia="Arial" w:hAnsi="Arial"/>
          <w:sz w:val="22"/>
          <w:szCs w:val="22"/>
          <w:u w:val="single" w:color="auto"/>
          <w:color w:val="auto"/>
        </w:rPr>
        <w:t>Separation Benefits</w:t>
      </w:r>
      <w:r>
        <w:rPr>
          <w:rFonts w:ascii="Arial" w:cs="Arial" w:eastAsia="Arial" w:hAnsi="Arial"/>
          <w:sz w:val="22"/>
          <w:szCs w:val="22"/>
          <w:color w:val="auto"/>
        </w:rPr>
        <w:t>. In consideration for my execution of this Agreement and the promises I made herein, and provided that I do not revoke the Agreement during the Revocation Period (as defined in Section 11 below) or otherwise give the Company reason to stop such payments and benefits under Section 9 below, the Company will provide the following (but will not provide any other benefits or payments to me):</w:t>
      </w:r>
    </w:p>
    <w:p>
      <w:pPr>
        <w:spacing w:after="0" w:line="185" w:lineRule="exact"/>
        <w:rPr>
          <w:rFonts w:ascii="Arial" w:cs="Arial" w:eastAsia="Arial" w:hAnsi="Arial"/>
          <w:sz w:val="22"/>
          <w:szCs w:val="22"/>
          <w:color w:val="auto"/>
        </w:rPr>
      </w:pPr>
    </w:p>
    <w:p>
      <w:pPr>
        <w:ind w:right="100" w:firstLine="548"/>
        <w:spacing w:after="0" w:line="246" w:lineRule="auto"/>
        <w:tabs>
          <w:tab w:leader="none" w:pos="888" w:val="left"/>
        </w:tabs>
        <w:numPr>
          <w:ilvl w:val="1"/>
          <w:numId w:val="12"/>
        </w:numPr>
        <w:rPr>
          <w:rFonts w:ascii="Arial" w:cs="Arial" w:eastAsia="Arial" w:hAnsi="Arial"/>
          <w:sz w:val="21"/>
          <w:szCs w:val="21"/>
          <w:color w:val="auto"/>
        </w:rPr>
      </w:pPr>
      <w:r>
        <w:rPr>
          <w:rFonts w:ascii="Arial" w:cs="Arial" w:eastAsia="Arial" w:hAnsi="Arial"/>
          <w:sz w:val="21"/>
          <w:szCs w:val="21"/>
          <w:color w:val="auto"/>
        </w:rPr>
        <w:t>Pay me, during the period commencing on the Effective Date and ending on the six-month anniversary of the Effective Date (the "</w:t>
      </w:r>
      <w:r>
        <w:rPr>
          <w:rFonts w:ascii="Arial" w:cs="Arial" w:eastAsia="Arial" w:hAnsi="Arial"/>
          <w:sz w:val="21"/>
          <w:szCs w:val="21"/>
          <w:u w:val="single" w:color="auto"/>
          <w:color w:val="auto"/>
        </w:rPr>
        <w:t>Initial Continuation Period</w:t>
      </w:r>
      <w:r>
        <w:rPr>
          <w:rFonts w:ascii="Arial" w:cs="Arial" w:eastAsia="Arial" w:hAnsi="Arial"/>
          <w:sz w:val="21"/>
          <w:szCs w:val="21"/>
          <w:color w:val="auto"/>
        </w:rPr>
        <w:t>"), an amount equal to the lesser of (i) my base salary (at the current rate of $513,000 per annum) ("</w:t>
      </w:r>
      <w:r>
        <w:rPr>
          <w:rFonts w:ascii="Arial" w:cs="Arial" w:eastAsia="Arial" w:hAnsi="Arial"/>
          <w:sz w:val="21"/>
          <w:szCs w:val="21"/>
          <w:u w:val="single" w:color="auto"/>
          <w:color w:val="auto"/>
        </w:rPr>
        <w:t>Base Salary</w:t>
      </w:r>
      <w:r>
        <w:rPr>
          <w:rFonts w:ascii="Arial" w:cs="Arial" w:eastAsia="Arial" w:hAnsi="Arial"/>
          <w:sz w:val="21"/>
          <w:szCs w:val="21"/>
          <w:color w:val="auto"/>
        </w:rPr>
        <w:t>") that I would have received had I remained employed through expiration of the Initial Continuation Period and (ii) $460,000 (the "</w:t>
      </w:r>
      <w:r>
        <w:rPr>
          <w:rFonts w:ascii="Arial" w:cs="Arial" w:eastAsia="Arial" w:hAnsi="Arial"/>
          <w:sz w:val="21"/>
          <w:szCs w:val="21"/>
          <w:u w:val="single" w:color="auto"/>
          <w:color w:val="auto"/>
        </w:rPr>
        <w:t>Initial Severance</w:t>
      </w:r>
      <w:r>
        <w:rPr>
          <w:rFonts w:ascii="Arial" w:cs="Arial" w:eastAsia="Arial" w:hAnsi="Arial"/>
          <w:sz w:val="21"/>
          <w:szCs w:val="21"/>
          <w:color w:val="auto"/>
        </w:rPr>
        <w:t>"). Payment of the Initial Severance will commence in equal installments immediately following the expiration of the Revocation Period through the remainder of the Initial Continuation Period in accordance with the Company's payroll practices in effect on the Effective Date. The Initial Severance is intended to constitute a "</w:t>
      </w:r>
      <w:r>
        <w:rPr>
          <w:rFonts w:ascii="Arial" w:cs="Arial" w:eastAsia="Arial" w:hAnsi="Arial"/>
          <w:sz w:val="21"/>
          <w:szCs w:val="21"/>
          <w:u w:val="single" w:color="auto"/>
          <w:color w:val="auto"/>
        </w:rPr>
        <w:t>separation pay plan</w:t>
      </w:r>
      <w:r>
        <w:rPr>
          <w:rFonts w:ascii="Arial" w:cs="Arial" w:eastAsia="Arial" w:hAnsi="Arial"/>
          <w:sz w:val="21"/>
          <w:szCs w:val="21"/>
          <w:color w:val="auto"/>
        </w:rPr>
        <w:t>" for purposes of Section 409A of the Internal Revenue Code of 1986, as amended, and applicable regulations and guidance promulgated thereunder ("</w:t>
      </w:r>
      <w:r>
        <w:rPr>
          <w:rFonts w:ascii="Arial" w:cs="Arial" w:eastAsia="Arial" w:hAnsi="Arial"/>
          <w:sz w:val="21"/>
          <w:szCs w:val="21"/>
          <w:u w:val="single" w:color="auto"/>
          <w:color w:val="auto"/>
        </w:rPr>
        <w:t>Code Section 409A</w:t>
      </w:r>
      <w:r>
        <w:rPr>
          <w:rFonts w:ascii="Arial" w:cs="Arial" w:eastAsia="Arial" w:hAnsi="Arial"/>
          <w:sz w:val="21"/>
          <w:szCs w:val="21"/>
          <w:color w:val="auto"/>
        </w:rPr>
        <w:t>").</w:t>
      </w:r>
    </w:p>
    <w:p>
      <w:pPr>
        <w:spacing w:after="0" w:line="180" w:lineRule="exact"/>
        <w:rPr>
          <w:rFonts w:ascii="Arial" w:cs="Arial" w:eastAsia="Arial" w:hAnsi="Arial"/>
          <w:sz w:val="21"/>
          <w:szCs w:val="21"/>
          <w:color w:val="auto"/>
        </w:rPr>
      </w:pPr>
    </w:p>
    <w:p>
      <w:pPr>
        <w:ind w:right="80" w:firstLine="548"/>
        <w:spacing w:after="0" w:line="270" w:lineRule="auto"/>
        <w:tabs>
          <w:tab w:leader="none" w:pos="900" w:val="left"/>
        </w:tabs>
        <w:numPr>
          <w:ilvl w:val="1"/>
          <w:numId w:val="12"/>
        </w:numPr>
        <w:rPr>
          <w:rFonts w:ascii="Arial" w:cs="Arial" w:eastAsia="Arial" w:hAnsi="Arial"/>
          <w:sz w:val="19"/>
          <w:szCs w:val="19"/>
          <w:color w:val="auto"/>
        </w:rPr>
      </w:pPr>
      <w:r>
        <w:rPr>
          <w:rFonts w:ascii="Arial" w:cs="Arial" w:eastAsia="Arial" w:hAnsi="Arial"/>
          <w:sz w:val="19"/>
          <w:szCs w:val="19"/>
          <w:color w:val="auto"/>
        </w:rPr>
        <w:t>Pay me, during the period commencing on the first day following the expiration of the Initial Continuation Period and ending on the 18-month anniversary of the Effective Date (the "</w:t>
      </w:r>
      <w:r>
        <w:rPr>
          <w:rFonts w:ascii="Arial" w:cs="Arial" w:eastAsia="Arial" w:hAnsi="Arial"/>
          <w:sz w:val="19"/>
          <w:szCs w:val="19"/>
          <w:u w:val="single" w:color="auto"/>
          <w:color w:val="auto"/>
        </w:rPr>
        <w:t>Additional Continuation Period</w:t>
      </w:r>
      <w:r>
        <w:rPr>
          <w:rFonts w:ascii="Arial" w:cs="Arial" w:eastAsia="Arial" w:hAnsi="Arial"/>
          <w:sz w:val="19"/>
          <w:szCs w:val="19"/>
          <w:color w:val="auto"/>
        </w:rPr>
        <w:t>", and together with the Initial Continuation Period, the "</w:t>
      </w:r>
      <w:r>
        <w:rPr>
          <w:rFonts w:ascii="Arial" w:cs="Arial" w:eastAsia="Arial" w:hAnsi="Arial"/>
          <w:sz w:val="19"/>
          <w:szCs w:val="19"/>
          <w:u w:val="single" w:color="auto"/>
          <w:color w:val="auto"/>
        </w:rPr>
        <w:t>Continuation Period</w:t>
      </w:r>
      <w:r>
        <w:rPr>
          <w:rFonts w:ascii="Arial" w:cs="Arial" w:eastAsia="Arial" w:hAnsi="Arial"/>
          <w:sz w:val="19"/>
          <w:szCs w:val="19"/>
          <w:color w:val="auto"/>
        </w:rPr>
        <w:t>"), an amount equal to the difference between (i) the Base Salary that I would have received had I remained employed through expiration of the Additional Continuation Period and (ii) the Initial Severance (the "</w:t>
      </w:r>
      <w:r>
        <w:rPr>
          <w:rFonts w:ascii="Arial" w:cs="Arial" w:eastAsia="Arial" w:hAnsi="Arial"/>
          <w:sz w:val="19"/>
          <w:szCs w:val="19"/>
          <w:u w:val="single" w:color="auto"/>
          <w:color w:val="auto"/>
        </w:rPr>
        <w:t>Additional Severance</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event a "</w:t>
      </w:r>
      <w:r>
        <w:rPr>
          <w:rFonts w:ascii="Arial" w:cs="Arial" w:eastAsia="Arial" w:hAnsi="Arial"/>
          <w:sz w:val="19"/>
          <w:szCs w:val="19"/>
          <w:u w:val="single" w:color="auto"/>
          <w:color w:val="auto"/>
        </w:rPr>
        <w:t>Change of Control</w:t>
      </w:r>
      <w:r>
        <w:rPr>
          <w:rFonts w:ascii="Arial" w:cs="Arial" w:eastAsia="Arial" w:hAnsi="Arial"/>
          <w:sz w:val="19"/>
          <w:szCs w:val="19"/>
          <w:color w:val="auto"/>
        </w:rPr>
        <w:t>" of the Company (as such term is defined in Section 5(e)</w:t>
      </w:r>
    </w:p>
    <w:p>
      <w:pPr>
        <w:spacing w:after="0" w:line="4" w:lineRule="exact"/>
        <w:rPr>
          <w:rFonts w:ascii="Arial" w:cs="Arial" w:eastAsia="Arial" w:hAnsi="Arial"/>
          <w:sz w:val="19"/>
          <w:szCs w:val="19"/>
          <w:color w:val="auto"/>
        </w:rPr>
      </w:pPr>
    </w:p>
    <w:p>
      <w:pPr>
        <w:ind w:right="40"/>
        <w:spacing w:after="0" w:line="233" w:lineRule="auto"/>
        <w:rPr>
          <w:rFonts w:ascii="Arial" w:cs="Arial" w:eastAsia="Arial" w:hAnsi="Arial"/>
          <w:sz w:val="19"/>
          <w:szCs w:val="19"/>
          <w:color w:val="auto"/>
        </w:rPr>
      </w:pPr>
      <w:r>
        <w:rPr>
          <w:rFonts w:ascii="Arial" w:cs="Arial" w:eastAsia="Arial" w:hAnsi="Arial"/>
          <w:sz w:val="22"/>
          <w:szCs w:val="22"/>
          <w:color w:val="auto"/>
        </w:rPr>
        <w:t>(i) of the Employment Agreement) occurs prior to the expiration of the Consulting Period (as defined in Section 5 below), the Additional Continuation Period will instead expire on the second anniversary of the Effective Date. The Additional Severance will be paid in equal installments through expiration of the Additional Continuation Period in accordance with the Company's payroll practices in effect on the Effective Date.</w:t>
      </w:r>
    </w:p>
    <w:p>
      <w:pPr>
        <w:spacing w:after="0" w:line="188" w:lineRule="exact"/>
        <w:rPr>
          <w:rFonts w:ascii="Arial" w:cs="Arial" w:eastAsia="Arial" w:hAnsi="Arial"/>
          <w:sz w:val="19"/>
          <w:szCs w:val="19"/>
          <w:color w:val="auto"/>
        </w:rPr>
      </w:pPr>
    </w:p>
    <w:p>
      <w:pPr>
        <w:ind w:left="900" w:hanging="352"/>
        <w:spacing w:after="0"/>
        <w:tabs>
          <w:tab w:leader="none" w:pos="900" w:val="left"/>
        </w:tabs>
        <w:numPr>
          <w:ilvl w:val="1"/>
          <w:numId w:val="12"/>
        </w:numPr>
        <w:rPr>
          <w:rFonts w:ascii="Arial" w:cs="Arial" w:eastAsia="Arial" w:hAnsi="Arial"/>
          <w:sz w:val="19"/>
          <w:szCs w:val="19"/>
          <w:color w:val="auto"/>
        </w:rPr>
      </w:pPr>
      <w:r>
        <w:rPr>
          <w:rFonts w:ascii="Arial" w:cs="Arial" w:eastAsia="Arial" w:hAnsi="Arial"/>
          <w:sz w:val="19"/>
          <w:szCs w:val="19"/>
          <w:color w:val="auto"/>
        </w:rPr>
        <w:t>Contribute to the cost of my monthly premiums to continue my health and dental insurance coverage under COBRA</w:t>
      </w:r>
    </w:p>
    <w:p>
      <w:pPr>
        <w:spacing w:after="0" w:line="48" w:lineRule="exact"/>
        <w:rPr>
          <w:sz w:val="20"/>
          <w:szCs w:val="20"/>
          <w:color w:val="auto"/>
        </w:rPr>
      </w:pPr>
    </w:p>
    <w:p>
      <w:pPr>
        <w:ind w:right="160"/>
        <w:spacing w:after="0" w:line="197" w:lineRule="auto"/>
        <w:rPr>
          <w:sz w:val="20"/>
          <w:szCs w:val="20"/>
          <w:color w:val="auto"/>
        </w:rPr>
      </w:pPr>
      <w:r>
        <w:rPr>
          <w:rFonts w:ascii="Arial" w:cs="Arial" w:eastAsia="Arial" w:hAnsi="Arial"/>
          <w:sz w:val="22"/>
          <w:szCs w:val="22"/>
          <w:color w:val="auto"/>
        </w:rPr>
        <w:t>during the period commencing on the expiration of the Revocation Period and ending on the 360</w:t>
      </w:r>
      <w:r>
        <w:rPr>
          <w:rFonts w:ascii="Arial" w:cs="Arial" w:eastAsia="Arial" w:hAnsi="Arial"/>
          <w:sz w:val="36"/>
          <w:szCs w:val="36"/>
          <w:color w:val="auto"/>
          <w:vertAlign w:val="superscript"/>
        </w:rPr>
        <w:t>th</w:t>
      </w:r>
      <w:r>
        <w:rPr>
          <w:rFonts w:ascii="Arial" w:cs="Arial" w:eastAsia="Arial" w:hAnsi="Arial"/>
          <w:sz w:val="22"/>
          <w:szCs w:val="22"/>
          <w:color w:val="auto"/>
        </w:rPr>
        <w:t xml:space="preserve"> day following the expiration of the Revocation Period, at the same level it contributes to the premium of active employees.</w:t>
      </w:r>
    </w:p>
    <w:p>
      <w:pPr>
        <w:spacing w:after="0" w:line="186" w:lineRule="exact"/>
        <w:rPr>
          <w:sz w:val="20"/>
          <w:szCs w:val="20"/>
          <w:color w:val="auto"/>
        </w:rPr>
      </w:pPr>
    </w:p>
    <w:p>
      <w:pPr>
        <w:ind w:right="560" w:firstLine="548"/>
        <w:spacing w:after="0" w:line="251" w:lineRule="auto"/>
        <w:tabs>
          <w:tab w:leader="none" w:pos="900" w:val="left"/>
        </w:tabs>
        <w:numPr>
          <w:ilvl w:val="1"/>
          <w:numId w:val="13"/>
        </w:numPr>
        <w:rPr>
          <w:rFonts w:ascii="Arial" w:cs="Arial" w:eastAsia="Arial" w:hAnsi="Arial"/>
          <w:sz w:val="22"/>
          <w:szCs w:val="22"/>
          <w:color w:val="auto"/>
        </w:rPr>
      </w:pPr>
      <w:r>
        <w:rPr>
          <w:rFonts w:ascii="Arial" w:cs="Arial" w:eastAsia="Arial" w:hAnsi="Arial"/>
          <w:sz w:val="22"/>
          <w:szCs w:val="22"/>
          <w:color w:val="auto"/>
        </w:rPr>
        <w:t>Permit me, to the extent permitted by applicable law and the terms of the plan, to retain my Company provided life insurance policy.</w:t>
      </w:r>
    </w:p>
    <w:p>
      <w:pPr>
        <w:spacing w:after="0" w:line="173" w:lineRule="exact"/>
        <w:rPr>
          <w:rFonts w:ascii="Arial" w:cs="Arial" w:eastAsia="Arial" w:hAnsi="Arial"/>
          <w:sz w:val="22"/>
          <w:szCs w:val="22"/>
          <w:color w:val="auto"/>
        </w:rPr>
      </w:pPr>
    </w:p>
    <w:p>
      <w:pPr>
        <w:ind w:left="900" w:hanging="352"/>
        <w:spacing w:after="0"/>
        <w:tabs>
          <w:tab w:leader="none" w:pos="900" w:val="left"/>
        </w:tabs>
        <w:numPr>
          <w:ilvl w:val="1"/>
          <w:numId w:val="13"/>
        </w:numPr>
        <w:rPr>
          <w:rFonts w:ascii="Arial" w:cs="Arial" w:eastAsia="Arial" w:hAnsi="Arial"/>
          <w:sz w:val="19"/>
          <w:szCs w:val="19"/>
          <w:color w:val="auto"/>
        </w:rPr>
      </w:pPr>
      <w:r>
        <w:rPr>
          <w:rFonts w:ascii="Arial" w:cs="Arial" w:eastAsia="Arial" w:hAnsi="Arial"/>
          <w:sz w:val="19"/>
          <w:szCs w:val="19"/>
          <w:color w:val="auto"/>
        </w:rPr>
        <w:t>Permit me to purchase my Company-provided automobile (the "</w:t>
      </w:r>
      <w:r>
        <w:rPr>
          <w:rFonts w:ascii="Arial" w:cs="Arial" w:eastAsia="Arial" w:hAnsi="Arial"/>
          <w:sz w:val="19"/>
          <w:szCs w:val="19"/>
          <w:u w:val="single" w:color="auto"/>
          <w:color w:val="auto"/>
        </w:rPr>
        <w:t>Company Automobile</w:t>
      </w:r>
      <w:r>
        <w:rPr>
          <w:rFonts w:ascii="Arial" w:cs="Arial" w:eastAsia="Arial" w:hAnsi="Arial"/>
          <w:sz w:val="19"/>
          <w:szCs w:val="19"/>
          <w:color w:val="auto"/>
        </w:rPr>
        <w:t>") at the book value of $24,429.</w:t>
      </w:r>
    </w:p>
    <w:p>
      <w:pPr>
        <w:spacing w:after="0" w:line="240" w:lineRule="exact"/>
        <w:rPr>
          <w:rFonts w:ascii="Arial" w:cs="Arial" w:eastAsia="Arial" w:hAnsi="Arial"/>
          <w:sz w:val="19"/>
          <w:szCs w:val="19"/>
          <w:color w:val="auto"/>
        </w:rPr>
      </w:pPr>
    </w:p>
    <w:p>
      <w:pPr>
        <w:ind w:right="160" w:firstLine="548"/>
        <w:spacing w:after="0" w:line="297" w:lineRule="auto"/>
        <w:tabs>
          <w:tab w:leader="none" w:pos="864" w:val="left"/>
        </w:tabs>
        <w:numPr>
          <w:ilvl w:val="1"/>
          <w:numId w:val="13"/>
        </w:numPr>
        <w:rPr>
          <w:rFonts w:ascii="Arial" w:cs="Arial" w:eastAsia="Arial" w:hAnsi="Arial"/>
          <w:sz w:val="19"/>
          <w:szCs w:val="19"/>
          <w:color w:val="auto"/>
        </w:rPr>
      </w:pPr>
      <w:r>
        <w:rPr>
          <w:rFonts w:ascii="Arial" w:cs="Arial" w:eastAsia="Arial" w:hAnsi="Arial"/>
          <w:sz w:val="19"/>
          <w:szCs w:val="19"/>
          <w:color w:val="auto"/>
        </w:rPr>
        <w:t>Pay me $40,000 for reasonable outplacement and relocation benefits (the "Outplacement Payment"); provided that the Company will have the right to offset the value of the Company Automobile from the Outplacement Payment. The Outplacement Payment will be paid to me in a lump sum payment within ten (10) days following expiration of the Revocation Period.</w:t>
      </w:r>
    </w:p>
    <w:p>
      <w:pPr>
        <w:spacing w:after="0" w:line="134" w:lineRule="exact"/>
        <w:rPr>
          <w:rFonts w:ascii="Arial" w:cs="Arial" w:eastAsia="Arial" w:hAnsi="Arial"/>
          <w:sz w:val="19"/>
          <w:szCs w:val="19"/>
          <w:color w:val="auto"/>
        </w:rPr>
      </w:pPr>
    </w:p>
    <w:p>
      <w:pPr>
        <w:jc w:val="both"/>
        <w:ind w:right="20" w:firstLine="548"/>
        <w:spacing w:after="0" w:line="287" w:lineRule="auto"/>
        <w:tabs>
          <w:tab w:leader="none" w:pos="900" w:val="left"/>
        </w:tabs>
        <w:numPr>
          <w:ilvl w:val="1"/>
          <w:numId w:val="13"/>
        </w:numPr>
        <w:rPr>
          <w:rFonts w:ascii="Arial" w:cs="Arial" w:eastAsia="Arial" w:hAnsi="Arial"/>
          <w:sz w:val="19"/>
          <w:szCs w:val="19"/>
          <w:color w:val="auto"/>
        </w:rPr>
      </w:pPr>
      <w:r>
        <w:rPr>
          <w:rFonts w:ascii="Arial" w:cs="Arial" w:eastAsia="Arial" w:hAnsi="Arial"/>
          <w:sz w:val="19"/>
          <w:szCs w:val="19"/>
          <w:color w:val="auto"/>
        </w:rPr>
        <w:t>Permit me to exercise any of my outstanding Company stock options which are vested as of the Effective Date until the expiration of the Exclusivity Period (as such term is defined in Section 8 of the Employment Agreement). Company options that have not vested as of the Effective Date shall terminate as of the Effective Date. I acknowledge and agree a complete and accurate statement of my Company stock options has been provided to me under separate cover prior to the date hereof.</w:t>
      </w:r>
    </w:p>
    <w:p>
      <w:pPr>
        <w:spacing w:after="0" w:line="143" w:lineRule="exact"/>
        <w:rPr>
          <w:rFonts w:ascii="Arial" w:cs="Arial" w:eastAsia="Arial" w:hAnsi="Arial"/>
          <w:sz w:val="19"/>
          <w:szCs w:val="19"/>
          <w:color w:val="auto"/>
        </w:rPr>
      </w:pPr>
    </w:p>
    <w:p>
      <w:pPr>
        <w:ind w:right="40" w:firstLine="548"/>
        <w:spacing w:after="0" w:line="235" w:lineRule="auto"/>
        <w:tabs>
          <w:tab w:leader="none" w:pos="900" w:val="left"/>
        </w:tabs>
        <w:numPr>
          <w:ilvl w:val="1"/>
          <w:numId w:val="13"/>
        </w:numPr>
        <w:rPr>
          <w:rFonts w:ascii="Arial" w:cs="Arial" w:eastAsia="Arial" w:hAnsi="Arial"/>
          <w:sz w:val="22"/>
          <w:szCs w:val="22"/>
          <w:color w:val="auto"/>
        </w:rPr>
      </w:pPr>
      <w:r>
        <w:rPr>
          <w:rFonts w:ascii="Arial" w:cs="Arial" w:eastAsia="Arial" w:hAnsi="Arial"/>
          <w:sz w:val="22"/>
          <w:szCs w:val="22"/>
          <w:color w:val="auto"/>
        </w:rPr>
        <w:t>Permit me to continue to vest in my outstanding Company restricted stock in accordance with the original vesting schedule during the Consulting Period. In the event a Change of Control of the Company occurs prior to the expiration of the Consulting Period, all Company restricted stock granted to me shall immediately vest as of the date of the Change of Control. Any Company restricted stock that remains unvested at the expiration of the Consulting Period shall be forfeited. I acknowledge and agree a complete and accurate statement of my Company restricted stock has been provided to me under separate cover prior to the date hereof.</w:t>
      </w:r>
    </w:p>
    <w:p>
      <w:pPr>
        <w:spacing w:after="0" w:line="188" w:lineRule="exact"/>
        <w:rPr>
          <w:rFonts w:ascii="Arial" w:cs="Arial" w:eastAsia="Arial" w:hAnsi="Arial"/>
          <w:sz w:val="22"/>
          <w:szCs w:val="22"/>
          <w:color w:val="auto"/>
        </w:rPr>
      </w:pPr>
    </w:p>
    <w:p>
      <w:pPr>
        <w:ind w:left="280" w:hanging="272"/>
        <w:spacing w:after="0"/>
        <w:tabs>
          <w:tab w:leader="none" w:pos="280" w:val="left"/>
        </w:tabs>
        <w:numPr>
          <w:ilvl w:val="0"/>
          <w:numId w:val="14"/>
        </w:numPr>
        <w:rPr>
          <w:rFonts w:ascii="Arial" w:cs="Arial" w:eastAsia="Arial" w:hAnsi="Arial"/>
          <w:sz w:val="22"/>
          <w:szCs w:val="22"/>
          <w:color w:val="auto"/>
        </w:rPr>
      </w:pPr>
      <w:r>
        <w:rPr>
          <w:rFonts w:ascii="Arial" w:cs="Arial" w:eastAsia="Arial" w:hAnsi="Arial"/>
          <w:sz w:val="22"/>
          <w:szCs w:val="22"/>
          <w:u w:val="single" w:color="auto"/>
          <w:color w:val="auto"/>
        </w:rPr>
        <w:t>Release of Claims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900" w:hanging="352"/>
        <w:spacing w:after="0"/>
        <w:tabs>
          <w:tab w:leader="none" w:pos="900" w:val="left"/>
        </w:tabs>
        <w:numPr>
          <w:ilvl w:val="1"/>
          <w:numId w:val="14"/>
        </w:numPr>
        <w:rPr>
          <w:rFonts w:ascii="Arial" w:cs="Arial" w:eastAsia="Arial" w:hAnsi="Arial"/>
          <w:sz w:val="19"/>
          <w:szCs w:val="19"/>
          <w:color w:val="auto"/>
        </w:rPr>
      </w:pPr>
      <w:r>
        <w:rPr>
          <w:rFonts w:ascii="Arial" w:cs="Arial" w:eastAsia="Arial" w:hAnsi="Arial"/>
          <w:sz w:val="19"/>
          <w:szCs w:val="19"/>
          <w:u w:val="single" w:color="auto"/>
          <w:color w:val="auto"/>
        </w:rPr>
        <w:t>General Release</w:t>
      </w:r>
      <w:r>
        <w:rPr>
          <w:rFonts w:ascii="Arial" w:cs="Arial" w:eastAsia="Arial" w:hAnsi="Arial"/>
          <w:sz w:val="19"/>
          <w:szCs w:val="19"/>
          <w:color w:val="auto"/>
        </w:rPr>
        <w:t>. In consideration of the payments and benefits provided to me under this Agreement, I, on behalf of</w:t>
      </w:r>
    </w:p>
    <w:p>
      <w:pPr>
        <w:spacing w:after="0" w:line="43" w:lineRule="exact"/>
        <w:rPr>
          <w:sz w:val="20"/>
          <w:szCs w:val="20"/>
          <w:color w:val="auto"/>
        </w:rPr>
      </w:pPr>
    </w:p>
    <w:p>
      <w:pPr>
        <w:ind w:right="60"/>
        <w:spacing w:after="0" w:line="280" w:lineRule="auto"/>
        <w:rPr>
          <w:sz w:val="20"/>
          <w:szCs w:val="20"/>
          <w:color w:val="auto"/>
        </w:rPr>
      </w:pPr>
      <w:r>
        <w:rPr>
          <w:rFonts w:ascii="Arial" w:cs="Arial" w:eastAsia="Arial" w:hAnsi="Arial"/>
          <w:sz w:val="19"/>
          <w:szCs w:val="19"/>
          <w:color w:val="auto"/>
        </w:rPr>
        <w:t>myself, my heirs, agents, representatives, predecessors, successors and assigns (the "</w:t>
      </w:r>
      <w:r>
        <w:rPr>
          <w:rFonts w:ascii="Arial" w:cs="Arial" w:eastAsia="Arial" w:hAnsi="Arial"/>
          <w:sz w:val="19"/>
          <w:szCs w:val="19"/>
          <w:u w:val="single" w:color="auto"/>
          <w:color w:val="auto"/>
        </w:rPr>
        <w:t>Releasors</w:t>
      </w:r>
      <w:r>
        <w:rPr>
          <w:rFonts w:ascii="Arial" w:cs="Arial" w:eastAsia="Arial" w:hAnsi="Arial"/>
          <w:sz w:val="19"/>
          <w:szCs w:val="19"/>
          <w:color w:val="auto"/>
        </w:rPr>
        <w:t>"), hereby irrevocably release, acquit and forever discharge the Company and each of its respective agents, employees, representatives, parents, subsidiaries, divisions, affiliates, officers, directors, shareholders, investors, employees, attorneys, transferors, transferees, predecessors, successors and assigns, jointly and severally (the "</w:t>
      </w:r>
      <w:r>
        <w:rPr>
          <w:rFonts w:ascii="Arial" w:cs="Arial" w:eastAsia="Arial" w:hAnsi="Arial"/>
          <w:sz w:val="19"/>
          <w:szCs w:val="19"/>
          <w:u w:val="single" w:color="auto"/>
          <w:color w:val="auto"/>
        </w:rPr>
        <w:t>Released Parties</w:t>
      </w:r>
      <w:r>
        <w:rPr>
          <w:rFonts w:ascii="Arial" w:cs="Arial" w:eastAsia="Arial" w:hAnsi="Arial"/>
          <w:sz w:val="19"/>
          <w:szCs w:val="19"/>
          <w:color w:val="auto"/>
        </w:rPr>
        <w:t>") of and from any and all debts, suits, claims, actions, causes of</w:t>
      </w:r>
    </w:p>
    <w:p>
      <w:pPr>
        <w:sectPr>
          <w:pgSz w:w="11900" w:h="16838" w:orient="portrait"/>
          <w:cols w:equalWidth="0" w:num="1">
            <w:col w:w="11400"/>
          </w:cols>
          <w:pgMar w:left="240" w:top="118" w:right="259" w:bottom="0" w:gutter="0" w:footer="0" w:header="0"/>
        </w:sectPr>
      </w:pPr>
    </w:p>
    <w:bookmarkStart w:id="28" w:name="page29"/>
    <w:bookmarkEnd w:id="28"/>
    <w:p>
      <w:pPr>
        <w:ind w:right="100"/>
        <w:spacing w:after="0" w:line="238" w:lineRule="auto"/>
        <w:rPr>
          <w:sz w:val="20"/>
          <w:szCs w:val="20"/>
          <w:color w:val="auto"/>
        </w:rPr>
      </w:pPr>
      <w:r>
        <w:rPr>
          <w:rFonts w:ascii="Arial" w:cs="Arial" w:eastAsia="Arial" w:hAnsi="Arial"/>
          <w:sz w:val="22"/>
          <w:szCs w:val="22"/>
          <w:color w:val="auto"/>
        </w:rPr>
        <w:t>action, controversies, demands, rights, damages, losses, expenses, costs, attorneys' fees, compensation, liabilities and obligations whatsoever, suspected or unsuspected, known or unknown, foreseen or unforeseen, arising at any time up to and including the date of this Release("</w:t>
      </w:r>
      <w:r>
        <w:rPr>
          <w:rFonts w:ascii="Arial" w:cs="Arial" w:eastAsia="Arial" w:hAnsi="Arial"/>
          <w:sz w:val="22"/>
          <w:szCs w:val="22"/>
          <w:u w:val="single" w:color="auto"/>
          <w:color w:val="auto"/>
        </w:rPr>
        <w:t>Claims</w:t>
      </w:r>
      <w:r>
        <w:rPr>
          <w:rFonts w:ascii="Arial" w:cs="Arial" w:eastAsia="Arial" w:hAnsi="Arial"/>
          <w:sz w:val="22"/>
          <w:szCs w:val="22"/>
          <w:color w:val="auto"/>
        </w:rPr>
        <w:t>"), save and except for the parties' obligations and rights under this Agreement and the Surviving Obligations (as defined in Section 4 below).</w:t>
      </w:r>
    </w:p>
    <w:p>
      <w:pPr>
        <w:spacing w:after="0" w:line="186" w:lineRule="exact"/>
        <w:rPr>
          <w:sz w:val="20"/>
          <w:szCs w:val="20"/>
          <w:color w:val="auto"/>
        </w:rPr>
      </w:pPr>
    </w:p>
    <w:p>
      <w:pPr>
        <w:ind w:right="20" w:firstLine="548"/>
        <w:spacing w:after="0" w:line="245" w:lineRule="auto"/>
        <w:tabs>
          <w:tab w:leader="none" w:pos="900" w:val="left"/>
        </w:tabs>
        <w:numPr>
          <w:ilvl w:val="1"/>
          <w:numId w:val="15"/>
        </w:numPr>
        <w:rPr>
          <w:rFonts w:ascii="Arial" w:cs="Arial" w:eastAsia="Arial" w:hAnsi="Arial"/>
          <w:sz w:val="21"/>
          <w:szCs w:val="21"/>
          <w:color w:val="auto"/>
        </w:rPr>
      </w:pPr>
      <w:r>
        <w:rPr>
          <w:rFonts w:ascii="Arial" w:cs="Arial" w:eastAsia="Arial" w:hAnsi="Arial"/>
          <w:sz w:val="21"/>
          <w:szCs w:val="21"/>
          <w:u w:val="single" w:color="auto"/>
          <w:color w:val="auto"/>
        </w:rPr>
        <w:t>Specific ADEA Release</w:t>
      </w:r>
      <w:r>
        <w:rPr>
          <w:rFonts w:ascii="Arial" w:cs="Arial" w:eastAsia="Arial" w:hAnsi="Arial"/>
          <w:sz w:val="21"/>
          <w:szCs w:val="21"/>
          <w:color w:val="auto"/>
        </w:rPr>
        <w:t>. In recognition of the consideration set forth in this Agreement, the Releasors hereby release and forever discharge the Released Parties from any and all Claims, the Releasors have or may have arising under any state or federal civil rights or human rights law, or under the Federal Age Discrimination in Employment Act of 1967, as amended, and the applicable rules and regulations promulgated thereunder ("</w:t>
      </w:r>
      <w:r>
        <w:rPr>
          <w:rFonts w:ascii="Arial" w:cs="Arial" w:eastAsia="Arial" w:hAnsi="Arial"/>
          <w:sz w:val="21"/>
          <w:szCs w:val="21"/>
          <w:u w:val="single" w:color="auto"/>
          <w:color w:val="auto"/>
        </w:rPr>
        <w:t>ADEA</w:t>
      </w:r>
      <w:r>
        <w:rPr>
          <w:rFonts w:ascii="Arial" w:cs="Arial" w:eastAsia="Arial" w:hAnsi="Arial"/>
          <w:sz w:val="21"/>
          <w:szCs w:val="21"/>
          <w:color w:val="auto"/>
        </w:rPr>
        <w:t>"). By signing this Agreement, I hereby acknowledge and confirm the following: (a) I was advised in writing by the Company in connection with my termination to consult with an attorney of my choice prior to signing this Agreement, including without limitation, the terms relating to my release of claims arising under ADEA and any other law, rule or regulation referred to above; (b) I was given a period of not fewer than 21 days to consider the terms of this Agreement and to consult with an attorney of my choosing with respect hereto; and (c) I am providing the release and discharge set forth in this Section 3(b) only in exchange for consideration in addition to anything of value to which I was already entitled.</w:t>
      </w:r>
    </w:p>
    <w:p>
      <w:pPr>
        <w:spacing w:after="0" w:line="181" w:lineRule="exact"/>
        <w:rPr>
          <w:rFonts w:ascii="Arial" w:cs="Arial" w:eastAsia="Arial" w:hAnsi="Arial"/>
          <w:sz w:val="21"/>
          <w:szCs w:val="21"/>
          <w:color w:val="auto"/>
        </w:rPr>
      </w:pPr>
    </w:p>
    <w:p>
      <w:pPr>
        <w:ind w:right="80" w:firstLine="548"/>
        <w:spacing w:after="0" w:line="238" w:lineRule="auto"/>
        <w:tabs>
          <w:tab w:leader="none" w:pos="888" w:val="left"/>
        </w:tabs>
        <w:numPr>
          <w:ilvl w:val="1"/>
          <w:numId w:val="15"/>
        </w:numPr>
        <w:rPr>
          <w:rFonts w:ascii="Arial" w:cs="Arial" w:eastAsia="Arial" w:hAnsi="Arial"/>
          <w:sz w:val="22"/>
          <w:szCs w:val="22"/>
          <w:color w:val="auto"/>
        </w:rPr>
      </w:pPr>
      <w:r>
        <w:rPr>
          <w:rFonts w:ascii="Arial" w:cs="Arial" w:eastAsia="Arial" w:hAnsi="Arial"/>
          <w:sz w:val="22"/>
          <w:szCs w:val="22"/>
          <w:u w:val="single" w:color="auto"/>
          <w:color w:val="auto"/>
        </w:rPr>
        <w:t>No Assignment or Current Claims</w:t>
      </w:r>
      <w:r>
        <w:rPr>
          <w:rFonts w:ascii="Arial" w:cs="Arial" w:eastAsia="Arial" w:hAnsi="Arial"/>
          <w:sz w:val="22"/>
          <w:szCs w:val="22"/>
          <w:color w:val="auto"/>
        </w:rPr>
        <w:t>. I hereby represent and warrant that I have neither assigned any of the Claims being released under this Section 3 nor instituted, assisted or otherwise participated in connection with, any action, complaint, claim, charge, grievance, arbitration, lawsuit, or administrative agency proceeding, or action at law or otherwise against any the Company or any of its officers, employees, directors, shareholders or agents.</w:t>
      </w:r>
    </w:p>
    <w:p>
      <w:pPr>
        <w:spacing w:after="0" w:line="185" w:lineRule="exact"/>
        <w:rPr>
          <w:rFonts w:ascii="Arial" w:cs="Arial" w:eastAsia="Arial" w:hAnsi="Arial"/>
          <w:sz w:val="22"/>
          <w:szCs w:val="22"/>
          <w:color w:val="auto"/>
        </w:rPr>
      </w:pPr>
    </w:p>
    <w:p>
      <w:pPr>
        <w:ind w:firstLine="8"/>
        <w:spacing w:after="0" w:line="274" w:lineRule="auto"/>
        <w:tabs>
          <w:tab w:leader="none" w:pos="270" w:val="left"/>
        </w:tabs>
        <w:numPr>
          <w:ilvl w:val="0"/>
          <w:numId w:val="16"/>
        </w:numPr>
        <w:rPr>
          <w:rFonts w:ascii="Arial" w:cs="Arial" w:eastAsia="Arial" w:hAnsi="Arial"/>
          <w:sz w:val="19"/>
          <w:szCs w:val="19"/>
          <w:color w:val="auto"/>
        </w:rPr>
      </w:pPr>
      <w:r>
        <w:rPr>
          <w:rFonts w:ascii="Arial" w:cs="Arial" w:eastAsia="Arial" w:hAnsi="Arial"/>
          <w:sz w:val="19"/>
          <w:szCs w:val="19"/>
          <w:u w:val="single" w:color="auto"/>
          <w:color w:val="auto"/>
        </w:rPr>
        <w:t>Prior Agreements</w:t>
      </w:r>
      <w:r>
        <w:rPr>
          <w:rFonts w:ascii="Arial" w:cs="Arial" w:eastAsia="Arial" w:hAnsi="Arial"/>
          <w:sz w:val="19"/>
          <w:szCs w:val="19"/>
          <w:color w:val="auto"/>
        </w:rPr>
        <w:t>. This Agreement sets forth the entire agreement and understanding of the parties hereto with respect to the matters covered hereby and supersedes and replaces any express or implied, written or oral, prior agreement, plan or arrangement with respect to the terms of the Executive's employment and the termination thereof which the Executive may have had with the Company Group (including, without limitation, the Employment Agreement), but excluding Sections 5(f) (Tax Consideration), 7 (Confidential Information), 8 (Non-Competition) and 9 (Intellectual Property) of the Employment Agreement ("Surviving Obligations"). For the avoidance of doubt, and in consideration for the payments and benefits provided to me under this Agreement, I hereby expressly waive the following under the Employment Agreement: (i) the 30-day notice period pursuant to Section 5(d)(ii), (ii) the right to a lump sum payment pursuant to Section 5(e)(iii) and (iii) the application of Section 5(g)(i) to my Company stock options. I represent that I am not signing this Agreement in reliance on any representation not expressly set forth herein.</w:t>
      </w:r>
    </w:p>
    <w:p>
      <w:pPr>
        <w:spacing w:after="0" w:line="158" w:lineRule="exact"/>
        <w:rPr>
          <w:rFonts w:ascii="Arial" w:cs="Arial" w:eastAsia="Arial" w:hAnsi="Arial"/>
          <w:sz w:val="19"/>
          <w:szCs w:val="19"/>
          <w:color w:val="auto"/>
        </w:rPr>
      </w:pPr>
    </w:p>
    <w:p>
      <w:pPr>
        <w:ind w:right="40" w:firstLine="8"/>
        <w:spacing w:after="0" w:line="234" w:lineRule="auto"/>
        <w:tabs>
          <w:tab w:leader="none" w:pos="270" w:val="left"/>
        </w:tabs>
        <w:numPr>
          <w:ilvl w:val="0"/>
          <w:numId w:val="16"/>
        </w:numPr>
        <w:rPr>
          <w:rFonts w:ascii="Arial" w:cs="Arial" w:eastAsia="Arial" w:hAnsi="Arial"/>
          <w:sz w:val="22"/>
          <w:szCs w:val="22"/>
          <w:color w:val="auto"/>
        </w:rPr>
      </w:pPr>
      <w:r>
        <w:rPr>
          <w:rFonts w:ascii="Arial" w:cs="Arial" w:eastAsia="Arial" w:hAnsi="Arial"/>
          <w:sz w:val="22"/>
          <w:szCs w:val="22"/>
          <w:u w:val="single" w:color="auto"/>
          <w:color w:val="auto"/>
        </w:rPr>
        <w:t>Consulting Relationship</w:t>
      </w:r>
      <w:r>
        <w:rPr>
          <w:rFonts w:ascii="Arial" w:cs="Arial" w:eastAsia="Arial" w:hAnsi="Arial"/>
          <w:sz w:val="22"/>
          <w:szCs w:val="22"/>
          <w:color w:val="auto"/>
        </w:rPr>
        <w:t>. In further consideration for the payments and benefits provided to me under this Agreement, I agree to provide consulting services to the Company from the Effective Date until January 31, 2009 (the "</w:t>
      </w:r>
      <w:r>
        <w:rPr>
          <w:rFonts w:ascii="Arial" w:cs="Arial" w:eastAsia="Arial" w:hAnsi="Arial"/>
          <w:sz w:val="22"/>
          <w:szCs w:val="22"/>
          <w:u w:val="single" w:color="auto"/>
          <w:color w:val="auto"/>
        </w:rPr>
        <w:t>Consulting Period</w:t>
      </w:r>
      <w:r>
        <w:rPr>
          <w:rFonts w:ascii="Arial" w:cs="Arial" w:eastAsia="Arial" w:hAnsi="Arial"/>
          <w:sz w:val="22"/>
          <w:szCs w:val="22"/>
          <w:color w:val="auto"/>
        </w:rPr>
        <w:t>"), in accordance with this Section 5. I agree that the benefits provided to me under this Agreement are adequate consideration for both my release of claims under Section 3 above and my promises under this Section 5. I understand and agree that this Section 5 does not constitute a hiring or employment agreement and that during the Consulting Period, except as otherwise provided for in this Agreement, I will not be eligible for, and I hereby waive any claim to, wages, compensation, or any benefits provided to employees of the Company.</w:t>
      </w:r>
    </w:p>
    <w:p>
      <w:pPr>
        <w:spacing w:after="0" w:line="191" w:lineRule="exact"/>
        <w:rPr>
          <w:rFonts w:ascii="Arial" w:cs="Arial" w:eastAsia="Arial" w:hAnsi="Arial"/>
          <w:sz w:val="22"/>
          <w:szCs w:val="22"/>
          <w:color w:val="auto"/>
        </w:rPr>
      </w:pPr>
    </w:p>
    <w:p>
      <w:pPr>
        <w:ind w:firstLine="548"/>
        <w:spacing w:after="0" w:line="279" w:lineRule="auto"/>
        <w:tabs>
          <w:tab w:leader="none" w:pos="888" w:val="left"/>
        </w:tabs>
        <w:numPr>
          <w:ilvl w:val="1"/>
          <w:numId w:val="16"/>
        </w:numPr>
        <w:rPr>
          <w:rFonts w:ascii="Arial" w:cs="Arial" w:eastAsia="Arial" w:hAnsi="Arial"/>
          <w:sz w:val="19"/>
          <w:szCs w:val="19"/>
          <w:color w:val="auto"/>
        </w:rPr>
      </w:pPr>
      <w:r>
        <w:rPr>
          <w:rFonts w:ascii="Arial" w:cs="Arial" w:eastAsia="Arial" w:hAnsi="Arial"/>
          <w:sz w:val="19"/>
          <w:szCs w:val="19"/>
          <w:u w:val="single" w:color="auto"/>
          <w:color w:val="auto"/>
        </w:rPr>
        <w:t>Consulting Services</w:t>
      </w:r>
      <w:r>
        <w:rPr>
          <w:rFonts w:ascii="Arial" w:cs="Arial" w:eastAsia="Arial" w:hAnsi="Arial"/>
          <w:sz w:val="19"/>
          <w:szCs w:val="19"/>
          <w:color w:val="auto"/>
        </w:rPr>
        <w:t xml:space="preserve">. During the Consulting Period, I shall render such consulting services, at such time(s) and place(s) as may reasonably be requested by the Company's Board of Directors or their designee;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no event may my consulting services pursuant to this Section 5 exceed 20% of the average level of services provided by me to the Company over 36 months the immediately preceding the Effective Date. During the Continuation Period, when I am not performing consulting services for the Company, I shall be free to render services to persons or entities outside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services do not violate the Surviving Obligations or any other obligation I may have to the Company.</w:t>
      </w:r>
    </w:p>
    <w:p>
      <w:pPr>
        <w:spacing w:after="0" w:line="150" w:lineRule="exact"/>
        <w:rPr>
          <w:rFonts w:ascii="Arial" w:cs="Arial" w:eastAsia="Arial" w:hAnsi="Arial"/>
          <w:sz w:val="19"/>
          <w:szCs w:val="19"/>
          <w:color w:val="auto"/>
        </w:rPr>
      </w:pPr>
    </w:p>
    <w:p>
      <w:pPr>
        <w:jc w:val="both"/>
        <w:ind w:right="360" w:firstLine="548"/>
        <w:spacing w:after="0" w:line="297" w:lineRule="auto"/>
        <w:tabs>
          <w:tab w:leader="none" w:pos="900" w:val="left"/>
        </w:tabs>
        <w:numPr>
          <w:ilvl w:val="1"/>
          <w:numId w:val="16"/>
        </w:numPr>
        <w:rPr>
          <w:rFonts w:ascii="Arial" w:cs="Arial" w:eastAsia="Arial" w:hAnsi="Arial"/>
          <w:sz w:val="19"/>
          <w:szCs w:val="19"/>
          <w:color w:val="auto"/>
        </w:rPr>
      </w:pPr>
      <w:r>
        <w:rPr>
          <w:rFonts w:ascii="Arial" w:cs="Arial" w:eastAsia="Arial" w:hAnsi="Arial"/>
          <w:sz w:val="19"/>
          <w:szCs w:val="19"/>
          <w:u w:val="single" w:color="auto"/>
          <w:color w:val="auto"/>
        </w:rPr>
        <w:t>Expenses</w:t>
      </w:r>
      <w:r>
        <w:rPr>
          <w:rFonts w:ascii="Arial" w:cs="Arial" w:eastAsia="Arial" w:hAnsi="Arial"/>
          <w:sz w:val="19"/>
          <w:szCs w:val="19"/>
          <w:color w:val="auto"/>
        </w:rPr>
        <w:t xml:space="preserve">. The Company agrees to reimburse me for reasonable out of pocket expenses incurred by me in connection with the performance of my consulting duties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my (i) entertainment and meal expenses and (ii) all other expenses which in the aggregate are in excess of $1,000 shall require prior approval by the Company.</w:t>
      </w:r>
    </w:p>
    <w:p>
      <w:pPr>
        <w:spacing w:after="0" w:line="134" w:lineRule="exact"/>
        <w:rPr>
          <w:rFonts w:ascii="Arial" w:cs="Arial" w:eastAsia="Arial" w:hAnsi="Arial"/>
          <w:sz w:val="19"/>
          <w:szCs w:val="19"/>
          <w:color w:val="auto"/>
        </w:rPr>
      </w:pPr>
    </w:p>
    <w:p>
      <w:pPr>
        <w:ind w:right="100" w:firstLine="8"/>
        <w:spacing w:after="0" w:line="244" w:lineRule="auto"/>
        <w:tabs>
          <w:tab w:leader="none" w:pos="270" w:val="left"/>
        </w:tabs>
        <w:numPr>
          <w:ilvl w:val="0"/>
          <w:numId w:val="16"/>
        </w:numPr>
        <w:rPr>
          <w:rFonts w:ascii="Arial" w:cs="Arial" w:eastAsia="Arial" w:hAnsi="Arial"/>
          <w:sz w:val="21"/>
          <w:szCs w:val="21"/>
          <w:color w:val="auto"/>
        </w:rPr>
      </w:pPr>
      <w:r>
        <w:rPr>
          <w:rFonts w:ascii="Arial" w:cs="Arial" w:eastAsia="Arial" w:hAnsi="Arial"/>
          <w:sz w:val="21"/>
          <w:szCs w:val="21"/>
          <w:u w:val="single" w:color="auto"/>
          <w:color w:val="auto"/>
        </w:rPr>
        <w:t>Confidentiality of Agreement, Separation</w:t>
      </w:r>
      <w:r>
        <w:rPr>
          <w:rFonts w:ascii="Arial" w:cs="Arial" w:eastAsia="Arial" w:hAnsi="Arial"/>
          <w:sz w:val="21"/>
          <w:szCs w:val="21"/>
          <w:color w:val="auto"/>
        </w:rPr>
        <w:t>. I agree to keep every term of this Agreement confidential and will not hereafter disclose the existence of this Agreement, the fact that this Agreement was being discussed or considered, or the substance or contents of this Agreement to any person or entity other than my attorneys, tax advisors and immediate family, or otherwise as required by subpoena, court order or other legal process. Upon service to me, or anyone acting on my behalf, of any subpoena, court order or other legal process requiring me to disclose information described in this Section 6, I shall immediately notify the Company and shall cooperate fully with the Company to lawfully resist disclosure of the information prior to actual compliance with the request. I further agree that I will not make any statement concerning my separation from the Company (or the circumstances surrounding or leading up to my separation) to any reporter, research analyst, or other member of the financial press or investment financial services communities without the prior written approval of the Company as to both the fact and the content of such statement, nor will I disparage the Company to anyone in any way. The Company agrees that it will not disparage Mr. Luttati to anyone in any way.</w:t>
      </w:r>
    </w:p>
    <w:p>
      <w:pPr>
        <w:spacing w:after="0" w:line="189" w:lineRule="exact"/>
        <w:rPr>
          <w:rFonts w:ascii="Arial" w:cs="Arial" w:eastAsia="Arial" w:hAnsi="Arial"/>
          <w:sz w:val="21"/>
          <w:szCs w:val="21"/>
          <w:color w:val="auto"/>
        </w:rPr>
      </w:pPr>
    </w:p>
    <w:p>
      <w:pPr>
        <w:ind w:right="200" w:firstLine="8"/>
        <w:spacing w:after="0" w:line="236" w:lineRule="auto"/>
        <w:tabs>
          <w:tab w:leader="none" w:pos="270" w:val="left"/>
        </w:tabs>
        <w:numPr>
          <w:ilvl w:val="0"/>
          <w:numId w:val="16"/>
        </w:numPr>
        <w:rPr>
          <w:rFonts w:ascii="Arial" w:cs="Arial" w:eastAsia="Arial" w:hAnsi="Arial"/>
          <w:sz w:val="22"/>
          <w:szCs w:val="22"/>
          <w:color w:val="auto"/>
        </w:rPr>
      </w:pPr>
      <w:r>
        <w:rPr>
          <w:rFonts w:ascii="Arial" w:cs="Arial" w:eastAsia="Arial" w:hAnsi="Arial"/>
          <w:sz w:val="22"/>
          <w:szCs w:val="22"/>
          <w:u w:val="single" w:color="auto"/>
          <w:color w:val="auto"/>
        </w:rPr>
        <w:t>Return of Company Property</w:t>
      </w:r>
      <w:r>
        <w:rPr>
          <w:rFonts w:ascii="Arial" w:cs="Arial" w:eastAsia="Arial" w:hAnsi="Arial"/>
          <w:sz w:val="22"/>
          <w:szCs w:val="22"/>
          <w:color w:val="auto"/>
        </w:rPr>
        <w:t>. On or before the Effective Date, I will return to the Company all files, documents, records and copies of the foregoing (whether in hard or electronic form), Company-provided computer and telephone equipment, credit cards, keys, building passes, security passes, access or identification cards, and any other property of the Cmpany in my possession or control, with the exception of the Company Automobile. The Company will arrange for the prompt return of my personal items from the office.</w:t>
      </w:r>
    </w:p>
    <w:p>
      <w:pPr>
        <w:sectPr>
          <w:pgSz w:w="11900" w:h="16838" w:orient="portrait"/>
          <w:cols w:equalWidth="0" w:num="1">
            <w:col w:w="11420"/>
          </w:cols>
          <w:pgMar w:left="240" w:top="118" w:right="239" w:bottom="56" w:gutter="0" w:footer="0" w:header="0"/>
        </w:sectPr>
      </w:pPr>
    </w:p>
    <w:bookmarkStart w:id="29" w:name="page30"/>
    <w:bookmarkEnd w:id="29"/>
    <w:p>
      <w:pPr>
        <w:ind w:right="20" w:firstLine="8"/>
        <w:spacing w:after="0" w:line="273" w:lineRule="auto"/>
        <w:tabs>
          <w:tab w:leader="none" w:pos="270" w:val="left"/>
        </w:tabs>
        <w:numPr>
          <w:ilvl w:val="0"/>
          <w:numId w:val="17"/>
        </w:numPr>
        <w:rPr>
          <w:rFonts w:ascii="Arial" w:cs="Arial" w:eastAsia="Arial" w:hAnsi="Arial"/>
          <w:sz w:val="19"/>
          <w:szCs w:val="19"/>
          <w:color w:val="auto"/>
        </w:rPr>
      </w:pPr>
      <w:r>
        <w:rPr>
          <w:rFonts w:ascii="Arial" w:cs="Arial" w:eastAsia="Arial" w:hAnsi="Arial"/>
          <w:sz w:val="19"/>
          <w:szCs w:val="19"/>
          <w:u w:val="single" w:color="auto"/>
          <w:color w:val="auto"/>
        </w:rPr>
        <w:t>Cooperation</w:t>
      </w:r>
      <w:r>
        <w:rPr>
          <w:rFonts w:ascii="Arial" w:cs="Arial" w:eastAsia="Arial" w:hAnsi="Arial"/>
          <w:sz w:val="19"/>
          <w:szCs w:val="19"/>
          <w:color w:val="auto"/>
        </w:rPr>
        <w:t>. I agree that I will assist and cooperate with the Company in connection with the defense of prosecution of any claim that may be made against or by the Company, or in connection with any ongoing future investigation or dispute or claim of any kind involving the Company, including any proceeding before any arbitral, administrative, judicial, legislative, or other body or agency, including testifying in any proceeding to the extent such claims, investigations or proceedings are related to services performed or required to be performed by me, knowledge possesses by me or any act or omission by me. I further agree to perform all acts and execute and deliver any documents that may be reasonably necessary to carry out the provisions of this Section 8. The Company agrees to pay me at the rate of $2,000 per day in the event I am requested to cooperate with the Company pursuant to this Section 8; provided that such payment will only be made by the Company to the extent that such request exceeds my consulting obligation during the Consulting Period or occurs after the Consulting Period. The Company also agrees to reimburse me for any reasonable out of pocket expenses I may incur in complying with this Section 8 at the request of the Company.</w:t>
      </w:r>
    </w:p>
    <w:p>
      <w:pPr>
        <w:spacing w:after="0" w:line="162" w:lineRule="exact"/>
        <w:rPr>
          <w:rFonts w:ascii="Arial" w:cs="Arial" w:eastAsia="Arial" w:hAnsi="Arial"/>
          <w:sz w:val="19"/>
          <w:szCs w:val="19"/>
          <w:color w:val="auto"/>
        </w:rPr>
      </w:pPr>
    </w:p>
    <w:p>
      <w:pPr>
        <w:ind w:right="100" w:firstLine="8"/>
        <w:spacing w:after="0" w:line="275" w:lineRule="auto"/>
        <w:tabs>
          <w:tab w:leader="none" w:pos="270" w:val="left"/>
        </w:tabs>
        <w:numPr>
          <w:ilvl w:val="0"/>
          <w:numId w:val="17"/>
        </w:numPr>
        <w:rPr>
          <w:rFonts w:ascii="Arial" w:cs="Arial" w:eastAsia="Arial" w:hAnsi="Arial"/>
          <w:sz w:val="19"/>
          <w:szCs w:val="19"/>
          <w:color w:val="auto"/>
        </w:rPr>
      </w:pPr>
      <w:r>
        <w:rPr>
          <w:rFonts w:ascii="Arial" w:cs="Arial" w:eastAsia="Arial" w:hAnsi="Arial"/>
          <w:sz w:val="19"/>
          <w:szCs w:val="19"/>
          <w:u w:val="single" w:color="auto"/>
          <w:color w:val="auto"/>
        </w:rPr>
        <w:t>Violations</w:t>
      </w:r>
      <w:r>
        <w:rPr>
          <w:rFonts w:ascii="Arial" w:cs="Arial" w:eastAsia="Arial" w:hAnsi="Arial"/>
          <w:sz w:val="19"/>
          <w:szCs w:val="19"/>
          <w:color w:val="auto"/>
        </w:rPr>
        <w:t>. I agree that (a) if I violate any provision of Sections 3, 5, 6, 7, or 8 of this Agreement or any of the Surviving Obligations or (b) if I engage in any conduct during the Continuation Period that would have constituted "Cause" to terminate my employment under Section 5(c) of the Employment Agreement, in addition to any other rights and remedies the Company might have, (i) the Consulting Period and the consulting relationship with the Company under Section 5 of this Agreement will terminate immediately, (ii) all payments and benefits under Section 2 of this Agreement will cease immediately and I will not be entitled to any further payments or benefits of any kind from the Company, and (iii) the Company shall be entitled to obtain an injunction to be issued by any court of competent jurisdiction restraining me form committing or continuing any such violation(s), without the need to post any bond or for any other undertaking or prove the inadequacy of money damages.</w:t>
      </w:r>
    </w:p>
    <w:p>
      <w:pPr>
        <w:spacing w:after="0" w:line="158" w:lineRule="exact"/>
        <w:rPr>
          <w:rFonts w:ascii="Arial" w:cs="Arial" w:eastAsia="Arial" w:hAnsi="Arial"/>
          <w:sz w:val="19"/>
          <w:szCs w:val="19"/>
          <w:color w:val="auto"/>
        </w:rPr>
      </w:pPr>
    </w:p>
    <w:p>
      <w:pPr>
        <w:ind w:left="380" w:hanging="372"/>
        <w:spacing w:after="0"/>
        <w:tabs>
          <w:tab w:leader="none" w:pos="380"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Certain Tax Considerations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900" w:hanging="352"/>
        <w:spacing w:after="0"/>
        <w:tabs>
          <w:tab w:leader="none" w:pos="900" w:val="left"/>
        </w:tabs>
        <w:numPr>
          <w:ilvl w:val="1"/>
          <w:numId w:val="17"/>
        </w:numPr>
        <w:rPr>
          <w:rFonts w:ascii="Arial" w:cs="Arial" w:eastAsia="Arial" w:hAnsi="Arial"/>
          <w:sz w:val="22"/>
          <w:szCs w:val="22"/>
          <w:color w:val="auto"/>
        </w:rPr>
      </w:pPr>
      <w:r>
        <w:rPr>
          <w:rFonts w:ascii="Arial" w:cs="Arial" w:eastAsia="Arial" w:hAnsi="Arial"/>
          <w:sz w:val="22"/>
          <w:szCs w:val="22"/>
          <w:u w:val="single" w:color="auto"/>
          <w:color w:val="auto"/>
        </w:rPr>
        <w:t>Code Section 409A</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firstLine="872"/>
        <w:spacing w:after="0" w:line="234" w:lineRule="auto"/>
        <w:tabs>
          <w:tab w:leader="none" w:pos="1176" w:val="left"/>
        </w:tabs>
        <w:numPr>
          <w:ilvl w:val="2"/>
          <w:numId w:val="17"/>
        </w:numPr>
        <w:rPr>
          <w:rFonts w:ascii="Arial" w:cs="Arial" w:eastAsia="Arial" w:hAnsi="Arial"/>
          <w:sz w:val="22"/>
          <w:szCs w:val="22"/>
          <w:color w:val="auto"/>
        </w:rPr>
      </w:pPr>
      <w:r>
        <w:rPr>
          <w:rFonts w:ascii="Arial" w:cs="Arial" w:eastAsia="Arial" w:hAnsi="Arial"/>
          <w:sz w:val="22"/>
          <w:szCs w:val="22"/>
          <w:color w:val="auto"/>
        </w:rPr>
        <w:t>If any provision of this Agreement contravenes Code Section 409A, or could cause any amounts or benefits hereunder to be subject to taxes, interest or penalties under Code Section 409A, I agree that the Company may, in its sole discretion and without my consent, modify the Agreement to: (i) comply with, or avoid being subject to, Code Section 409A and avoid the imposition of taxes, interest and penalties under Code Section 409A, and (ii) maintain, to the maximum extent practicable, the original intent of the applicable provision without contravening the provisions of Code Section 409A. I understand that this Section 10 (a)(i) is not intended to create an obligation on the part of the Company to modify this Agreement and does not guarantee that the amounts or benefits owed under the Agreement will not be subject to interest and penalties under Code Section 409A.</w:t>
      </w:r>
    </w:p>
    <w:p>
      <w:pPr>
        <w:spacing w:after="0" w:line="187" w:lineRule="exact"/>
        <w:rPr>
          <w:rFonts w:ascii="Arial" w:cs="Arial" w:eastAsia="Arial" w:hAnsi="Arial"/>
          <w:sz w:val="22"/>
          <w:szCs w:val="22"/>
          <w:color w:val="auto"/>
        </w:rPr>
      </w:pPr>
    </w:p>
    <w:p>
      <w:pPr>
        <w:ind w:right="20" w:firstLine="872"/>
        <w:spacing w:after="0" w:line="248" w:lineRule="auto"/>
        <w:tabs>
          <w:tab w:leader="none" w:pos="1236" w:val="left"/>
        </w:tabs>
        <w:numPr>
          <w:ilvl w:val="2"/>
          <w:numId w:val="17"/>
        </w:numPr>
        <w:rPr>
          <w:rFonts w:ascii="Arial" w:cs="Arial" w:eastAsia="Arial" w:hAnsi="Arial"/>
          <w:sz w:val="21"/>
          <w:szCs w:val="21"/>
          <w:color w:val="auto"/>
        </w:rPr>
      </w:pPr>
      <w:r>
        <w:rPr>
          <w:rFonts w:ascii="Arial" w:cs="Arial" w:eastAsia="Arial" w:hAnsi="Arial"/>
          <w:sz w:val="21"/>
          <w:szCs w:val="21"/>
          <w:color w:val="auto"/>
        </w:rPr>
        <w:t>I hereby agree and understand that I am a "</w:t>
      </w:r>
      <w:r>
        <w:rPr>
          <w:rFonts w:ascii="Arial" w:cs="Arial" w:eastAsia="Arial" w:hAnsi="Arial"/>
          <w:sz w:val="21"/>
          <w:szCs w:val="21"/>
          <w:u w:val="single" w:color="auto"/>
          <w:color w:val="auto"/>
        </w:rPr>
        <w:t>specified employee</w:t>
      </w:r>
      <w:r>
        <w:rPr>
          <w:rFonts w:ascii="Arial" w:cs="Arial" w:eastAsia="Arial" w:hAnsi="Arial"/>
          <w:sz w:val="21"/>
          <w:szCs w:val="21"/>
          <w:color w:val="auto"/>
        </w:rPr>
        <w:t>" for purposes of Code Section 409A as of the Effective Date and, as a result, any payment or benefit under this Agreement (including any provision of continued benefits) that provides for the deferral of compensation within the meaning of Code Section 409A will not be paid or commence to be paid on any date prior to the commencement of the Additional Continuation Period. I further agree and understand that in order to comply with the Code Section 409A deferral and timing of payment rules, this Agreement will terminate and be of no further force or effect if I do not sign this Agreement prior to November 1, 2008.</w:t>
      </w:r>
    </w:p>
    <w:p>
      <w:pPr>
        <w:spacing w:after="0" w:line="177" w:lineRule="exact"/>
        <w:rPr>
          <w:rFonts w:ascii="Arial" w:cs="Arial" w:eastAsia="Arial" w:hAnsi="Arial"/>
          <w:sz w:val="21"/>
          <w:szCs w:val="21"/>
          <w:color w:val="auto"/>
        </w:rPr>
      </w:pPr>
    </w:p>
    <w:p>
      <w:pPr>
        <w:jc w:val="both"/>
        <w:ind w:right="120" w:firstLine="872"/>
        <w:spacing w:after="0" w:line="282" w:lineRule="auto"/>
        <w:tabs>
          <w:tab w:leader="none" w:pos="1297" w:val="left"/>
        </w:tabs>
        <w:numPr>
          <w:ilvl w:val="2"/>
          <w:numId w:val="17"/>
        </w:numPr>
        <w:rPr>
          <w:rFonts w:ascii="Arial" w:cs="Arial" w:eastAsia="Arial" w:hAnsi="Arial"/>
          <w:sz w:val="19"/>
          <w:szCs w:val="19"/>
          <w:color w:val="auto"/>
        </w:rPr>
      </w:pPr>
      <w:r>
        <w:rPr>
          <w:rFonts w:ascii="Arial" w:cs="Arial" w:eastAsia="Arial" w:hAnsi="Arial"/>
          <w:sz w:val="19"/>
          <w:szCs w:val="19"/>
          <w:color w:val="auto"/>
        </w:rPr>
        <w:t>Except as expressly provided otherwise in this Agreement, no reimbursement payable pursuant to any provisions of this Agreement or pursuant to any plan or arrangement of the Company covered by this Agreement may be paid later than the last day of the calendar year following the calendar year in which the related expense was incurred, and no such reimbursement during any calendar year may affect the amounts eligible for reimbursement in any other calendar year, except, in each case, to the extent that the right to reimbursement does not provide for a "deferral of compensation" within the meaning of Code Section 409A.</w:t>
      </w:r>
    </w:p>
    <w:p>
      <w:pPr>
        <w:spacing w:after="0" w:line="147" w:lineRule="exact"/>
        <w:rPr>
          <w:rFonts w:ascii="Arial" w:cs="Arial" w:eastAsia="Arial" w:hAnsi="Arial"/>
          <w:sz w:val="19"/>
          <w:szCs w:val="19"/>
          <w:color w:val="auto"/>
        </w:rPr>
      </w:pPr>
    </w:p>
    <w:p>
      <w:pPr>
        <w:ind w:right="140" w:firstLine="548"/>
        <w:spacing w:after="0" w:line="328" w:lineRule="auto"/>
        <w:tabs>
          <w:tab w:leader="none" w:pos="900" w:val="left"/>
        </w:tabs>
        <w:numPr>
          <w:ilvl w:val="1"/>
          <w:numId w:val="17"/>
        </w:numPr>
        <w:rPr>
          <w:rFonts w:ascii="Arial" w:cs="Arial" w:eastAsia="Arial" w:hAnsi="Arial"/>
          <w:sz w:val="19"/>
          <w:szCs w:val="19"/>
          <w:color w:val="auto"/>
        </w:rPr>
      </w:pPr>
      <w:r>
        <w:rPr>
          <w:rFonts w:ascii="Arial" w:cs="Arial" w:eastAsia="Arial" w:hAnsi="Arial"/>
          <w:sz w:val="19"/>
          <w:szCs w:val="19"/>
          <w:u w:val="single" w:color="auto"/>
          <w:color w:val="auto"/>
        </w:rPr>
        <w:t>Withholding</w:t>
      </w:r>
      <w:r>
        <w:rPr>
          <w:rFonts w:ascii="Arial" w:cs="Arial" w:eastAsia="Arial" w:hAnsi="Arial"/>
          <w:sz w:val="19"/>
          <w:szCs w:val="19"/>
          <w:color w:val="auto"/>
        </w:rPr>
        <w:t>. The Company may withhold from any amounts payable under this Agreement such federal, state, local or foreign taxes are be required to be withheld pursuant to any applicable law or regulation and all other authorized deductions.</w:t>
      </w:r>
    </w:p>
    <w:p>
      <w:pPr>
        <w:spacing w:after="0" w:line="105" w:lineRule="exact"/>
        <w:rPr>
          <w:rFonts w:ascii="Arial" w:cs="Arial" w:eastAsia="Arial" w:hAnsi="Arial"/>
          <w:sz w:val="19"/>
          <w:szCs w:val="19"/>
          <w:color w:val="auto"/>
        </w:rPr>
      </w:pPr>
    </w:p>
    <w:p>
      <w:pPr>
        <w:ind w:left="380" w:hanging="372"/>
        <w:spacing w:after="0"/>
        <w:tabs>
          <w:tab w:leader="none" w:pos="380" w:val="left"/>
        </w:tabs>
        <w:numPr>
          <w:ilvl w:val="0"/>
          <w:numId w:val="17"/>
        </w:numPr>
        <w:rPr>
          <w:rFonts w:ascii="Arial" w:cs="Arial" w:eastAsia="Arial" w:hAnsi="Arial"/>
          <w:sz w:val="19"/>
          <w:szCs w:val="19"/>
          <w:color w:val="auto"/>
        </w:rPr>
      </w:pPr>
      <w:r>
        <w:rPr>
          <w:rFonts w:ascii="Arial" w:cs="Arial" w:eastAsia="Arial" w:hAnsi="Arial"/>
          <w:sz w:val="19"/>
          <w:szCs w:val="19"/>
          <w:u w:val="single" w:color="auto"/>
          <w:color w:val="auto"/>
        </w:rPr>
        <w:t>Revocation</w:t>
      </w:r>
      <w:r>
        <w:rPr>
          <w:rFonts w:ascii="Arial" w:cs="Arial" w:eastAsia="Arial" w:hAnsi="Arial"/>
          <w:sz w:val="19"/>
          <w:szCs w:val="19"/>
          <w:color w:val="auto"/>
        </w:rPr>
        <w:t>. The Agreement may be revoked by me within the 7-day period commencing on the date I sign this Release (the</w:t>
      </w:r>
    </w:p>
    <w:p>
      <w:pPr>
        <w:spacing w:after="0" w:line="43" w:lineRule="exact"/>
        <w:rPr>
          <w:sz w:val="20"/>
          <w:szCs w:val="20"/>
          <w:color w:val="auto"/>
        </w:rPr>
      </w:pPr>
    </w:p>
    <w:p>
      <w:pPr>
        <w:ind w:right="80"/>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Revocation Period</w:t>
      </w:r>
      <w:r>
        <w:rPr>
          <w:rFonts w:ascii="Arial" w:cs="Arial" w:eastAsia="Arial" w:hAnsi="Arial"/>
          <w:sz w:val="21"/>
          <w:szCs w:val="21"/>
          <w:color w:val="auto"/>
        </w:rPr>
        <w:t>"). In the event of any such revocation, all obligations of the Company under this Agreement will terminate and be of no further force and effect as of the date of such revocation. No such revocation will be effective unless it is in writing and signed by me and received by the Company prior to the expiration of the Revocation Period.</w:t>
      </w:r>
    </w:p>
    <w:p>
      <w:pPr>
        <w:spacing w:after="0" w:line="176" w:lineRule="exact"/>
        <w:rPr>
          <w:sz w:val="20"/>
          <w:szCs w:val="20"/>
          <w:color w:val="auto"/>
        </w:rPr>
      </w:pPr>
    </w:p>
    <w:p>
      <w:pPr>
        <w:ind w:right="40" w:firstLine="8"/>
        <w:spacing w:after="0" w:line="251" w:lineRule="auto"/>
        <w:tabs>
          <w:tab w:leader="none" w:pos="378"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Effective Date of Agreement</w:t>
      </w:r>
      <w:r>
        <w:rPr>
          <w:rFonts w:ascii="Arial" w:cs="Arial" w:eastAsia="Arial" w:hAnsi="Arial"/>
          <w:sz w:val="22"/>
          <w:szCs w:val="22"/>
          <w:color w:val="auto"/>
        </w:rPr>
        <w:t>. This Agreement shall not become effective until the day following the last day of the Revocation Period.</w:t>
      </w:r>
    </w:p>
    <w:p>
      <w:pPr>
        <w:spacing w:after="0" w:line="173" w:lineRule="exact"/>
        <w:rPr>
          <w:rFonts w:ascii="Arial" w:cs="Arial" w:eastAsia="Arial" w:hAnsi="Arial"/>
          <w:sz w:val="22"/>
          <w:szCs w:val="22"/>
          <w:color w:val="auto"/>
        </w:rPr>
      </w:pPr>
    </w:p>
    <w:p>
      <w:pPr>
        <w:ind w:right="180" w:firstLine="8"/>
        <w:spacing w:after="0" w:line="328" w:lineRule="auto"/>
        <w:tabs>
          <w:tab w:leader="none" w:pos="378" w:val="left"/>
        </w:tabs>
        <w:numPr>
          <w:ilvl w:val="0"/>
          <w:numId w:val="18"/>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Any notices required or made pursuant to this Agreement shall be in writing and shall be deemed to have been given when delivered or mailed by United States certified mail, return receipt requested, postage prepaid, as follows:</w:t>
      </w:r>
    </w:p>
    <w:p>
      <w:pPr>
        <w:spacing w:after="0" w:line="99" w:lineRule="exact"/>
        <w:rPr>
          <w:sz w:val="20"/>
          <w:szCs w:val="20"/>
          <w:color w:val="auto"/>
        </w:rPr>
      </w:pPr>
    </w:p>
    <w:p>
      <w:pPr>
        <w:ind w:left="540" w:right="3980"/>
        <w:spacing w:after="0" w:line="438" w:lineRule="auto"/>
        <w:rPr>
          <w:sz w:val="20"/>
          <w:szCs w:val="20"/>
          <w:color w:val="auto"/>
        </w:rPr>
      </w:pPr>
      <w:r>
        <w:rPr>
          <w:rFonts w:ascii="Arial" w:cs="Arial" w:eastAsia="Arial" w:hAnsi="Arial"/>
          <w:sz w:val="22"/>
          <w:szCs w:val="22"/>
          <w:b w:val="1"/>
          <w:bCs w:val="1"/>
          <w:color w:val="auto"/>
        </w:rPr>
        <w:t>if to Executive</w:t>
      </w:r>
      <w:r>
        <w:rPr>
          <w:rFonts w:ascii="Arial" w:cs="Arial" w:eastAsia="Arial" w:hAnsi="Arial"/>
          <w:sz w:val="22"/>
          <w:szCs w:val="22"/>
          <w:color w:val="auto"/>
        </w:rPr>
        <w:t>, to the most recent home address in the records of the Company</w:t>
      </w:r>
      <w:r>
        <w:rPr>
          <w:rFonts w:ascii="Arial" w:cs="Arial" w:eastAsia="Arial" w:hAnsi="Arial"/>
          <w:sz w:val="22"/>
          <w:szCs w:val="22"/>
          <w:b w:val="1"/>
          <w:bCs w:val="1"/>
          <w:color w:val="auto"/>
        </w:rPr>
        <w:t xml:space="preserve"> with a copy to:</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22"/>
          <w:szCs w:val="22"/>
          <w:color w:val="auto"/>
        </w:rPr>
        <w:t>Robert L. Birnbaum</w:t>
      </w:r>
    </w:p>
    <w:p>
      <w:pPr>
        <w:ind w:left="540"/>
        <w:spacing w:after="0" w:line="238" w:lineRule="auto"/>
        <w:rPr>
          <w:sz w:val="20"/>
          <w:szCs w:val="20"/>
          <w:color w:val="auto"/>
        </w:rPr>
      </w:pPr>
      <w:r>
        <w:rPr>
          <w:rFonts w:ascii="Arial" w:cs="Arial" w:eastAsia="Arial" w:hAnsi="Arial"/>
          <w:sz w:val="22"/>
          <w:szCs w:val="22"/>
          <w:color w:val="auto"/>
        </w:rPr>
        <w:t>Foley Hoag LLP</w:t>
      </w:r>
    </w:p>
    <w:p>
      <w:pPr>
        <w:ind w:left="540"/>
        <w:spacing w:after="0"/>
        <w:rPr>
          <w:sz w:val="20"/>
          <w:szCs w:val="20"/>
          <w:color w:val="auto"/>
        </w:rPr>
      </w:pPr>
      <w:r>
        <w:rPr>
          <w:rFonts w:ascii="Arial" w:cs="Arial" w:eastAsia="Arial" w:hAnsi="Arial"/>
          <w:sz w:val="22"/>
          <w:szCs w:val="22"/>
          <w:color w:val="auto"/>
        </w:rPr>
        <w:t>155 Seaport Boulevard, Boston, MA 02210-2600</w:t>
      </w:r>
    </w:p>
    <w:p>
      <w:pPr>
        <w:spacing w:after="0" w:line="182"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if to the Company:</w:t>
      </w:r>
    </w:p>
    <w:p>
      <w:pPr>
        <w:sectPr>
          <w:pgSz w:w="11900" w:h="16838" w:orient="portrait"/>
          <w:cols w:equalWidth="0" w:num="1">
            <w:col w:w="11420"/>
          </w:cols>
          <w:pgMar w:left="240" w:top="118" w:right="239" w:bottom="0" w:gutter="0" w:footer="0" w:header="0"/>
        </w:sectPr>
      </w:pPr>
    </w:p>
    <w:bookmarkStart w:id="30" w:name="page31"/>
    <w:bookmarkEnd w:id="30"/>
    <w:p>
      <w:pPr>
        <w:ind w:left="540"/>
        <w:spacing w:after="0"/>
        <w:rPr>
          <w:sz w:val="20"/>
          <w:szCs w:val="20"/>
          <w:color w:val="auto"/>
        </w:rPr>
      </w:pPr>
      <w:r>
        <w:rPr>
          <w:rFonts w:ascii="Arial" w:cs="Arial" w:eastAsia="Arial" w:hAnsi="Arial"/>
          <w:sz w:val="22"/>
          <w:szCs w:val="22"/>
          <w:color w:val="auto"/>
        </w:rPr>
        <w:t>Photronics, Inc.</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22"/>
          <w:szCs w:val="22"/>
          <w:color w:val="auto"/>
        </w:rPr>
        <w:t>15 Secor Road, P.O. Box 5226, Brookfield, Connecticut 06804</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22"/>
          <w:szCs w:val="22"/>
          <w:color w:val="auto"/>
        </w:rPr>
        <w:t>Attention: Corporate Secretary</w:t>
      </w:r>
    </w:p>
    <w:p>
      <w:pPr>
        <w:spacing w:after="0" w:line="206"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or to such other address as either party may furnish to the other in writing in accordance with this Section 13. Notices of change of address shall be effective only upon receipt.</w:t>
      </w:r>
    </w:p>
    <w:p>
      <w:pPr>
        <w:spacing w:after="0" w:line="173" w:lineRule="exact"/>
        <w:rPr>
          <w:sz w:val="20"/>
          <w:szCs w:val="20"/>
          <w:color w:val="auto"/>
        </w:rPr>
      </w:pPr>
    </w:p>
    <w:p>
      <w:pPr>
        <w:ind w:firstLine="8"/>
        <w:spacing w:after="0" w:line="272" w:lineRule="auto"/>
        <w:tabs>
          <w:tab w:leader="none" w:pos="378" w:val="left"/>
        </w:tabs>
        <w:numPr>
          <w:ilvl w:val="0"/>
          <w:numId w:val="19"/>
        </w:numPr>
        <w:rPr>
          <w:rFonts w:ascii="Arial" w:cs="Arial" w:eastAsia="Arial" w:hAnsi="Arial"/>
          <w:sz w:val="19"/>
          <w:szCs w:val="19"/>
          <w:color w:val="auto"/>
        </w:rPr>
      </w:pPr>
      <w:r>
        <w:rPr>
          <w:rFonts w:ascii="Arial" w:cs="Arial" w:eastAsia="Arial" w:hAnsi="Arial"/>
          <w:sz w:val="19"/>
          <w:szCs w:val="19"/>
          <w:u w:val="single" w:color="auto"/>
          <w:color w:val="auto"/>
        </w:rPr>
        <w:t>Miscellaneous</w:t>
      </w:r>
      <w:r>
        <w:rPr>
          <w:rFonts w:ascii="Arial" w:cs="Arial" w:eastAsia="Arial" w:hAnsi="Arial"/>
          <w:sz w:val="19"/>
          <w:szCs w:val="19"/>
          <w:color w:val="auto"/>
        </w:rPr>
        <w:t>. This Agreement is not an admission of guilt or wrongdoing by either me or the Company. Subject to Section 10(a)(i), no provision in this Agreement may be modified, waived, amended or discharged except by a written document signed by me and a duly authorized Company representative. This Agreement may be executed in one or more counterparts, which, together, shall constitute one and the same agreement. This Agreement binds my Releasors, successors and assigns, and will inure to the benefit of all Released Parties and respective heirs, administrators, representatives, executors, successors and assigns. The invalidity or unenforceability of any provision of this Agreement shall not affect the validity or enforceability of any other provision of this Agreement, which shall remain in full force and effect. A waiver of any conditions or any provisions of this Agreement in a given instance shall not be deemed a waiver of such conditions or provisions at any other time. If any of the provisions, terms, and clauses of this Agreement are declared illegal, unenforceable or ineffective in a legal forum, these provisions, terms and clauses shall not be deemed binding upon both parties. Section headings are intended solely for the convenience of reference only and shall not be a part of this Agreement for any other purpose. The validity, interpretation, construction and performance of this Agreement shall be governed by the internal laws of the State of Connecticut.</w:t>
      </w:r>
    </w:p>
    <w:p>
      <w:pPr>
        <w:spacing w:after="0" w:line="183" w:lineRule="exact"/>
        <w:rPr>
          <w:sz w:val="20"/>
          <w:szCs w:val="20"/>
          <w:color w:val="auto"/>
        </w:rPr>
      </w:pPr>
    </w:p>
    <w:p>
      <w:pPr>
        <w:jc w:val="both"/>
        <w:ind w:right="380"/>
        <w:spacing w:after="0" w:line="243" w:lineRule="auto"/>
        <w:rPr>
          <w:sz w:val="20"/>
          <w:szCs w:val="20"/>
          <w:color w:val="auto"/>
        </w:rPr>
      </w:pPr>
      <w:r>
        <w:rPr>
          <w:rFonts w:ascii="Arial" w:cs="Arial" w:eastAsia="Arial" w:hAnsi="Arial"/>
          <w:sz w:val="22"/>
          <w:szCs w:val="22"/>
          <w:b w:val="1"/>
          <w:bCs w:val="1"/>
          <w:color w:val="auto"/>
        </w:rPr>
        <w:t>I HEREBY ACKNOWLEDGE THAT I HAVE READ THIS AGREEMENT, THAT I FULLY KNOW, UNDERSTAND AND APPRECIATE ITS CONTENTS, AND THAT I HEREBY ENTER INTO THIS AGREEMENT VOLUNTARILY AND OF MY OWN FREE WILL.</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760" w:type="dxa"/>
            <w:vAlign w:val="bottom"/>
          </w:tcPr>
          <w:p>
            <w:pPr>
              <w:spacing w:after="0"/>
              <w:rPr>
                <w:sz w:val="20"/>
                <w:szCs w:val="20"/>
                <w:color w:val="auto"/>
              </w:rPr>
            </w:pPr>
            <w:r>
              <w:rPr>
                <w:rFonts w:ascii="Arial" w:cs="Arial" w:eastAsia="Arial" w:hAnsi="Arial"/>
                <w:sz w:val="22"/>
                <w:szCs w:val="22"/>
                <w:color w:val="auto"/>
              </w:rPr>
              <w:t>Dated:</w:t>
            </w:r>
          </w:p>
        </w:tc>
        <w:tc>
          <w:tcPr>
            <w:tcW w:w="2380" w:type="dxa"/>
            <w:vAlign w:val="bottom"/>
          </w:tcPr>
          <w:p>
            <w:pPr>
              <w:spacing w:after="0"/>
              <w:rPr>
                <w:sz w:val="20"/>
                <w:szCs w:val="20"/>
                <w:color w:val="auto"/>
              </w:rPr>
            </w:pPr>
            <w:r>
              <w:rPr>
                <w:rFonts w:ascii="Arial" w:cs="Arial" w:eastAsia="Arial" w:hAnsi="Arial"/>
                <w:sz w:val="22"/>
                <w:szCs w:val="22"/>
                <w:color w:val="auto"/>
              </w:rPr>
              <w:t>7/21/2008</w:t>
            </w:r>
          </w:p>
        </w:tc>
      </w:tr>
      <w:tr>
        <w:trPr>
          <w:trHeight w:val="486"/>
        </w:trPr>
        <w:tc>
          <w:tcPr>
            <w:tcW w:w="760" w:type="dxa"/>
            <w:vAlign w:val="bottom"/>
          </w:tcPr>
          <w:p>
            <w:pPr>
              <w:spacing w:after="0"/>
              <w:rPr>
                <w:sz w:val="24"/>
                <w:szCs w:val="24"/>
                <w:color w:val="auto"/>
              </w:rPr>
            </w:pPr>
          </w:p>
        </w:tc>
        <w:tc>
          <w:tcPr>
            <w:tcW w:w="2380" w:type="dxa"/>
            <w:vAlign w:val="bottom"/>
          </w:tcPr>
          <w:p>
            <w:pPr>
              <w:spacing w:after="0"/>
              <w:rPr>
                <w:sz w:val="20"/>
                <w:szCs w:val="20"/>
                <w:color w:val="auto"/>
              </w:rPr>
            </w:pPr>
            <w:r>
              <w:rPr>
                <w:rFonts w:ascii="Arial" w:cs="Arial" w:eastAsia="Arial" w:hAnsi="Arial"/>
                <w:sz w:val="22"/>
                <w:szCs w:val="22"/>
                <w:color w:val="auto"/>
                <w:w w:val="96"/>
              </w:rPr>
              <w:t>/s/ MICHAEL J. LUTTATI</w:t>
            </w:r>
          </w:p>
        </w:tc>
      </w:tr>
      <w:tr>
        <w:trPr>
          <w:trHeight w:val="108"/>
        </w:trPr>
        <w:tc>
          <w:tcPr>
            <w:tcW w:w="760" w:type="dxa"/>
            <w:vAlign w:val="bottom"/>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r>
      <w:tr>
        <w:trPr>
          <w:trHeight w:val="601"/>
        </w:trPr>
        <w:tc>
          <w:tcPr>
            <w:tcW w:w="760" w:type="dxa"/>
            <w:vAlign w:val="bottom"/>
          </w:tcPr>
          <w:p>
            <w:pPr>
              <w:spacing w:after="0"/>
              <w:rPr>
                <w:sz w:val="24"/>
                <w:szCs w:val="24"/>
                <w:color w:val="auto"/>
              </w:rPr>
            </w:pPr>
          </w:p>
        </w:tc>
        <w:tc>
          <w:tcPr>
            <w:tcW w:w="2380" w:type="dxa"/>
            <w:vAlign w:val="bottom"/>
          </w:tcPr>
          <w:p>
            <w:pPr>
              <w:spacing w:after="0"/>
              <w:rPr>
                <w:sz w:val="20"/>
                <w:szCs w:val="20"/>
                <w:color w:val="auto"/>
              </w:rPr>
            </w:pPr>
            <w:r>
              <w:rPr>
                <w:rFonts w:ascii="Arial" w:cs="Arial" w:eastAsia="Arial" w:hAnsi="Arial"/>
                <w:sz w:val="22"/>
                <w:szCs w:val="22"/>
                <w:color w:val="auto"/>
              </w:rPr>
              <w:t>Photronics, Inc.</w:t>
            </w:r>
          </w:p>
        </w:tc>
      </w:tr>
      <w:tr>
        <w:trPr>
          <w:trHeight w:val="486"/>
        </w:trPr>
        <w:tc>
          <w:tcPr>
            <w:tcW w:w="760" w:type="dxa"/>
            <w:vAlign w:val="bottom"/>
          </w:tcPr>
          <w:p>
            <w:pPr>
              <w:spacing w:after="0"/>
              <w:rPr>
                <w:sz w:val="20"/>
                <w:szCs w:val="20"/>
                <w:color w:val="auto"/>
              </w:rPr>
            </w:pPr>
            <w:r>
              <w:rPr>
                <w:rFonts w:ascii="Arial" w:cs="Arial" w:eastAsia="Arial" w:hAnsi="Arial"/>
                <w:sz w:val="22"/>
                <w:szCs w:val="22"/>
                <w:color w:val="auto"/>
              </w:rPr>
              <w:t>Dated:</w:t>
            </w:r>
          </w:p>
        </w:tc>
        <w:tc>
          <w:tcPr>
            <w:tcW w:w="2380" w:type="dxa"/>
            <w:vAlign w:val="bottom"/>
          </w:tcPr>
          <w:p>
            <w:pPr>
              <w:spacing w:after="0"/>
              <w:rPr>
                <w:sz w:val="20"/>
                <w:szCs w:val="20"/>
                <w:color w:val="auto"/>
              </w:rPr>
            </w:pPr>
            <w:r>
              <w:rPr>
                <w:rFonts w:ascii="Arial" w:cs="Arial" w:eastAsia="Arial" w:hAnsi="Arial"/>
                <w:sz w:val="22"/>
                <w:szCs w:val="22"/>
                <w:color w:val="auto"/>
              </w:rPr>
              <w:t>7/21/2008</w:t>
            </w:r>
          </w:p>
        </w:tc>
      </w:tr>
      <w:tr>
        <w:trPr>
          <w:trHeight w:val="486"/>
        </w:trPr>
        <w:tc>
          <w:tcPr>
            <w:tcW w:w="760" w:type="dxa"/>
            <w:vAlign w:val="bottom"/>
          </w:tcPr>
          <w:p>
            <w:pPr>
              <w:spacing w:after="0"/>
              <w:rPr>
                <w:sz w:val="20"/>
                <w:szCs w:val="20"/>
                <w:color w:val="auto"/>
              </w:rPr>
            </w:pPr>
            <w:r>
              <w:rPr>
                <w:rFonts w:ascii="Arial" w:cs="Arial" w:eastAsia="Arial" w:hAnsi="Arial"/>
                <w:sz w:val="22"/>
                <w:szCs w:val="22"/>
                <w:color w:val="auto"/>
              </w:rPr>
              <w:t>By:</w:t>
            </w:r>
          </w:p>
        </w:tc>
        <w:tc>
          <w:tcPr>
            <w:tcW w:w="2380" w:type="dxa"/>
            <w:vAlign w:val="bottom"/>
          </w:tcPr>
          <w:p>
            <w:pPr>
              <w:spacing w:after="0"/>
              <w:rPr>
                <w:sz w:val="20"/>
                <w:szCs w:val="20"/>
                <w:color w:val="auto"/>
              </w:rPr>
            </w:pPr>
            <w:r>
              <w:rPr>
                <w:rFonts w:ascii="Arial" w:cs="Arial" w:eastAsia="Arial" w:hAnsi="Arial"/>
                <w:sz w:val="22"/>
                <w:szCs w:val="22"/>
                <w:color w:val="auto"/>
              </w:rPr>
              <w:t>/s/ RICHELLE E. BURR</w:t>
            </w:r>
          </w:p>
        </w:tc>
      </w:tr>
      <w:tr>
        <w:trPr>
          <w:trHeight w:val="108"/>
        </w:trPr>
        <w:tc>
          <w:tcPr>
            <w:tcW w:w="760" w:type="dxa"/>
            <w:vAlign w:val="bottom"/>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r>
      <w:tr>
        <w:trPr>
          <w:trHeight w:val="570"/>
        </w:trPr>
        <w:tc>
          <w:tcPr>
            <w:tcW w:w="760" w:type="dxa"/>
            <w:vAlign w:val="bottom"/>
          </w:tcPr>
          <w:p>
            <w:pPr>
              <w:spacing w:after="0"/>
              <w:rPr>
                <w:sz w:val="20"/>
                <w:szCs w:val="20"/>
                <w:color w:val="auto"/>
              </w:rPr>
            </w:pPr>
            <w:r>
              <w:rPr>
                <w:rFonts w:ascii="Arial" w:cs="Arial" w:eastAsia="Arial" w:hAnsi="Arial"/>
                <w:sz w:val="22"/>
                <w:szCs w:val="22"/>
                <w:color w:val="auto"/>
              </w:rPr>
              <w:t>Title:</w:t>
            </w:r>
          </w:p>
        </w:tc>
        <w:tc>
          <w:tcPr>
            <w:tcW w:w="2380" w:type="dxa"/>
            <w:vAlign w:val="bottom"/>
          </w:tcPr>
          <w:p>
            <w:pPr>
              <w:spacing w:after="0"/>
              <w:rPr>
                <w:sz w:val="20"/>
                <w:szCs w:val="20"/>
                <w:color w:val="auto"/>
              </w:rPr>
            </w:pPr>
            <w:r>
              <w:rPr>
                <w:rFonts w:ascii="Arial" w:cs="Arial" w:eastAsia="Arial" w:hAnsi="Arial"/>
                <w:sz w:val="22"/>
                <w:szCs w:val="22"/>
                <w:color w:val="auto"/>
              </w:rPr>
              <w:t>Vice President</w:t>
            </w:r>
          </w:p>
        </w:tc>
      </w:tr>
      <w:tr>
        <w:trPr>
          <w:trHeight w:val="243"/>
        </w:trPr>
        <w:tc>
          <w:tcPr>
            <w:tcW w:w="760" w:type="dxa"/>
            <w:vAlign w:val="bottom"/>
          </w:tcPr>
          <w:p>
            <w:pPr>
              <w:spacing w:after="0"/>
              <w:rPr>
                <w:sz w:val="21"/>
                <w:szCs w:val="21"/>
                <w:color w:val="auto"/>
              </w:rPr>
            </w:pPr>
          </w:p>
        </w:tc>
        <w:tc>
          <w:tcPr>
            <w:tcW w:w="2380" w:type="dxa"/>
            <w:vAlign w:val="bottom"/>
          </w:tcPr>
          <w:p>
            <w:pPr>
              <w:spacing w:after="0" w:line="243" w:lineRule="exact"/>
              <w:rPr>
                <w:sz w:val="20"/>
                <w:szCs w:val="20"/>
                <w:color w:val="auto"/>
              </w:rPr>
            </w:pPr>
            <w:r>
              <w:rPr>
                <w:rFonts w:ascii="Arial" w:cs="Arial" w:eastAsia="Arial" w:hAnsi="Arial"/>
                <w:sz w:val="22"/>
                <w:szCs w:val="22"/>
                <w:color w:val="auto"/>
                <w:w w:val="88"/>
              </w:rPr>
              <w:t>Associate General Counsel</w:t>
            </w:r>
          </w:p>
        </w:tc>
      </w:tr>
      <w:tr>
        <w:trPr>
          <w:trHeight w:val="275"/>
        </w:trPr>
        <w:tc>
          <w:tcPr>
            <w:tcW w:w="760" w:type="dxa"/>
            <w:vAlign w:val="bottom"/>
          </w:tcPr>
          <w:p>
            <w:pPr>
              <w:spacing w:after="0"/>
              <w:rPr>
                <w:sz w:val="23"/>
                <w:szCs w:val="23"/>
                <w:color w:val="auto"/>
              </w:rPr>
            </w:pPr>
          </w:p>
        </w:tc>
        <w:tc>
          <w:tcPr>
            <w:tcW w:w="2380" w:type="dxa"/>
            <w:vAlign w:val="bottom"/>
          </w:tcPr>
          <w:p>
            <w:pPr>
              <w:spacing w:after="0"/>
              <w:rPr>
                <w:sz w:val="20"/>
                <w:szCs w:val="20"/>
                <w:color w:val="auto"/>
              </w:rPr>
            </w:pPr>
            <w:r>
              <w:rPr>
                <w:rFonts w:ascii="Arial" w:cs="Arial" w:eastAsia="Arial" w:hAnsi="Arial"/>
                <w:sz w:val="22"/>
                <w:szCs w:val="22"/>
                <w:color w:val="auto"/>
              </w:rPr>
              <w:t>and Assistant Secretary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1984375</wp:posOffset>
            </wp:positionH>
            <wp:positionV relativeFrom="paragraph">
              <wp:posOffset>-1784985</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474980</wp:posOffset>
            </wp:positionH>
            <wp:positionV relativeFrom="paragraph">
              <wp:posOffset>-1784985</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1984375</wp:posOffset>
            </wp:positionH>
            <wp:positionV relativeFrom="paragraph">
              <wp:posOffset>-704850</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474980</wp:posOffset>
            </wp:positionH>
            <wp:positionV relativeFrom="paragraph">
              <wp:posOffset>-704850</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31" w:name="page32"/>
    <w:bookmarkEnd w:id="31"/>
    <w:p>
      <w:pPr>
        <w:spacing w:after="0"/>
        <w:rPr>
          <w:sz w:val="20"/>
          <w:szCs w:val="20"/>
          <w:color w:val="auto"/>
        </w:rPr>
      </w:pPr>
      <w:r>
        <w:rPr>
          <w:rFonts w:ascii="Arial" w:cs="Arial" w:eastAsia="Arial" w:hAnsi="Arial"/>
          <w:sz w:val="22"/>
          <w:szCs w:val="22"/>
          <w:b w:val="1"/>
          <w:bCs w:val="1"/>
          <w:color w:val="auto"/>
        </w:rPr>
        <w:t>EXHIBIT 31.1</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color w:val="auto"/>
        </w:rPr>
        <w:t>I, Constantine S. Macricostas, certify that:</w:t>
      </w:r>
    </w:p>
    <w:p>
      <w:pPr>
        <w:spacing w:after="0" w:line="233"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22"/>
          <w:szCs w:val="22"/>
          <w:color w:val="auto"/>
        </w:rPr>
      </w:pPr>
      <w:r>
        <w:rPr>
          <w:rFonts w:ascii="Arial" w:cs="Arial" w:eastAsia="Arial" w:hAnsi="Arial"/>
          <w:sz w:val="22"/>
          <w:szCs w:val="22"/>
          <w:color w:val="auto"/>
        </w:rPr>
        <w:t>I have reviewed this Quarterly Report on Form 10-Q of Photronics, Inc.</w:t>
      </w:r>
    </w:p>
    <w:p>
      <w:pPr>
        <w:spacing w:after="0" w:line="233" w:lineRule="exact"/>
        <w:rPr>
          <w:rFonts w:ascii="Arial" w:cs="Arial" w:eastAsia="Arial" w:hAnsi="Arial"/>
          <w:sz w:val="22"/>
          <w:szCs w:val="22"/>
          <w:color w:val="auto"/>
        </w:rPr>
      </w:pPr>
    </w:p>
    <w:p>
      <w:pPr>
        <w:ind w:left="340" w:right="1679" w:hanging="332"/>
        <w:spacing w:after="0" w:line="238" w:lineRule="auto"/>
        <w:tabs>
          <w:tab w:leader="none" w:pos="340" w:val="left"/>
        </w:tabs>
        <w:numPr>
          <w:ilvl w:val="0"/>
          <w:numId w:val="20"/>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2" w:lineRule="exact"/>
        <w:rPr>
          <w:rFonts w:ascii="Arial" w:cs="Arial" w:eastAsia="Arial" w:hAnsi="Arial"/>
          <w:sz w:val="22"/>
          <w:szCs w:val="22"/>
          <w:color w:val="auto"/>
        </w:rPr>
      </w:pPr>
    </w:p>
    <w:p>
      <w:pPr>
        <w:ind w:left="340" w:right="1779" w:hanging="332"/>
        <w:spacing w:after="0" w:line="297" w:lineRule="auto"/>
        <w:tabs>
          <w:tab w:leader="none" w:pos="340" w:val="left"/>
        </w:tabs>
        <w:numPr>
          <w:ilvl w:val="0"/>
          <w:numId w:val="20"/>
        </w:numPr>
        <w:rPr>
          <w:rFonts w:ascii="Arial" w:cs="Arial" w:eastAsia="Arial" w:hAnsi="Arial"/>
          <w:sz w:val="19"/>
          <w:szCs w:val="19"/>
          <w:color w:val="auto"/>
        </w:rPr>
      </w:pPr>
      <w:r>
        <w:rPr>
          <w:rFonts w:ascii="Arial" w:cs="Arial" w:eastAsia="Arial" w:hAnsi="Arial"/>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Arial" w:cs="Arial" w:eastAsia="Arial" w:hAnsi="Arial"/>
          <w:sz w:val="19"/>
          <w:szCs w:val="19"/>
          <w:color w:val="auto"/>
        </w:rPr>
      </w:pPr>
    </w:p>
    <w:p>
      <w:pPr>
        <w:ind w:left="340" w:right="1839" w:hanging="332"/>
        <w:spacing w:after="0" w:line="238" w:lineRule="auto"/>
        <w:tabs>
          <w:tab w:leader="none" w:pos="340" w:val="left"/>
        </w:tabs>
        <w:numPr>
          <w:ilvl w:val="0"/>
          <w:numId w:val="20"/>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2" w:lineRule="exact"/>
        <w:rPr>
          <w:rFonts w:ascii="Arial" w:cs="Arial" w:eastAsia="Arial" w:hAnsi="Arial"/>
          <w:sz w:val="22"/>
          <w:szCs w:val="22"/>
          <w:color w:val="auto"/>
        </w:rPr>
      </w:pPr>
    </w:p>
    <w:p>
      <w:pPr>
        <w:ind w:left="680" w:right="1839" w:hanging="348"/>
        <w:spacing w:after="0" w:line="236" w:lineRule="auto"/>
        <w:tabs>
          <w:tab w:leader="none" w:pos="680" w:val="left"/>
        </w:tabs>
        <w:numPr>
          <w:ilvl w:val="1"/>
          <w:numId w:val="20"/>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4" w:lineRule="exact"/>
        <w:rPr>
          <w:rFonts w:ascii="Arial" w:cs="Arial" w:eastAsia="Arial" w:hAnsi="Arial"/>
          <w:sz w:val="22"/>
          <w:szCs w:val="22"/>
          <w:color w:val="auto"/>
        </w:rPr>
      </w:pPr>
    </w:p>
    <w:p>
      <w:pPr>
        <w:ind w:left="680" w:right="1639" w:hanging="348"/>
        <w:spacing w:after="0" w:line="287" w:lineRule="auto"/>
        <w:tabs>
          <w:tab w:leader="none" w:pos="680" w:val="left"/>
        </w:tabs>
        <w:numPr>
          <w:ilvl w:val="1"/>
          <w:numId w:val="20"/>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9"/>
          <w:szCs w:val="19"/>
          <w:color w:val="auto"/>
        </w:rPr>
      </w:pPr>
    </w:p>
    <w:p>
      <w:pPr>
        <w:ind w:left="680" w:right="1779" w:hanging="348"/>
        <w:spacing w:after="0" w:line="238" w:lineRule="auto"/>
        <w:tabs>
          <w:tab w:leader="none" w:pos="680" w:val="left"/>
        </w:tabs>
        <w:numPr>
          <w:ilvl w:val="1"/>
          <w:numId w:val="20"/>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212" w:lineRule="exact"/>
        <w:rPr>
          <w:rFonts w:ascii="Arial" w:cs="Arial" w:eastAsia="Arial" w:hAnsi="Arial"/>
          <w:sz w:val="22"/>
          <w:szCs w:val="22"/>
          <w:color w:val="auto"/>
        </w:rPr>
      </w:pPr>
    </w:p>
    <w:p>
      <w:pPr>
        <w:ind w:left="680" w:right="1999" w:hanging="348"/>
        <w:spacing w:after="0" w:line="236" w:lineRule="auto"/>
        <w:tabs>
          <w:tab w:leader="none" w:pos="680" w:val="left"/>
        </w:tabs>
        <w:numPr>
          <w:ilvl w:val="1"/>
          <w:numId w:val="20"/>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4" w:lineRule="exact"/>
        <w:rPr>
          <w:rFonts w:ascii="Arial" w:cs="Arial" w:eastAsia="Arial" w:hAnsi="Arial"/>
          <w:sz w:val="22"/>
          <w:szCs w:val="22"/>
          <w:color w:val="auto"/>
        </w:rPr>
      </w:pPr>
    </w:p>
    <w:p>
      <w:pPr>
        <w:ind w:left="340" w:right="1779" w:hanging="332"/>
        <w:spacing w:after="0" w:line="238" w:lineRule="auto"/>
        <w:tabs>
          <w:tab w:leader="none" w:pos="340" w:val="left"/>
        </w:tabs>
        <w:numPr>
          <w:ilvl w:val="0"/>
          <w:numId w:val="20"/>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2" w:lineRule="exact"/>
        <w:rPr>
          <w:rFonts w:ascii="Arial" w:cs="Arial" w:eastAsia="Arial" w:hAnsi="Arial"/>
          <w:sz w:val="22"/>
          <w:szCs w:val="22"/>
          <w:color w:val="auto"/>
        </w:rPr>
      </w:pPr>
    </w:p>
    <w:p>
      <w:pPr>
        <w:ind w:left="680" w:right="1859" w:hanging="348"/>
        <w:spacing w:after="0" w:line="297" w:lineRule="auto"/>
        <w:tabs>
          <w:tab w:leader="none" w:pos="680" w:val="left"/>
        </w:tabs>
        <w:numPr>
          <w:ilvl w:val="1"/>
          <w:numId w:val="20"/>
        </w:numPr>
        <w:rPr>
          <w:rFonts w:ascii="Arial" w:cs="Arial" w:eastAsia="Arial" w:hAnsi="Arial"/>
          <w:sz w:val="19"/>
          <w:szCs w:val="19"/>
          <w:color w:val="auto"/>
        </w:rPr>
      </w:pPr>
      <w:r>
        <w:rPr>
          <w:rFonts w:ascii="Arial" w:cs="Arial" w:eastAsia="Arial" w:hAnsi="Arial"/>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Arial" w:cs="Arial" w:eastAsia="Arial" w:hAnsi="Arial"/>
          <w:sz w:val="19"/>
          <w:szCs w:val="19"/>
          <w:color w:val="auto"/>
        </w:rPr>
      </w:pPr>
    </w:p>
    <w:p>
      <w:pPr>
        <w:ind w:left="680" w:right="2079" w:hanging="348"/>
        <w:spacing w:after="0" w:line="328" w:lineRule="auto"/>
        <w:tabs>
          <w:tab w:leader="none" w:pos="680" w:val="left"/>
        </w:tabs>
        <w:numPr>
          <w:ilvl w:val="1"/>
          <w:numId w:val="20"/>
        </w:numPr>
        <w:rPr>
          <w:rFonts w:ascii="Arial" w:cs="Arial" w:eastAsia="Arial" w:hAnsi="Arial"/>
          <w:sz w:val="19"/>
          <w:szCs w:val="19"/>
          <w:color w:val="auto"/>
        </w:rPr>
      </w:pPr>
      <w:r>
        <w:rPr>
          <w:rFonts w:ascii="Arial" w:cs="Arial" w:eastAsia="Arial" w:hAnsi="Arial"/>
          <w:sz w:val="19"/>
          <w:szCs w:val="19"/>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2"/>
          <w:szCs w:val="22"/>
          <w:color w:val="auto"/>
        </w:rPr>
        <w:t>/s/ CONSTANTINE S. MACRICOSTAS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2319655"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319655" cy="2159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Constantine S. Macricostas</w:t>
      </w:r>
    </w:p>
    <w:p>
      <w:pPr>
        <w:spacing w:after="0" w:line="238" w:lineRule="auto"/>
        <w:rPr>
          <w:sz w:val="20"/>
          <w:szCs w:val="20"/>
          <w:color w:val="auto"/>
        </w:rPr>
      </w:pPr>
      <w:r>
        <w:rPr>
          <w:rFonts w:ascii="Arial" w:cs="Arial" w:eastAsia="Arial" w:hAnsi="Arial"/>
          <w:sz w:val="22"/>
          <w:szCs w:val="22"/>
          <w:color w:val="auto"/>
        </w:rPr>
        <w:t>Interim Chief Executive Officer</w:t>
      </w:r>
    </w:p>
    <w:p>
      <w:pPr>
        <w:spacing w:after="0"/>
        <w:rPr>
          <w:sz w:val="20"/>
          <w:szCs w:val="20"/>
          <w:color w:val="auto"/>
        </w:rPr>
      </w:pPr>
      <w:r>
        <w:rPr>
          <w:rFonts w:ascii="Arial" w:cs="Arial" w:eastAsia="Arial" w:hAnsi="Arial"/>
          <w:sz w:val="22"/>
          <w:szCs w:val="22"/>
          <w:color w:val="auto"/>
        </w:rPr>
        <w:t>September 3, 2008</w:t>
      </w:r>
    </w:p>
    <w:p>
      <w:pPr>
        <w:sectPr>
          <w:pgSz w:w="11900" w:h="16838" w:orient="portrait"/>
          <w:cols w:equalWidth="0" w:num="1">
            <w:col w:w="10219"/>
          </w:cols>
          <w:pgMar w:left="240" w:top="111" w:right="1440" w:bottom="1440" w:gutter="0" w:footer="0" w:header="0"/>
        </w:sectPr>
      </w:pPr>
    </w:p>
    <w:bookmarkStart w:id="32" w:name="page33"/>
    <w:bookmarkEnd w:id="32"/>
    <w:p>
      <w:pPr>
        <w:spacing w:after="0"/>
        <w:rPr>
          <w:sz w:val="20"/>
          <w:szCs w:val="20"/>
          <w:color w:val="auto"/>
        </w:rPr>
      </w:pPr>
      <w:r>
        <w:rPr>
          <w:rFonts w:ascii="Arial" w:cs="Arial" w:eastAsia="Arial" w:hAnsi="Arial"/>
          <w:sz w:val="22"/>
          <w:szCs w:val="22"/>
          <w:b w:val="1"/>
          <w:bCs w:val="1"/>
          <w:color w:val="auto"/>
        </w:rPr>
        <w:t>EXHIBIT 31.2</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color w:val="auto"/>
        </w:rPr>
        <w:t>I, Sean T. Smith, certify that:</w:t>
      </w:r>
    </w:p>
    <w:p>
      <w:pPr>
        <w:spacing w:after="0" w:line="233"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22"/>
          <w:szCs w:val="22"/>
          <w:color w:val="auto"/>
        </w:rPr>
      </w:pPr>
      <w:r>
        <w:rPr>
          <w:rFonts w:ascii="Arial" w:cs="Arial" w:eastAsia="Arial" w:hAnsi="Arial"/>
          <w:sz w:val="22"/>
          <w:szCs w:val="22"/>
          <w:color w:val="auto"/>
        </w:rPr>
        <w:t>I have reviewed this Quarterly Report on Form 10-Q of Photronics, Inc.</w:t>
      </w:r>
    </w:p>
    <w:p>
      <w:pPr>
        <w:spacing w:after="0" w:line="233" w:lineRule="exact"/>
        <w:rPr>
          <w:rFonts w:ascii="Arial" w:cs="Arial" w:eastAsia="Arial" w:hAnsi="Arial"/>
          <w:sz w:val="22"/>
          <w:szCs w:val="22"/>
          <w:color w:val="auto"/>
        </w:rPr>
      </w:pPr>
    </w:p>
    <w:p>
      <w:pPr>
        <w:ind w:left="340" w:right="1679" w:hanging="332"/>
        <w:spacing w:after="0" w:line="238" w:lineRule="auto"/>
        <w:tabs>
          <w:tab w:leader="none" w:pos="340" w:val="left"/>
        </w:tabs>
        <w:numPr>
          <w:ilvl w:val="0"/>
          <w:numId w:val="21"/>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2" w:lineRule="exact"/>
        <w:rPr>
          <w:rFonts w:ascii="Arial" w:cs="Arial" w:eastAsia="Arial" w:hAnsi="Arial"/>
          <w:sz w:val="22"/>
          <w:szCs w:val="22"/>
          <w:color w:val="auto"/>
        </w:rPr>
      </w:pPr>
    </w:p>
    <w:p>
      <w:pPr>
        <w:ind w:left="340" w:right="1779" w:hanging="332"/>
        <w:spacing w:after="0" w:line="297" w:lineRule="auto"/>
        <w:tabs>
          <w:tab w:leader="none" w:pos="340" w:val="left"/>
        </w:tabs>
        <w:numPr>
          <w:ilvl w:val="0"/>
          <w:numId w:val="21"/>
        </w:numPr>
        <w:rPr>
          <w:rFonts w:ascii="Arial" w:cs="Arial" w:eastAsia="Arial" w:hAnsi="Arial"/>
          <w:sz w:val="19"/>
          <w:szCs w:val="19"/>
          <w:color w:val="auto"/>
        </w:rPr>
      </w:pPr>
      <w:r>
        <w:rPr>
          <w:rFonts w:ascii="Arial" w:cs="Arial" w:eastAsia="Arial" w:hAnsi="Arial"/>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Arial" w:cs="Arial" w:eastAsia="Arial" w:hAnsi="Arial"/>
          <w:sz w:val="19"/>
          <w:szCs w:val="19"/>
          <w:color w:val="auto"/>
        </w:rPr>
      </w:pPr>
    </w:p>
    <w:p>
      <w:pPr>
        <w:ind w:left="340" w:right="1839" w:hanging="332"/>
        <w:spacing w:after="0" w:line="238" w:lineRule="auto"/>
        <w:tabs>
          <w:tab w:leader="none" w:pos="340" w:val="left"/>
        </w:tabs>
        <w:numPr>
          <w:ilvl w:val="0"/>
          <w:numId w:val="21"/>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2" w:lineRule="exact"/>
        <w:rPr>
          <w:rFonts w:ascii="Arial" w:cs="Arial" w:eastAsia="Arial" w:hAnsi="Arial"/>
          <w:sz w:val="22"/>
          <w:szCs w:val="22"/>
          <w:color w:val="auto"/>
        </w:rPr>
      </w:pPr>
    </w:p>
    <w:p>
      <w:pPr>
        <w:ind w:left="680" w:right="1839" w:hanging="348"/>
        <w:spacing w:after="0" w:line="236" w:lineRule="auto"/>
        <w:tabs>
          <w:tab w:leader="none" w:pos="680" w:val="left"/>
        </w:tabs>
        <w:numPr>
          <w:ilvl w:val="1"/>
          <w:numId w:val="21"/>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4" w:lineRule="exact"/>
        <w:rPr>
          <w:rFonts w:ascii="Arial" w:cs="Arial" w:eastAsia="Arial" w:hAnsi="Arial"/>
          <w:sz w:val="22"/>
          <w:szCs w:val="22"/>
          <w:color w:val="auto"/>
        </w:rPr>
      </w:pPr>
    </w:p>
    <w:p>
      <w:pPr>
        <w:ind w:left="680" w:right="1639" w:hanging="348"/>
        <w:spacing w:after="0" w:line="287" w:lineRule="auto"/>
        <w:tabs>
          <w:tab w:leader="none" w:pos="680" w:val="left"/>
        </w:tabs>
        <w:numPr>
          <w:ilvl w:val="1"/>
          <w:numId w:val="21"/>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9"/>
          <w:szCs w:val="19"/>
          <w:color w:val="auto"/>
        </w:rPr>
      </w:pPr>
    </w:p>
    <w:p>
      <w:pPr>
        <w:ind w:left="680" w:right="1779" w:hanging="348"/>
        <w:spacing w:after="0" w:line="238" w:lineRule="auto"/>
        <w:tabs>
          <w:tab w:leader="none" w:pos="680" w:val="left"/>
        </w:tabs>
        <w:numPr>
          <w:ilvl w:val="1"/>
          <w:numId w:val="21"/>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212" w:lineRule="exact"/>
        <w:rPr>
          <w:rFonts w:ascii="Arial" w:cs="Arial" w:eastAsia="Arial" w:hAnsi="Arial"/>
          <w:sz w:val="22"/>
          <w:szCs w:val="22"/>
          <w:color w:val="auto"/>
        </w:rPr>
      </w:pPr>
    </w:p>
    <w:p>
      <w:pPr>
        <w:ind w:left="680" w:right="1999" w:hanging="348"/>
        <w:spacing w:after="0" w:line="236" w:lineRule="auto"/>
        <w:tabs>
          <w:tab w:leader="none" w:pos="680" w:val="left"/>
        </w:tabs>
        <w:numPr>
          <w:ilvl w:val="1"/>
          <w:numId w:val="21"/>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4" w:lineRule="exact"/>
        <w:rPr>
          <w:rFonts w:ascii="Arial" w:cs="Arial" w:eastAsia="Arial" w:hAnsi="Arial"/>
          <w:sz w:val="22"/>
          <w:szCs w:val="22"/>
          <w:color w:val="auto"/>
        </w:rPr>
      </w:pPr>
    </w:p>
    <w:p>
      <w:pPr>
        <w:ind w:left="340" w:right="1779" w:hanging="332"/>
        <w:spacing w:after="0" w:line="238" w:lineRule="auto"/>
        <w:tabs>
          <w:tab w:leader="none" w:pos="340" w:val="left"/>
        </w:tabs>
        <w:numPr>
          <w:ilvl w:val="0"/>
          <w:numId w:val="21"/>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2" w:lineRule="exact"/>
        <w:rPr>
          <w:rFonts w:ascii="Arial" w:cs="Arial" w:eastAsia="Arial" w:hAnsi="Arial"/>
          <w:sz w:val="22"/>
          <w:szCs w:val="22"/>
          <w:color w:val="auto"/>
        </w:rPr>
      </w:pPr>
    </w:p>
    <w:p>
      <w:pPr>
        <w:ind w:left="680" w:right="1859" w:hanging="348"/>
        <w:spacing w:after="0" w:line="297" w:lineRule="auto"/>
        <w:tabs>
          <w:tab w:leader="none" w:pos="680" w:val="left"/>
        </w:tabs>
        <w:numPr>
          <w:ilvl w:val="1"/>
          <w:numId w:val="21"/>
        </w:numPr>
        <w:rPr>
          <w:rFonts w:ascii="Arial" w:cs="Arial" w:eastAsia="Arial" w:hAnsi="Arial"/>
          <w:sz w:val="19"/>
          <w:szCs w:val="19"/>
          <w:color w:val="auto"/>
        </w:rPr>
      </w:pPr>
      <w:r>
        <w:rPr>
          <w:rFonts w:ascii="Arial" w:cs="Arial" w:eastAsia="Arial" w:hAnsi="Arial"/>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Arial" w:cs="Arial" w:eastAsia="Arial" w:hAnsi="Arial"/>
          <w:sz w:val="19"/>
          <w:szCs w:val="19"/>
          <w:color w:val="auto"/>
        </w:rPr>
      </w:pPr>
    </w:p>
    <w:p>
      <w:pPr>
        <w:ind w:left="680" w:right="2079" w:hanging="348"/>
        <w:spacing w:after="0" w:line="328" w:lineRule="auto"/>
        <w:tabs>
          <w:tab w:leader="none" w:pos="680" w:val="left"/>
        </w:tabs>
        <w:numPr>
          <w:ilvl w:val="1"/>
          <w:numId w:val="21"/>
        </w:numPr>
        <w:rPr>
          <w:rFonts w:ascii="Arial" w:cs="Arial" w:eastAsia="Arial" w:hAnsi="Arial"/>
          <w:sz w:val="19"/>
          <w:szCs w:val="19"/>
          <w:color w:val="auto"/>
        </w:rPr>
      </w:pPr>
      <w:r>
        <w:rPr>
          <w:rFonts w:ascii="Arial" w:cs="Arial" w:eastAsia="Arial" w:hAnsi="Arial"/>
          <w:sz w:val="19"/>
          <w:szCs w:val="19"/>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2"/>
          <w:szCs w:val="22"/>
          <w:color w:val="auto"/>
        </w:rPr>
        <w:t>/s/ SEAN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12560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56030" cy="2159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Sean T. Smith</w:t>
      </w:r>
    </w:p>
    <w:p>
      <w:pPr>
        <w:spacing w:after="0" w:line="238" w:lineRule="auto"/>
        <w:rPr>
          <w:sz w:val="20"/>
          <w:szCs w:val="20"/>
          <w:color w:val="auto"/>
        </w:rPr>
      </w:pPr>
      <w:r>
        <w:rPr>
          <w:rFonts w:ascii="Arial" w:cs="Arial" w:eastAsia="Arial" w:hAnsi="Arial"/>
          <w:sz w:val="22"/>
          <w:szCs w:val="22"/>
          <w:color w:val="auto"/>
        </w:rPr>
        <w:t>Chief Financial</w:t>
      </w:r>
    </w:p>
    <w:p>
      <w:pPr>
        <w:spacing w:after="0" w:line="230" w:lineRule="auto"/>
        <w:rPr>
          <w:sz w:val="20"/>
          <w:szCs w:val="20"/>
          <w:color w:val="auto"/>
        </w:rPr>
      </w:pPr>
      <w:r>
        <w:rPr>
          <w:rFonts w:ascii="Arial" w:cs="Arial" w:eastAsia="Arial" w:hAnsi="Arial"/>
          <w:sz w:val="22"/>
          <w:szCs w:val="22"/>
          <w:color w:val="auto"/>
        </w:rPr>
        <w:t>Officer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September 3, 2008</w:t>
      </w:r>
    </w:p>
    <w:p>
      <w:pPr>
        <w:sectPr>
          <w:pgSz w:w="11900" w:h="16838" w:orient="portrait"/>
          <w:cols w:equalWidth="0" w:num="1">
            <w:col w:w="10219"/>
          </w:cols>
          <w:pgMar w:left="240" w:top="111" w:right="1440" w:bottom="1110" w:gutter="0" w:footer="0" w:header="0"/>
        </w:sectPr>
      </w:pPr>
    </w:p>
    <w:bookmarkStart w:id="33" w:name="page34"/>
    <w:bookmarkEnd w:id="33"/>
    <w:p>
      <w:pPr>
        <w:spacing w:after="0"/>
        <w:rPr>
          <w:sz w:val="20"/>
          <w:szCs w:val="20"/>
          <w:color w:val="auto"/>
        </w:rPr>
      </w:pPr>
      <w:r>
        <w:rPr>
          <w:rFonts w:ascii="Arial" w:cs="Arial" w:eastAsia="Arial" w:hAnsi="Arial"/>
          <w:sz w:val="22"/>
          <w:szCs w:val="22"/>
          <w:b w:val="1"/>
          <w:bCs w:val="1"/>
          <w:color w:val="auto"/>
        </w:rPr>
        <w:t>EXHIBIT 32.1</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1350 Certification of the Chief Executive Officer</w:t>
      </w:r>
    </w:p>
    <w:p>
      <w:pPr>
        <w:spacing w:after="0" w:line="212"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I, Constantine S. Macricostas, Interim Chief Executive Officer of Photronics, Inc. (the "Company"), certify, pursuant to Section 906 of the Sarbanes-Oxley Act of 2002, 18 U.S.C. Section 1350, that:</w:t>
      </w:r>
    </w:p>
    <w:p>
      <w:pPr>
        <w:spacing w:after="0" w:line="200" w:lineRule="exact"/>
        <w:rPr>
          <w:sz w:val="20"/>
          <w:szCs w:val="20"/>
          <w:color w:val="auto"/>
        </w:rPr>
      </w:pPr>
    </w:p>
    <w:p>
      <w:pPr>
        <w:ind w:left="500" w:right="300" w:hanging="492"/>
        <w:spacing w:after="0" w:line="251" w:lineRule="auto"/>
        <w:tabs>
          <w:tab w:leader="none" w:pos="500" w:val="left"/>
        </w:tabs>
        <w:numPr>
          <w:ilvl w:val="0"/>
          <w:numId w:val="22"/>
        </w:numPr>
        <w:rPr>
          <w:rFonts w:ascii="Arial" w:cs="Arial" w:eastAsia="Arial" w:hAnsi="Arial"/>
          <w:sz w:val="22"/>
          <w:szCs w:val="22"/>
          <w:color w:val="auto"/>
        </w:rPr>
      </w:pPr>
      <w:r>
        <w:rPr>
          <w:rFonts w:ascii="Arial" w:cs="Arial" w:eastAsia="Arial" w:hAnsi="Arial"/>
          <w:sz w:val="22"/>
          <w:szCs w:val="22"/>
          <w:color w:val="auto"/>
        </w:rPr>
        <w:t>the Quarterly Report on Form 10-Q of the Company for the quarter ended July 27, 2008 (the "Report") fully complies with the requirements of Section 13(a) or 15(d) of the Securities Exchange Act of 1934; and</w:t>
      </w:r>
    </w:p>
    <w:p>
      <w:pPr>
        <w:spacing w:after="0" w:line="200" w:lineRule="exact"/>
        <w:rPr>
          <w:rFonts w:ascii="Arial" w:cs="Arial" w:eastAsia="Arial" w:hAnsi="Arial"/>
          <w:sz w:val="22"/>
          <w:szCs w:val="22"/>
          <w:color w:val="auto"/>
        </w:rPr>
      </w:pPr>
    </w:p>
    <w:p>
      <w:pPr>
        <w:ind w:left="500" w:right="900" w:hanging="492"/>
        <w:spacing w:after="0" w:line="251" w:lineRule="auto"/>
        <w:tabs>
          <w:tab w:leader="none" w:pos="500" w:val="left"/>
        </w:tabs>
        <w:numPr>
          <w:ilvl w:val="0"/>
          <w:numId w:val="22"/>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color w:val="auto"/>
        </w:rPr>
        <w:t>/s/ CONSTANTINE S. MACRICOSTAS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2319655"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319655" cy="2159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Constantine S. Macricostas</w:t>
      </w:r>
    </w:p>
    <w:p>
      <w:pPr>
        <w:spacing w:after="0" w:line="238" w:lineRule="auto"/>
        <w:rPr>
          <w:sz w:val="20"/>
          <w:szCs w:val="20"/>
          <w:color w:val="auto"/>
        </w:rPr>
      </w:pPr>
      <w:r>
        <w:rPr>
          <w:rFonts w:ascii="Arial" w:cs="Arial" w:eastAsia="Arial" w:hAnsi="Arial"/>
          <w:sz w:val="22"/>
          <w:szCs w:val="22"/>
          <w:color w:val="auto"/>
        </w:rPr>
        <w:t>Interim Chief Executive Officer</w:t>
      </w:r>
    </w:p>
    <w:p>
      <w:pPr>
        <w:spacing w:after="0"/>
        <w:rPr>
          <w:sz w:val="20"/>
          <w:szCs w:val="20"/>
          <w:color w:val="auto"/>
        </w:rPr>
      </w:pPr>
      <w:r>
        <w:rPr>
          <w:rFonts w:ascii="Arial" w:cs="Arial" w:eastAsia="Arial" w:hAnsi="Arial"/>
          <w:sz w:val="22"/>
          <w:szCs w:val="22"/>
          <w:color w:val="auto"/>
        </w:rPr>
        <w:t>September 3, 2008</w:t>
      </w:r>
    </w:p>
    <w:p>
      <w:pPr>
        <w:sectPr>
          <w:pgSz w:w="11900" w:h="16838" w:orient="portrait"/>
          <w:cols w:equalWidth="0" w:num="1">
            <w:col w:w="11420"/>
          </w:cols>
          <w:pgMar w:left="240" w:top="111" w:right="239" w:bottom="1440" w:gutter="0" w:footer="0" w:header="0"/>
        </w:sectPr>
      </w:pPr>
    </w:p>
    <w:bookmarkStart w:id="34" w:name="page35"/>
    <w:bookmarkEnd w:id="34"/>
    <w:p>
      <w:pPr>
        <w:spacing w:after="0"/>
        <w:rPr>
          <w:sz w:val="20"/>
          <w:szCs w:val="20"/>
          <w:color w:val="auto"/>
        </w:rPr>
      </w:pPr>
      <w:r>
        <w:rPr>
          <w:rFonts w:ascii="Arial" w:cs="Arial" w:eastAsia="Arial" w:hAnsi="Arial"/>
          <w:sz w:val="22"/>
          <w:szCs w:val="22"/>
          <w:b w:val="1"/>
          <w:bCs w:val="1"/>
          <w:color w:val="auto"/>
        </w:rPr>
        <w:t>EXHIBIT 32.2</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1350 Certification of the Chief Financial Officer</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I, Sean T. Smith, Chief Financial Officer of Photronics, Inc. (the "Company"), certify, pursuant to Section 906 of the Sarbanes-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Oxley Act of 2002, 18 U.S.C. Section 1350, that:</w:t>
      </w:r>
    </w:p>
    <w:p>
      <w:pPr>
        <w:spacing w:after="0" w:line="215" w:lineRule="exact"/>
        <w:rPr>
          <w:sz w:val="20"/>
          <w:szCs w:val="20"/>
          <w:color w:val="auto"/>
        </w:rPr>
      </w:pPr>
    </w:p>
    <w:p>
      <w:pPr>
        <w:ind w:left="500" w:hanging="492"/>
        <w:spacing w:after="0" w:line="251" w:lineRule="auto"/>
        <w:tabs>
          <w:tab w:leader="none" w:pos="500" w:val="left"/>
        </w:tabs>
        <w:numPr>
          <w:ilvl w:val="0"/>
          <w:numId w:val="23"/>
        </w:numPr>
        <w:rPr>
          <w:rFonts w:ascii="Arial" w:cs="Arial" w:eastAsia="Arial" w:hAnsi="Arial"/>
          <w:sz w:val="22"/>
          <w:szCs w:val="22"/>
          <w:color w:val="auto"/>
        </w:rPr>
      </w:pPr>
      <w:r>
        <w:rPr>
          <w:rFonts w:ascii="Arial" w:cs="Arial" w:eastAsia="Arial" w:hAnsi="Arial"/>
          <w:sz w:val="22"/>
          <w:szCs w:val="22"/>
          <w:color w:val="auto"/>
        </w:rPr>
        <w:t>the Quarterly Report on Form 10-Q of the Company for the quarter ended July 27, 2008 (the "Report") fully complies with the requirements of Section 13(a) or 15(d) of the Securities Exchange Act of 1934; and</w:t>
      </w:r>
    </w:p>
    <w:p>
      <w:pPr>
        <w:spacing w:after="0" w:line="200" w:lineRule="exact"/>
        <w:rPr>
          <w:rFonts w:ascii="Arial" w:cs="Arial" w:eastAsia="Arial" w:hAnsi="Arial"/>
          <w:sz w:val="22"/>
          <w:szCs w:val="22"/>
          <w:color w:val="auto"/>
        </w:rPr>
      </w:pPr>
    </w:p>
    <w:p>
      <w:pPr>
        <w:ind w:left="500" w:right="600" w:hanging="492"/>
        <w:spacing w:after="0" w:line="251" w:lineRule="auto"/>
        <w:tabs>
          <w:tab w:leader="none" w:pos="500" w:val="left"/>
        </w:tabs>
        <w:numPr>
          <w:ilvl w:val="0"/>
          <w:numId w:val="23"/>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color w:val="auto"/>
        </w:rPr>
        <w:t>/s/ SEAN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129921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99210" cy="2159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Sean T. Smith</w:t>
      </w:r>
    </w:p>
    <w:p>
      <w:pPr>
        <w:spacing w:after="0" w:line="238" w:lineRule="auto"/>
        <w:rPr>
          <w:sz w:val="20"/>
          <w:szCs w:val="20"/>
          <w:color w:val="auto"/>
        </w:rPr>
      </w:pPr>
      <w:r>
        <w:rPr>
          <w:rFonts w:ascii="Arial" w:cs="Arial" w:eastAsia="Arial" w:hAnsi="Arial"/>
          <w:sz w:val="22"/>
          <w:szCs w:val="22"/>
          <w:color w:val="auto"/>
        </w:rPr>
        <w:t>Chief Financial Officer</w:t>
      </w:r>
    </w:p>
    <w:p>
      <w:pPr>
        <w:spacing w:after="0"/>
        <w:rPr>
          <w:sz w:val="20"/>
          <w:szCs w:val="20"/>
          <w:color w:val="auto"/>
        </w:rPr>
      </w:pPr>
      <w:r>
        <w:rPr>
          <w:rFonts w:ascii="Arial" w:cs="Arial" w:eastAsia="Arial" w:hAnsi="Arial"/>
          <w:sz w:val="22"/>
          <w:szCs w:val="22"/>
          <w:color w:val="auto"/>
        </w:rPr>
        <w:t>September 3, 2008</w:t>
      </w:r>
    </w:p>
    <w:sectPr>
      <w:pgSz w:w="11900" w:h="16838" w:orient="portrait"/>
      <w:cols w:equalWidth="0" w:num="1">
        <w:col w:w="11120"/>
      </w:cols>
      <w:pgMar w:left="240" w:top="112"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x"/>
      <w:numFmt w:val="bullet"/>
      <w:start w:val="1"/>
    </w:lvl>
  </w:abstractNum>
  <w:abstractNum w:abstractNumId="1">
    <w:nsid w:val="140E0F76"/>
    <w:multiLevelType w:val="hybridMultilevel"/>
    <w:lvl w:ilvl="0">
      <w:lvlJc w:val="left"/>
      <w:lvlText w:val="o"/>
      <w:numFmt w:val="bullet"/>
      <w:start w:val="1"/>
    </w:lvl>
  </w:abstractNum>
  <w:abstractNum w:abstractNumId="2">
    <w:nsid w:val="3352255A"/>
    <w:multiLevelType w:val="hybridMultilevel"/>
    <w:lvl w:ilvl="0">
      <w:lvlJc w:val="left"/>
      <w:lvlText w:val="(%1)"/>
      <w:numFmt w:val="lowerLetter"/>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decimal"/>
      <w:start w:val="5"/>
    </w:lvl>
  </w:abstractNum>
  <w:abstractNum w:abstractNumId="7">
    <w:nsid w:val="41A7C4C9"/>
    <w:multiLevelType w:val="hybridMultilevel"/>
    <w:lvl w:ilvl="0">
      <w:lvlJc w:val="left"/>
      <w:lvlText w:val="%1."/>
      <w:numFmt w:val="decimal"/>
      <w:start w:val="7"/>
    </w:lvl>
  </w:abstractNum>
  <w:abstractNum w:abstractNumId="8">
    <w:nsid w:val="6B68079A"/>
    <w:multiLevelType w:val="hybridMultilevel"/>
    <w:lvl w:ilvl="0">
      <w:lvlJc w:val="left"/>
      <w:lvlText w:val="%1"/>
      <w:numFmt w:val="lowerLetter"/>
      <w:start w:val="102"/>
    </w:lvl>
  </w:abstractNum>
  <w:abstractNum w:abstractNumId="9">
    <w:nsid w:val="4E6AFB66"/>
    <w:multiLevelType w:val="hybridMultilevel"/>
    <w:lvl w:ilvl="0">
      <w:lvlJc w:val="left"/>
      <w:lvlText w:val="%1"/>
      <w:numFmt w:val="lowerLetter"/>
      <w:start w:val="102"/>
    </w:lvl>
  </w:abstractNum>
  <w:abstractNum w:abstractNumId="10">
    <w:nsid w:val="25E45D32"/>
    <w:multiLevelType w:val="hybridMultilevel"/>
    <w:lvl w:ilvl="0">
      <w:lvlJc w:val="left"/>
      <w:lvlText w:val="%1"/>
      <w:numFmt w:val="lowerLetter"/>
      <w:start w:val="102"/>
    </w:lvl>
  </w:abstractNum>
  <w:abstractNum w:abstractNumId="11">
    <w:nsid w:val="519B500D"/>
    <w:multiLevelType w:val="hybridMultilevel"/>
    <w:lvl w:ilvl="0">
      <w:lvlJc w:val="left"/>
      <w:lvlText w:val="%1."/>
      <w:numFmt w:val="decimal"/>
      <w:start w:val="1"/>
    </w:lvl>
    <w:lvl w:ilvl="1">
      <w:lvlJc w:val="left"/>
      <w:lvlText w:val="(%2)"/>
      <w:numFmt w:val="lowerLetter"/>
      <w:start w:val="1"/>
    </w:lvl>
  </w:abstractNum>
  <w:abstractNum w:abstractNumId="12">
    <w:nsid w:val="431BD7B7"/>
    <w:multiLevelType w:val="hybridMultilevel"/>
    <w:lvl w:ilvl="0">
      <w:lvlJc w:val="left"/>
      <w:lvlText w:val="%1"/>
      <w:numFmt w:val="decimal"/>
      <w:start w:val="1"/>
    </w:lvl>
    <w:lvl w:ilvl="1">
      <w:lvlJc w:val="left"/>
      <w:lvlText w:val="(%2)"/>
      <w:numFmt w:val="lowerLetter"/>
      <w:start w:val="4"/>
    </w:lvl>
  </w:abstractNum>
  <w:abstractNum w:abstractNumId="13">
    <w:nsid w:val="3F2DBA31"/>
    <w:multiLevelType w:val="hybridMultilevel"/>
    <w:lvl w:ilvl="0">
      <w:lvlJc w:val="left"/>
      <w:lvlText w:val="%1."/>
      <w:numFmt w:val="decimal"/>
      <w:start w:val="3"/>
    </w:lvl>
    <w:lvl w:ilvl="1">
      <w:lvlJc w:val="left"/>
      <w:lvlText w:val="(%2)"/>
      <w:numFmt w:val="lowerLetter"/>
      <w:start w:val="1"/>
    </w:lvl>
  </w:abstractNum>
  <w:abstractNum w:abstractNumId="14">
    <w:nsid w:val="7C83E458"/>
    <w:multiLevelType w:val="hybridMultilevel"/>
    <w:lvl w:ilvl="0">
      <w:lvlJc w:val="left"/>
      <w:lvlText w:val="%1"/>
      <w:numFmt w:val="decimal"/>
      <w:start w:val="1"/>
    </w:lvl>
    <w:lvl w:ilvl="1">
      <w:lvlJc w:val="left"/>
      <w:lvlText w:val="(%2)"/>
      <w:numFmt w:val="lowerLetter"/>
      <w:start w:val="2"/>
    </w:lvl>
  </w:abstractNum>
  <w:abstractNum w:abstractNumId="15">
    <w:nsid w:val="257130A3"/>
    <w:multiLevelType w:val="hybridMultilevel"/>
    <w:lvl w:ilvl="0">
      <w:lvlJc w:val="left"/>
      <w:lvlText w:val="%1."/>
      <w:numFmt w:val="decimal"/>
      <w:start w:val="4"/>
    </w:lvl>
    <w:lvl w:ilvl="1">
      <w:lvlJc w:val="left"/>
      <w:lvlText w:val="(%2)"/>
      <w:numFmt w:val="lowerLetter"/>
      <w:start w:val="1"/>
    </w:lvl>
  </w:abstractNum>
  <w:abstractNum w:abstractNumId="16">
    <w:nsid w:val="62BBD95A"/>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7">
    <w:nsid w:val="436C6125"/>
    <w:multiLevelType w:val="hybridMultilevel"/>
    <w:lvl w:ilvl="0">
      <w:lvlJc w:val="left"/>
      <w:lvlText w:val="%1."/>
      <w:numFmt w:val="decimal"/>
      <w:start w:val="12"/>
    </w:lvl>
  </w:abstractNum>
  <w:abstractNum w:abstractNumId="18">
    <w:nsid w:val="628C895D"/>
    <w:multiLevelType w:val="hybridMultilevel"/>
    <w:lvl w:ilvl="0">
      <w:lvlJc w:val="left"/>
      <w:lvlText w:val="%1."/>
      <w:numFmt w:val="decimal"/>
      <w:start w:val="14"/>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2019-12-19T21:54:19Z</dcterms:created>
  <dcterms:modified xsi:type="dcterms:W3CDTF">2019-12-19T21:54:19Z</dcterms:modified>
</cp:coreProperties>
</file>