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4080" w:right="1800" w:hanging="4072"/>
        <w:spacing w:after="0" w:line="266" w:lineRule="auto"/>
        <w:tabs>
          <w:tab w:leader="none" w:pos="65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October 31, 2025</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140" w:right="1420" w:hanging="4132"/>
        <w:spacing w:after="0" w:line="286" w:lineRule="auto"/>
        <w:tabs>
          <w:tab w:leader="none" w:pos="64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 to ___</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3382645</wp:posOffset>
            </wp:positionH>
            <wp:positionV relativeFrom="paragraph">
              <wp:posOffset>156845</wp:posOffset>
            </wp:positionV>
            <wp:extent cx="37719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0" w:gutter="0" w:footer="0" w:header="0"/>
        </w:sectPr>
      </w:pPr>
    </w:p>
    <w:p>
      <w:pPr>
        <w:spacing w:after="0" w:line="20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Connecticut</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06-0854886</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3960"/>
          </w:cols>
          <w:pgMar w:left="320" w:top="516" w:right="339" w:bottom="0" w:gutter="0" w:footer="0" w:header="0"/>
          <w:type w:val="continuous"/>
        </w:sectPr>
      </w:pPr>
    </w:p>
    <w:p>
      <w:pPr>
        <w:spacing w:after="0" w:line="1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15 Secor Road, Brookfield, Connecticut 06804</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offices)(Zip Code)</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(203) 775-9000</w:t>
      </w:r>
    </w:p>
    <w:p>
      <w:pPr>
        <w:spacing w:after="0" w:line="9"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120" w:type="dxa"/>
            <w:vAlign w:val="bottom"/>
            <w:tcBorders>
              <w:top w:val="single" w:sz="8" w:color="auto"/>
              <w:left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Title of each class</w:t>
            </w:r>
          </w:p>
        </w:tc>
        <w:tc>
          <w:tcPr>
            <w:tcW w:w="620" w:type="dxa"/>
            <w:vAlign w:val="bottom"/>
            <w:tcBorders>
              <w:top w:val="single" w:sz="8" w:color="auto"/>
              <w:bottom w:val="single" w:sz="8" w:color="auto"/>
              <w:right w:val="single" w:sz="8" w:color="auto"/>
            </w:tcBorders>
          </w:tcPr>
          <w:p>
            <w:pPr>
              <w:spacing w:after="0"/>
              <w:rPr>
                <w:sz w:val="21"/>
                <w:szCs w:val="21"/>
                <w:color w:val="auto"/>
              </w:rPr>
            </w:pPr>
          </w:p>
        </w:tc>
        <w:tc>
          <w:tcPr>
            <w:tcW w:w="3820" w:type="dxa"/>
            <w:vAlign w:val="bottom"/>
            <w:tcBorders>
              <w:top w:val="single" w:sz="8" w:color="auto"/>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Trading Symbol(s)</w:t>
            </w:r>
          </w:p>
        </w:tc>
        <w:tc>
          <w:tcPr>
            <w:tcW w:w="200" w:type="dxa"/>
            <w:vAlign w:val="bottom"/>
            <w:tcBorders>
              <w:top w:val="single" w:sz="8" w:color="auto"/>
              <w:bottom w:val="single" w:sz="8" w:color="auto"/>
            </w:tcBorders>
          </w:tcPr>
          <w:p>
            <w:pPr>
              <w:spacing w:after="0"/>
              <w:rPr>
                <w:sz w:val="21"/>
                <w:szCs w:val="21"/>
                <w:color w:val="auto"/>
              </w:rPr>
            </w:pPr>
          </w:p>
        </w:tc>
        <w:tc>
          <w:tcPr>
            <w:tcW w:w="3480" w:type="dxa"/>
            <w:vAlign w:val="bottom"/>
            <w:tcBorders>
              <w:top w:val="single" w:sz="8" w:color="auto"/>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1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62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PLAB</w:t>
            </w:r>
          </w:p>
        </w:tc>
        <w:tc>
          <w:tcPr>
            <w:tcW w:w="200" w:type="dxa"/>
            <w:vAlign w:val="bottom"/>
            <w:tcBorders>
              <w:bottom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410"/>
        </w:trPr>
        <w:tc>
          <w:tcPr>
            <w:tcW w:w="3120" w:type="dxa"/>
            <w:vAlign w:val="bottom"/>
          </w:tcPr>
          <w:p>
            <w:pPr>
              <w:spacing w:after="0"/>
              <w:rPr>
                <w:sz w:val="24"/>
                <w:szCs w:val="24"/>
                <w:color w:val="auto"/>
              </w:rPr>
            </w:pPr>
          </w:p>
        </w:tc>
        <w:tc>
          <w:tcPr>
            <w:tcW w:w="4640" w:type="dxa"/>
            <w:vAlign w:val="bottom"/>
            <w:gridSpan w:val="3"/>
          </w:tcPr>
          <w:p>
            <w:pPr>
              <w:ind w:left="480"/>
              <w:spacing w:after="0"/>
              <w:rPr>
                <w:sz w:val="20"/>
                <w:szCs w:val="20"/>
                <w:color w:val="auto"/>
              </w:rPr>
            </w:pPr>
            <w:r>
              <w:rPr>
                <w:rFonts w:ascii="Times New Roman" w:cs="Times New Roman" w:eastAsia="Times New Roman" w:hAnsi="Times New Roman"/>
                <w:sz w:val="18"/>
                <w:szCs w:val="18"/>
                <w:i w:val="1"/>
                <w:iCs w:val="1"/>
                <w:color w:val="auto"/>
                <w:w w:val="99"/>
              </w:rPr>
              <w:t>Securities registered pursuant to Section 12(g) of the Act:</w:t>
            </w:r>
          </w:p>
        </w:tc>
        <w:tc>
          <w:tcPr>
            <w:tcW w:w="3480" w:type="dxa"/>
            <w:vAlign w:val="bottom"/>
          </w:tcPr>
          <w:p>
            <w:pPr>
              <w:spacing w:after="0"/>
              <w:rPr>
                <w:sz w:val="24"/>
                <w:szCs w:val="24"/>
                <w:color w:val="auto"/>
              </w:rPr>
            </w:pPr>
          </w:p>
        </w:tc>
      </w:tr>
      <w:tr>
        <w:trPr>
          <w:trHeight w:val="238"/>
        </w:trPr>
        <w:tc>
          <w:tcPr>
            <w:tcW w:w="3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20" w:type="dxa"/>
            <w:vAlign w:val="bottom"/>
            <w:gridSpan w:val="2"/>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None</w:t>
            </w:r>
          </w:p>
        </w:tc>
        <w:tc>
          <w:tcPr>
            <w:tcW w:w="3480" w:type="dxa"/>
            <w:vAlign w:val="bottom"/>
          </w:tcPr>
          <w:p>
            <w:pPr>
              <w:spacing w:after="0"/>
              <w:rPr>
                <w:sz w:val="20"/>
                <w:szCs w:val="20"/>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16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Large Accelerated</w:t>
            </w:r>
          </w:p>
        </w:tc>
        <w:tc>
          <w:tcPr>
            <w:tcW w:w="1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6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Emerging</w:t>
            </w:r>
          </w:p>
        </w:tc>
      </w:tr>
      <w:tr>
        <w:trPr>
          <w:trHeight w:val="180"/>
        </w:trPr>
        <w:tc>
          <w:tcPr>
            <w:tcW w:w="162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w w:val="99"/>
              </w:rPr>
              <w:t>Filer</w:t>
            </w:r>
          </w:p>
        </w:tc>
        <w:tc>
          <w:tcPr>
            <w:tcW w:w="192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360" w:type="dxa"/>
            <w:vAlign w:val="bottom"/>
          </w:tcPr>
          <w:p>
            <w:pPr>
              <w:ind w:left="38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600" w:type="dxa"/>
            <w:vAlign w:val="bottom"/>
          </w:tcPr>
          <w:p>
            <w:pPr>
              <w:jc w:val="center"/>
              <w:ind w:left="250"/>
              <w:spacing w:after="0" w:line="181" w:lineRule="exact"/>
              <w:rPr>
                <w:sz w:val="20"/>
                <w:szCs w:val="20"/>
                <w:color w:val="auto"/>
              </w:rPr>
            </w:pPr>
            <w:r>
              <w:rPr>
                <w:rFonts w:ascii="Times New Roman" w:cs="Times New Roman" w:eastAsia="Times New Roman" w:hAnsi="Times New Roman"/>
                <w:sz w:val="18"/>
                <w:szCs w:val="18"/>
                <w:color w:val="auto"/>
              </w:rPr>
              <w:t>Growth company</w:t>
            </w:r>
          </w:p>
        </w:tc>
      </w:tr>
      <w:tr>
        <w:trPr>
          <w:trHeight w:val="272"/>
        </w:trPr>
        <w:tc>
          <w:tcPr>
            <w:tcW w:w="16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192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236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2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rPr>
              <w:t>☐</w:t>
            </w: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38" w:orient="portrait"/>
          <w:cols w:equalWidth="0" w:num="1">
            <w:col w:w="11240"/>
          </w:cols>
          <w:pgMar w:left="320" w:top="516" w:right="3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May 2, 2025, which was the last business day of the registrant’s most recently completed second fiscal quarter, the aggregate market value of the shares of the registrant’s common stock held by non-affiliates was approximately $934,773,176 (based upon the closing price of $19.22 per share as reported by the NASDAQ Global Select Market on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2025, 59,064,641 shares of the registrant’s common stock were outstanding.</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Portions of our Proxy Statement for the 2026 Annual Meeting of Shareholders to be filed with the U.S. Securities and Exchange Commission pursuant to regulation 14A under the Securities Exchange Act of 1934, as amended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1"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80" w:type="dxa"/>
            <w:vAlign w:val="bottom"/>
            <w:gridSpan w:val="14"/>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 and Acronyms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5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80" w:type="dxa"/>
            <w:vAlign w:val="bottom"/>
            <w:tcBorders>
              <w:top w:val="single" w:sz="8" w:color="CCEEFF"/>
            </w:tcBorders>
            <w:gridSpan w:val="14"/>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1C. CYBERSECURITY</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LEGAL PROCEEDINGS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48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06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300" w:type="dxa"/>
            <w:vAlign w:val="bottom"/>
            <w:tcBorders>
              <w:bottom w:val="single" w:sz="8" w:color="0000EE"/>
            </w:tcBorders>
            <w:gridSpan w:val="3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MARKET FOR REGISTRANT’S COMMON EQUITY, RELATED STOCKHOLDER MATTERS AND ISSUER PURCHASES OF</w:t>
            </w: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0" w:type="dxa"/>
            <w:vAlign w:val="bottom"/>
            <w:gridSpan w:val="3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6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[RESERVED]</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9C. DISCLOSURE REGARDING FOREIGN JURISDICTIONS THAT PREVENT INSPECTIONS</w:t>
            </w:r>
          </w:p>
        </w:tc>
        <w:tc>
          <w:tcPr>
            <w:tcW w:w="284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06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14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w:t>
            </w:r>
          </w:p>
        </w:tc>
        <w:tc>
          <w:tcPr>
            <w:tcW w:w="46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0" w:type="dxa"/>
            <w:vAlign w:val="bottom"/>
            <w:gridSpan w:val="3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6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472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880" w:type="dxa"/>
            <w:vAlign w:val="bottom"/>
            <w:tcBorders>
              <w:top w:val="single" w:sz="8" w:color="CCEEFF"/>
            </w:tcBorders>
            <w:gridSpan w:val="12"/>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0" w:type="dxa"/>
            <w:vAlign w:val="bottom"/>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6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132"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132"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932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1920" w:type="dxa"/>
            <w:vAlign w:val="bottom"/>
          </w:tcPr>
          <w:p>
            <w:pPr>
              <w:spacing w:after="0"/>
              <w:rPr>
                <w:sz w:val="18"/>
                <w:szCs w:val="18"/>
                <w:color w:val="auto"/>
              </w:rPr>
            </w:pPr>
          </w:p>
        </w:tc>
        <w:tc>
          <w:tcPr>
            <w:tcW w:w="9320" w:type="dxa"/>
            <w:vAlign w:val="bottom"/>
          </w:tcPr>
          <w:p>
            <w:pPr>
              <w:spacing w:after="0"/>
              <w:rPr>
                <w:sz w:val="18"/>
                <w:szCs w:val="18"/>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Application-specific IC</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 integrated circuit customized for a particular use, rather than intended for general-purpose use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CHIPS Act</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CHIPS and Science Act of 2022</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CNY</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Chinese Yuan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9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 photomasks function</w:t>
            </w:r>
          </w:p>
        </w:tc>
      </w:tr>
      <w:tr>
        <w:trPr>
          <w:trHeight w:val="216"/>
        </w:trPr>
        <w:tc>
          <w:tcPr>
            <w:tcW w:w="1920" w:type="dxa"/>
            <w:vAlign w:val="bottom"/>
          </w:tcPr>
          <w:p>
            <w:pPr>
              <w:spacing w:after="0"/>
              <w:rPr>
                <w:sz w:val="18"/>
                <w:szCs w:val="18"/>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selectively reflecting or blocking light, in contrast to conventional photomasks which function by selectively transmitting or</w:t>
            </w:r>
          </w:p>
        </w:tc>
      </w:tr>
      <w:tr>
        <w:trPr>
          <w:trHeight w:val="234"/>
        </w:trPr>
        <w:tc>
          <w:tcPr>
            <w:tcW w:w="1920" w:type="dxa"/>
            <w:vAlign w:val="bottom"/>
          </w:tcPr>
          <w:p>
            <w:pPr>
              <w:spacing w:after="0"/>
              <w:rPr>
                <w:sz w:val="20"/>
                <w:szCs w:val="20"/>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blocking light</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FPDs</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9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refers to the size range of the underlying substrate to which a photomask is applied. Higher</w:t>
            </w:r>
          </w:p>
        </w:tc>
      </w:tr>
      <w:tr>
        <w:trPr>
          <w:trHeight w:val="234"/>
        </w:trPr>
        <w:tc>
          <w:tcPr>
            <w:tcW w:w="1920" w:type="dxa"/>
            <w:vAlign w:val="bottom"/>
          </w:tcPr>
          <w:p>
            <w:pPr>
              <w:spacing w:after="0"/>
              <w:rPr>
                <w:sz w:val="20"/>
                <w:szCs w:val="20"/>
                <w:color w:val="auto"/>
              </w:rPr>
            </w:pP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generation (or “G”) numbers represent larger substrates</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ICs</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9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 silicon in</w:t>
            </w:r>
          </w:p>
        </w:tc>
      </w:tr>
      <w:tr>
        <w:trPr>
          <w:trHeight w:val="216"/>
        </w:trPr>
        <w:tc>
          <w:tcPr>
            <w:tcW w:w="1920" w:type="dxa"/>
            <w:vAlign w:val="bottom"/>
            <w:shd w:val="clear" w:color="auto" w:fill="CCEEFF"/>
          </w:tcPr>
          <w:p>
            <w:pPr>
              <w:spacing w:after="0"/>
              <w:rPr>
                <w:sz w:val="18"/>
                <w:szCs w:val="18"/>
                <w:color w:val="auto"/>
              </w:rPr>
            </w:pP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thin-film transistors (TFTs) are used in liquid-crystal display (LCD) flat panels and to drive organic light-emitting diode</w:t>
            </w:r>
          </w:p>
        </w:tc>
      </w:tr>
      <w:tr>
        <w:trPr>
          <w:trHeight w:val="234"/>
        </w:trPr>
        <w:tc>
          <w:tcPr>
            <w:tcW w:w="1920" w:type="dxa"/>
            <w:vAlign w:val="bottom"/>
            <w:shd w:val="clear" w:color="auto" w:fill="CCEEFF"/>
          </w:tcPr>
          <w:p>
            <w:pPr>
              <w:spacing w:after="0"/>
              <w:rPr>
                <w:sz w:val="20"/>
                <w:szCs w:val="20"/>
                <w:color w:val="auto"/>
              </w:rPr>
            </w:pP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(OLED) displays</w:t>
            </w:r>
          </w:p>
        </w:tc>
      </w:tr>
      <w:tr>
        <w:trPr>
          <w:trHeight w:val="194"/>
        </w:trPr>
        <w:tc>
          <w:tcPr>
            <w:tcW w:w="1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Mainstream</w:t>
            </w:r>
          </w:p>
        </w:tc>
        <w:tc>
          <w:tcPr>
            <w:tcW w:w="93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For IC, photomasks that service IC nodes greater than 28nm; for FPD, G8 and smaller photomasks</w:t>
            </w: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(photomasks)</w:t>
            </w:r>
          </w:p>
        </w:tc>
        <w:tc>
          <w:tcPr>
            <w:tcW w:w="9320" w:type="dxa"/>
            <w:vAlign w:val="bottom"/>
          </w:tcPr>
          <w:p>
            <w:pPr>
              <w:spacing w:after="0"/>
              <w:rPr>
                <w:sz w:val="20"/>
                <w:szCs w:val="20"/>
                <w:color w:val="auto"/>
              </w:rPr>
            </w:pPr>
          </w:p>
        </w:tc>
      </w:tr>
      <w:tr>
        <w:trPr>
          <w:trHeight w:val="194"/>
        </w:trPr>
        <w:tc>
          <w:tcPr>
            <w:tcW w:w="1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Optical proximity</w:t>
            </w:r>
          </w:p>
        </w:tc>
        <w:tc>
          <w:tcPr>
            <w:tcW w:w="9320" w:type="dxa"/>
            <w:vAlign w:val="bottom"/>
            <w:shd w:val="clear" w:color="auto" w:fill="CCEEFF"/>
          </w:tcPr>
          <w:p>
            <w:pPr>
              <w:ind w:left="120"/>
              <w:spacing w:after="0" w:line="194" w:lineRule="exact"/>
              <w:rPr>
                <w:sz w:val="20"/>
                <w:szCs w:val="20"/>
                <w:color w:val="auto"/>
              </w:rPr>
            </w:pPr>
            <w:r>
              <w:rPr>
                <w:rFonts w:ascii="Times New Roman" w:cs="Times New Roman" w:eastAsia="Times New Roman" w:hAnsi="Times New Roman"/>
                <w:sz w:val="18"/>
                <w:szCs w:val="18"/>
                <w:color w:val="auto"/>
              </w:rPr>
              <w:t>A photolithography enhancement technique applied to compensate for the limitations of light to maintain the edge placement</w:t>
            </w:r>
          </w:p>
        </w:tc>
      </w:tr>
      <w:tr>
        <w:trPr>
          <w:trHeight w:val="238"/>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correction</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integrity of an original design, imaged onto a silicon wafer, for further processing to an etched pattern.</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SOC-1 report</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Organization Control 1 report</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w:t>
            </w:r>
          </w:p>
        </w:tc>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198"/>
        </w:trPr>
        <w:tc>
          <w:tcPr>
            <w:tcW w:w="1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9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 as the</w:t>
            </w:r>
          </w:p>
        </w:tc>
      </w:tr>
      <w:tr>
        <w:trPr>
          <w:trHeight w:val="234"/>
        </w:trPr>
        <w:tc>
          <w:tcPr>
            <w:tcW w:w="1920" w:type="dxa"/>
            <w:vAlign w:val="bottom"/>
            <w:shd w:val="clear" w:color="auto" w:fill="CCEEFF"/>
          </w:tcPr>
          <w:p>
            <w:pPr>
              <w:spacing w:after="0"/>
              <w:rPr>
                <w:sz w:val="20"/>
                <w:szCs w:val="20"/>
                <w:color w:val="auto"/>
              </w:rPr>
            </w:pPr>
          </w:p>
        </w:tc>
        <w:tc>
          <w:tcPr>
            <w:tcW w:w="9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substrate for microelectronic devices built in and upon the wafer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“2025”, “2024”, and “2023” are to our fiscal years ended on October 31 of those years, unless otherwise stated.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firstLine="177"/>
        <w:spacing w:after="0" w:line="254" w:lineRule="auto"/>
        <w:rPr>
          <w:sz w:val="20"/>
          <w:szCs w:val="20"/>
          <w:color w:val="auto"/>
        </w:rPr>
      </w:pPr>
      <w:r>
        <w:rPr>
          <w:rFonts w:ascii="Times New Roman" w:cs="Times New Roman" w:eastAsia="Times New Roman" w:hAnsi="Times New Roman"/>
          <w:sz w:val="18"/>
          <w:szCs w:val="18"/>
          <w:color w:val="auto"/>
        </w:rPr>
        <w:t>This Form 10-K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II, Item 7 – “Management’s Discussion and Analysis of Financial Condition and Results of Operations” of this Form 10-K.</w:t>
      </w:r>
    </w:p>
    <w:p>
      <w:pPr>
        <w:spacing w:after="0" w:line="192"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 have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right="60" w:firstLine="180"/>
        <w:spacing w:after="0" w:line="258" w:lineRule="auto"/>
        <w:rPr>
          <w:sz w:val="20"/>
          <w:szCs w:val="20"/>
          <w:color w:val="auto"/>
        </w:rPr>
      </w:pPr>
      <w:r>
        <w:rPr>
          <w:rFonts w:ascii="Times New Roman" w:cs="Times New Roman" w:eastAsia="Times New Roman" w:hAnsi="Times New Roman"/>
          <w:sz w:val="18"/>
          <w:szCs w:val="18"/>
          <w:color w:val="auto"/>
        </w:rPr>
        <w:t>Forward-looking statements within this Form 10-K speak only as of the date of its filing, and we undertake no obligation to update any such statements to reflect changes in events or circumstances that may subsequently occur. Users of this Form 10-K are cautioned that various factors may cause actual results to differ materially from those contained in any forward-looking statements found within this Form 10-K and that they should not place undue reliance on any forward-looking statement. In addition, all forward-looking statements, whether written or oral and whether made by us or on our behalf, are expressly qualified by the risk factors provided in Part I, Item 1A “Risk Factors” of this Form 10-K.</w:t>
      </w: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Specific industry and technical terms used in this section are defined in the subsection entitled “Glossary of Terms and Acronyms,” found below the Table of Contents.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Photronics, Inc. (and its subsidiaries, collectively referred to herein as “Photronics”, the “Company”, “we”, “our”, or “us”) is one of the world’s leading manufacturers of photomasks, which are high 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have eleven manufacturing facilities, which are located in Taiwan (3), China (2), South Korea (1), the United States (3), and Europe (2).</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principal executive offices are located at 15 Secor Road, Brookfield, Connecticut, 06804, telephone (203) 775-9000. Our website address is http://www.photronics.com. We make available, free of charge through our website, our Forms 10-K, Definitive Proxy Statements on Schedule 14A, Forms 10-Q, Current Reports on Form 8-K, and any amendments to these reports as soon as reasonably practicable after such materials are electronically filed with or furnished to the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w:t>
      </w:r>
    </w:p>
    <w:p>
      <w:pPr>
        <w:spacing w:after="0" w:line="229"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We operate as a single reporting segment as a manufacturer of photomasks, which are high precision quartz or glass plates containing microscopic images of electronic circuits for use in the fabrication of IC’s and FPDs. In accordance with the ASC 280 – “Segment Reporting” Topic of the ASC, the Company’s chief operating decision maker has been identified as the Chief Executive Officer,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manufacture photomasks, which are used as masters to transfer circuit patterns onto semiconductor wafers and FPD substrates. The photomasks we manufacture incorporate circuit designs provided to us on a confidential basis by our customers. Photomasks are typically sold in sets comprised of layers, with each layer having a distinct pattern that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a photomask blank. The exposed areas are developed and etched to imprint the pattern on the photomask. The photomask is then inspected for defects and conformity to the customer’s design data. After the repair of any defects, the photomask is cleaned, any required pellicles (protective translucent membranes) are applied and, after final inspection, the photomask is shipped to the customer.</w:t>
      </w:r>
    </w:p>
    <w:p>
      <w:pPr>
        <w:spacing w:after="0" w:line="19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“High-end” photomasks support 28 nanometer and smaller design nodes for ICs and Generation 10.5+, AMOLED, and LTPS display-based process technologies for FPDs. However, 32 nanometer and above geometries for semiconductors and Generation 8 and below (excluding AMOLED and LTPS) process technologies for displays, which we refer to as “mainstream” photomasks, constitute the majority of designs currently being fabricated in volume. At these geometries and at various high-end nodes, we can produce full lines of photomasks. Moreover, there is no significant technology employed by our competitors that is not available to us. We expect advanced-generation designs to continue to be developed, and we believe we are well positioned to service an increasing volume of this business as a result of our ongoing investments in manufacturing processes and technology in the regions where our customers are located.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Generally, Photronics and each of its customers engage in a qualification and correlation process before we become an approved supplier. Thereafter, based on the customer’s specifications,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orders.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first several layers of photomasks are sometimes required to be delivered to customers within twenty-four hours from the time we receive customer design data. Because of the short period between order and shipment dates (typically from one day to three weeks) for a significant amount of our revenue, the dollar amount of our current backlog is not a reliable indicator of future revenue. However, the demand for some IC photomasks can extend beyond the traditional time period; thus, for some products, our backlog can expand to as long as two to three months.</w:t>
      </w:r>
    </w:p>
    <w:p>
      <w:pPr>
        <w:spacing w:after="0" w:line="180"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7"/>
          <w:szCs w:val="17"/>
          <w:color w:val="auto"/>
        </w:rPr>
        <w:t>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manufacturing capacity, preventive and on-going equipment maintenance programs, manufacturing and data processing systems, and by utilizing statistical process control methods to optimize our manufacturing processes and reduce cycle times.</w:t>
      </w:r>
    </w:p>
    <w:p>
      <w:pPr>
        <w:spacing w:after="0" w:line="164"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 10 – Revenue and Note 19 – Risks and Concentrations to our consolidated financial statements in Part II, Item 8 of this report for the amount of revenue and long-lived assets attributable to each of our geographic areas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We primarily conduct research and development activities for IC photomasks at our Boise, Idaho, facility. Research and development for FPD photomasks is primarily conducted at Photronics Korea, Ltd., our subsidiary in South Korea. Additionally, we conduct region specific applications development programs to support local, strategic customer roadmaps. All of these research and development programs and activities are undertaken to advance our competitiveness in technology and manufacturing efficiency. We also conduct data and service technology development efforts to support the integration of photomasks into customer processes at regions worldwide. Currently, research and development for IC photomasks are primarily focused on photomasks enabling wafer geometries of 7 nanometer node and smaller, including EUV and, for FPDs on Generation 8.6 AMOLED and photomasks for more advanced FPD display integration across all sizes. In addition, we note the role AI is playing in driving the technology roadmap for IC devices and our technology program covers multiple initiatives to deliver AI grade photomasks in IC and advanced packaging applications. We believe these core competencies will continue to be a critical part of semiconductor and FPD manufacturing, as wafer and FPD substrate optical lithography continues to enable new high-end ICs and displays. We incurred research and development expenses of $15.8 million, $16.6 million, and $13.7 million in 2025, 2024 and 2023, respectively. It is our belief that we own, control, or license the proprietary information (including trade secrets and patents) that we need to continue to meet our customers’ requirements. Accordingly, we devote a significant portion of our human and financial resources to R&amp;D programs and seek to maintain close relationships with customers to remain responsive to their needs. We also believe that our intellectual property and trade secret know-how will continue to be important to maintaining our technical leadership and competitive position in the field of photomasks.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jc w:val="both"/>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customers for photomasks are primarily semiconductor and FPD manufacturers and to a lesser degree fabless design and equipment companies serving those industries. The size of the photomask market is driven by the number of designs released to support IC and FPD product introductions and manufacturing expansions. The photomasks required for those designs are manufactured by independent merchant manufacturers like Photronics and by semiconductor and FPD manufacturers that produce photomasks for their own use (captive manufacturers). In rare instances, captive manufacturers also sell to other semiconductor or FPD manufacturers.</w:t>
      </w:r>
    </w:p>
    <w:p>
      <w:pPr>
        <w:spacing w:after="0" w:line="183"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production value of photomasks produced by merchant suppliers has transitioned from a period when there was a trend toward the divestiture or closing of captive photomask operations by semiconductor manufacturers, and to an increase in the share of the market served by independent merchant manufacturers, like Photronics. This trend was driven by the increased complexity and cost of capital equipment used in manufacturing photomasks, and the lack of economy of scale for many semiconductor and FPD manufacturers to effectively utilize the equipment.</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That period was followed by a period during which, in order to reach certain roadmap milestones, some captive mask facilities invested at faster rates than independent manufacturers, and the revenue share of market transitioned back to photomasks being majority captive-supplied. More recently, there has been a tendency of more production being directed to the independent merchant manufacturers, with market share moving toward the independents. Nevertheless, most captive manufacturers maintain business and technology relationships with independent photomask manufacturers for ongoing support.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support customers across the full spectrum of IC Production by manufacturing photomasks using electron beam or optical (laser-based) lithography systems. In addition, we have added the most advanced electron beam mask writing system for IC mask writing that employs a multi-beam writing architecture to deliver speed and performance improvements over existing systems. For FPD, the mask fabrication utilizes only optical writing systems to write the mask patterns. These systems are capable of producing the most advanced semiconductor and display photomasks for use in an array of products. End markets served with IC photomasks include devices used for artificial intelligence, cloud computing, microprocessors, memory, telecommunications, internet connected devices, automotive, industrial and other applications. We own a number of both high-end and mature electron beam and laser-based lithography systems.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sell our products primarily to leading semiconductor and FPD designers and manufacturers. These include integrated device manufacturers, fabless semiconductor companies, and “pure-play” foundries. During 2025, we sold our products to approximately 636 customers. For fiscal year 2025, Customer A, B and C accounted for approximately 16%, 13% and 8%, of consolidated revenue, respectively. For fiscal year 2024, Customer A, B and C accounted for approximately 15%, 12% and 9% of consolidated revenue, respectively. For fiscal year 2023, Customer A, B and C accounted for approximately 14%, 10% and 13% of consolidated revenue, respectively. No other customer represented 10% or more of consolidated revenue in any of the three fiscal years. Our five largest customers, in the aggregate, accounted for approximately 50%, 50% and 51% of our revenue in 2025, 2024 and 2023, respectively. A significant decrease in the amount of revenue from any of these customers could have a material adverse effect on our financial performance and business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sales, marketing, or other resources than Photronics, we believe that we are able to compete effectively because of our dedication to customer service, ongoing investments in state-of-the-art photomask equipment and facilities, and experienced technical employees.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semiconductor equipment industry is highly competitive and is characterized by a small number of participants ranging in size. Our competitors include Compugraphics International, Ltd., Dai Nippon Printing Co., Ltd (outside of Taiwan and China), Hoya Corporation, LG Innotek Co., Ltd., Shenzhen Newway Photomask Making Co., Ltd., Shenzhen Qingyi Photomask, Ltd., SK-Electronics Co., Ltd., Taiwan Mask Corporation, and Tekscend Photomask.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will continue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Operations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Revenues from our non-U.S. operations were approximately 82%, 83% and 86% of our total revenues in 2025, 2024 and 2023, respectively. We believe that our ability to serve non-U.S. markets is enhanced by our having, among other things, a local presence in the markets we serve. This requires significant investments in financial, managerial, operational, and other resources.</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Sales and operations outside of the United States are subject to inherent risks, and may be adversely affected by fluctuations in currency exchange rates, the imposition of government controls, political and economic conditions in various countries, legal compliance and regulatory requirements, tariffs and other trade barriers, difficulties with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may require us to deploy resources where they could otherwise be used to their greatest advantage. Note 10 – Revenue and Note 19 – Risks and Concentrations of our consolidated financial statements, in Part II, Item 8 of this report, respectively, present our revenue and long-lived assets by geographic area. These factors, as well as any of the other risk factors related to our international business and operations including our joint venture operations in China and Taiwan are described in Item 1A “Risk Factors,” could have a material adverse effect on our future business and financial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Raw materials used by Photronics generally include: high precision quartz substrates (including large area substrates for FPD), which are used as photomask starting blanks and are primarily obtained from Japanese and South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typically enter into annual pricing agreements with our suppliers, some of which include volume-based incentives that have resulted in substantial cost savings; these agreements do not require us to purchase minimum dollar amounts or quantities of their subject materials.</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rely on a limited number of equipment suppliers to develop and provide the equipment used in the photomask manufacturing process. Although, historically, we have been able to obtain equipment on a timely basis, an inability to obtain or repair equipment when required could have a material adverse effect on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we further protect our IP rights, and our other proprietary processes and trade secrets, by utilizing non-disclosure agreements with employees, customers, and vendors.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those periods.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are party to a limited number of fixed-price contracts with the U.S. government. Revenues earned from these contracts do not comprise a significant portion of our total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firstLine="312"/>
        <w:spacing w:after="0" w:line="258" w:lineRule="auto"/>
        <w:rPr>
          <w:sz w:val="20"/>
          <w:szCs w:val="20"/>
          <w:color w:val="auto"/>
        </w:rPr>
      </w:pPr>
      <w:r>
        <w:rPr>
          <w:rFonts w:ascii="Times New Roman" w:cs="Times New Roman" w:eastAsia="Times New Roman" w:hAnsi="Times New Roman"/>
          <w:sz w:val="18"/>
          <w:szCs w:val="18"/>
          <w:color w:val="auto"/>
        </w:rPr>
        <w:t>We are subject to government regulations within the U.S. and in other countries in which we produce or market our products. The effects of compliance with these regulations are currently not material to our results of operations, capital expenditures, or competitive position. However, compliance with changes to existing or new regulations may have a material adverse effect on our future results of operations, capital expenditures, or competitive position. We discuss the potential impact of our not adhering to a number of these regulations in Item 1A. “Risk Factors”, of this Form 10-K. The following is a list of major subjects of the regulations that pertain to our business:</w:t>
      </w:r>
    </w:p>
    <w:p>
      <w:pPr>
        <w:spacing w:after="0" w:line="183" w:lineRule="exact"/>
        <w:rPr>
          <w:sz w:val="20"/>
          <w:szCs w:val="20"/>
          <w:color w:val="auto"/>
        </w:rPr>
      </w:pPr>
    </w:p>
    <w:p>
      <w:pPr>
        <w:ind w:left="980" w:right="2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such as those under the Foreign Corrupt Practices Act, that prohibit providing remuneration to government officials for the purpose of obtaining or securing business in the jurisdictions in which they serve;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the minimization and proper disposal of the by-products of our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provide a safe working environment for our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restrict our ability to transfer assets between operations not within the same legal jurisdiction;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provide information through the submission of government surveys;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maintain an effective system of internal accounting controls;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prohibit us from engaging in business in specified countries, or with specified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protect the personal information of our customers and employees;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accurately determine our liabilities to taxing authorities, and to settle such liabilities within their statutorily prescribed time periods;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withhold and timely remit taxes on our employees’ compensation to government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contribute to government-sponsored social insurance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require us to contribute to employee severance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prohibit us from disseminating material nonpublic information prior to the public announcement of such information;</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financial reporting, insider transactions, executive compensation, and other areas overseen by the SEC and governing bodies in other countries in which our operations are located.</w:t>
      </w: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right="60" w:firstLine="324"/>
        <w:spacing w:after="0" w:line="255" w:lineRule="auto"/>
        <w:rPr>
          <w:sz w:val="20"/>
          <w:szCs w:val="20"/>
          <w:color w:val="auto"/>
        </w:rPr>
      </w:pPr>
      <w:r>
        <w:rPr>
          <w:rFonts w:ascii="Times New Roman" w:cs="Times New Roman" w:eastAsia="Times New Roman" w:hAnsi="Times New Roman"/>
          <w:sz w:val="18"/>
          <w:szCs w:val="18"/>
          <w:color w:val="auto"/>
        </w:rPr>
        <w:t>As of October 31, 2025, we had approximately 1,908 full-time and part-time employees worldwide. 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As of October 31, 2025, none of our employees at any of our worldwide facilities was represented by a union. We consider our employee relations to be good.</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our commitment to our diverse human capital resources is an important component of our mission to deliver superior photomasks and customer care. We provide all employees with the opportunity to share their opinions in open dialogues with our human resources department and senior management. We provide all employees a wide range of career development opportunities, both formal and informal. Our formal offerings include tuition reimbursement, leadership development experiences and vocational training. The safety of our employees is a paramount value for us.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provide mandatory safety trainings in our production facilities, which are designed to focus on empowering our employees with the knowledge and tools they need to make safe choices and to minimize risks. Supervisors complete safety management courses as well. The health and wellness of our employees are critical to our success.</w:t>
      </w:r>
    </w:p>
    <w:p>
      <w:pPr>
        <w:spacing w:after="0" w:line="176" w:lineRule="exact"/>
        <w:rPr>
          <w:sz w:val="20"/>
          <w:szCs w:val="20"/>
          <w:color w:val="auto"/>
        </w:rPr>
      </w:pPr>
    </w:p>
    <w:p>
      <w:pPr>
        <w:ind w:right="120" w:firstLine="366"/>
        <w:spacing w:after="0" w:line="256" w:lineRule="auto"/>
        <w:rPr>
          <w:sz w:val="20"/>
          <w:szCs w:val="20"/>
          <w:color w:val="auto"/>
        </w:rPr>
      </w:pPr>
      <w:r>
        <w:rPr>
          <w:rFonts w:ascii="Times New Roman" w:cs="Times New Roman" w:eastAsia="Times New Roman" w:hAnsi="Times New Roman"/>
          <w:sz w:val="18"/>
          <w:szCs w:val="18"/>
          <w:color w:val="auto"/>
        </w:rPr>
        <w:t>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Additionally, we provide robust compensation and benefits. In addition to salaries, these programs, which vary by country/region, can include annual bonuses, stock-based compensation awards, a 401(k) plan with employee matching opportunities, healthcare and insurance benefits, health savings and flexible spending accounts, paid time off, family leave, family care resources, employee assistance programs, and tuition assistance.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are discussions of the risk factors we believe can make an investment in our business speculative or risky.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Related Risk Factors</w:t>
      </w:r>
    </w:p>
    <w:p>
      <w:pPr>
        <w:spacing w:after="0" w:line="22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dependency on the microelectronics industry, which as a whole is volatile, could create volatility in our demand and have a negative material impact on our business.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designers and manufacturers of IC and FPD electronic devices.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application-specific ICs, reductions in design complexities, other changes in the technology or methods of manufacturing or designing semiconductors or FPDs, or a slowdown in the introduction of new semiconductor or FPD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Historically, the microelectronics industry has been volatile, with sharp periodic downturns and slowdowns.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rely on a limited number of photomask equipment manufacturers to develop, supply, and repair the equipment we use. These equipment manufacturers usually require lead times of twelve months or longer between the order date and the delivery of certain photomask imaging and inspection equipment. The failure of our suppliers to develop, deliver or service such equipment on a timely basis due to internal issues, supply chain constraints or government-imposed restrictions could have a material adverse effect on our business and results of operations. In addition, the manufacturing equipment necessary to produce advanced photomasks could become prohibitively expensive, which could similarly affect us.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we have sold a significant proportion of photomasks to a limited number of IC and FPD manufacturers. During 2025, 2024 and 2023, our two largest customers accounted for an aggregate of 29%, 27% and 27%, respectively, of our revenue. Our five largest customers accounted for an aggregate of 50%, 50% and 51% of our revenue in 2025, 2024 and 2023,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cash flows from operations and current holdings of cash may not be adequate for our current and long-term needs.</w:t>
      </w:r>
    </w:p>
    <w:p>
      <w:pPr>
        <w:spacing w:after="0" w:line="229" w:lineRule="exact"/>
        <w:rPr>
          <w:sz w:val="20"/>
          <w:szCs w:val="20"/>
          <w:color w:val="auto"/>
        </w:rPr>
      </w:pPr>
    </w:p>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w:t>
      </w:r>
    </w:p>
    <w:p>
      <w:pPr>
        <w:spacing w:after="0" w:line="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Historically, in certain years, we have used external financing to fund these needs. Due to conditions in the credit market, some financing instruments used by us in the past may not be available. Therefore, we cannot provide assurance that additional sources of financing would be available to us on commercially favorable terms, if at all, should our cash requirements exceed our existing cash, and operating cash flows.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will continue to require substantial capital expenditures, for which we may be unable to provide or obtain funding.</w:t>
      </w:r>
    </w:p>
    <w:p>
      <w:pPr>
        <w:spacing w:after="0" w:line="229"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manufacture of leading-edge photomasks requires us to make substantial investments in additional manufacturing capability. We expect that we will be required to continue to make substantial capital expenditures to meet customer requirements and to position us for future growth. Our capital expenditure payments for fiscal 2026 are expected to be approximately $330 million, of which approximately $13.0 million was included in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Accrued liabilities </w:t>
      </w:r>
      <w:r>
        <w:rPr>
          <w:rFonts w:ascii="Times New Roman" w:cs="Times New Roman" w:eastAsia="Times New Roman" w:hAnsi="Times New Roman"/>
          <w:sz w:val="18"/>
          <w:szCs w:val="18"/>
          <w:color w:val="auto"/>
        </w:rPr>
        <w:t>on our October 31, 2025 consolidated balance sheet. We cannot provide assurance that we will be able to obtain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capital required to fund our operations or capital expenditures on reasonable terms, if at all, or that any such inability will not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Industry and Competitive Related Risk Factors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success depends, in part, upon key managerial and technical personnel, as well as our ability to continue to attract and retain additional qualified personnel. The loss of certain key personnel (for example, our Chief Executive Officer, Chief Financial Officer, or Chief Technology Officer) could have a material adverse effect on our business and results of operations. We cannot offer assurance that we can retain our key managerial and technical employees, or that we can attract similar additional employees in the future.</w:t>
      </w:r>
    </w:p>
    <w:p>
      <w:pPr>
        <w:spacing w:after="0" w:line="176"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The photomask industry is dependent on the semiconductor and display industries, which are subject to rapid technological change and fluctuations in capacity needs. Consequently, we might fail to adequately time our capabilities to market needs, which could have a material adverse effect on our business and results of operations.</w:t>
      </w:r>
    </w:p>
    <w:p>
      <w:pPr>
        <w:spacing w:after="0" w:line="175" w:lineRule="exact"/>
        <w:rPr>
          <w:sz w:val="20"/>
          <w:szCs w:val="20"/>
          <w:color w:val="auto"/>
        </w:rPr>
      </w:pPr>
    </w:p>
    <w:p>
      <w:pPr>
        <w:ind w:right="20" w:firstLine="591"/>
        <w:spacing w:after="0" w:line="253" w:lineRule="auto"/>
        <w:rPr>
          <w:sz w:val="20"/>
          <w:szCs w:val="20"/>
          <w:color w:val="auto"/>
        </w:rPr>
      </w:pPr>
      <w:r>
        <w:rPr>
          <w:rFonts w:ascii="Times New Roman" w:cs="Times New Roman" w:eastAsia="Times New Roman" w:hAnsi="Times New Roman"/>
          <w:sz w:val="18"/>
          <w:szCs w:val="18"/>
          <w:color w:val="auto"/>
        </w:rPr>
        <w:t>The photomask industry has been, and we expect it to continue to be, characterized by technological change and evolving industry requirements, which recent supply chain regionalization efforts have accelerated. In order to remain competitive, we will be required to continually anticipate, respond to, and scale technologies of increasing complexity in both the traditional and emerging markets that we serve. In particular, we believe that, as semiconductor geometries continue to become smaller and FPDs become larger or otherwise more advanced, we will be required to manufacture photomasks of increasingly challenging complexity. Moreover, the demand for photomasks in non-leading-edge nodes may increase beyond our ability to meet our customers’ requirements within adequate response times. Additionally, the demand for photomasks has been, and could in the future be, adversely affected by changes in semiconductor and high-performance electronics fabrication methods that affect the type or quantity of photomasks utilized, such as changes in semiconductor demand that favor programmable IC devices and other approaches that replace application-specific ICs, or the use of certain chip-stacking methodologies that lessen the emphasis on conventional lithography technology. Furthermore, evidence of the viability and the corresponding market acceptance of alternative methods of transferring IC designs onto semiconductor wafers could reduce or eliminate the need for photomasks in the production of semiconductors.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risk of loss of our intellectual property, trade secrets, or other sensitive business or customer confidential information or disruption of operations due to cyberattacks or data breaches could negatively impact our financial results.</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Cyberattacks or data breaches could compromise confidential, business-critical information, cause disruptions in our operations, expose us to potential litigation, or harm our reputation. We have important assets, including intellectual property, trade secrets, and other sensitive, business-critical and/or confidential information which may be vulnerable to such incidents. While we have a comprehensive cybersecurity program that is continually reviewed, maintained, and upgraded, we cannot assure that we are invulnerable to cyberattacks and data breaches which, if significant, could negatively impact our business and financial results.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5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adequately protect our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will not independently develop similar technology;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intellectual property laws will adequately protect our intellectual property rights.</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The photomask industry is highly competitive, and most of our customers utilize more than one photomask supplier. Our competitors include Compugraphics International, Ltd., Dai Nippon Printing Co., Ltd (outside of Taiwan and China), Hoya Corporation, LG Innotek Co., Ltd., Shenzhen Newway Photomask Making Co., Ltd., Shenzhen Qingyi Photomask, Ltd., SK-Electronics Co. Ltd., Taiwan Mask Corporation, and Tekscend Photomask.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several years ago. These pressures may worsen in the future, causing further consolidation.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Investment Related Risk Factors</w:t>
      </w:r>
    </w:p>
    <w:p>
      <w:pPr>
        <w:spacing w:after="0" w:line="22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nature of a joint venture requires us to share control in certain areas with unaffiliated third parties and it is always possible that the alignment that brought us and our joint venture partner together may change over time, whether due to change in business strategy, change in control, change in market conditions or applicable laws, or other events. Differing views among joint venture participants may result in delayed decisions or failures to agree on major issues. If our joint venture partner does not fulfill its obligations or that alignment changes, the affected joint venture may not be able to operate in accordance with its business plan or the parties may seek to exit the joint venture under the terms of the joint venture agreement or otherwise. Under such a scenario, among other possible consequences, our results of operations may be adversely affected, we may be compelled to increase the level of our resources devoted to the joint venture or our company-wide business plan may need to be adjusted. If such differences caused a joint venture to deviate from its business plan, or put, change of control or other exit or termination provisions are triggered, our results of operations could be materially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in China expose us to substantial risks.</w:t>
      </w:r>
    </w:p>
    <w:p>
      <w:pPr>
        <w:spacing w:after="0" w:line="229" w:lineRule="exact"/>
        <w:rPr>
          <w:sz w:val="20"/>
          <w:szCs w:val="20"/>
          <w:color w:val="auto"/>
        </w:rPr>
      </w:pPr>
    </w:p>
    <w:p>
      <w:pPr>
        <w:ind w:right="60" w:firstLine="315"/>
        <w:spacing w:after="0" w:line="254" w:lineRule="auto"/>
        <w:rPr>
          <w:sz w:val="20"/>
          <w:szCs w:val="20"/>
          <w:color w:val="auto"/>
        </w:rPr>
      </w:pPr>
      <w:r>
        <w:rPr>
          <w:rFonts w:ascii="Times New Roman" w:cs="Times New Roman" w:eastAsia="Times New Roman" w:hAnsi="Times New Roman"/>
          <w:sz w:val="18"/>
          <w:szCs w:val="18"/>
          <w:color w:val="auto"/>
        </w:rPr>
        <w:t>In 2019, we commenced operations at our two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investments in China also exposed us to a significant additional foreign currency exchange risk, which we had not been subject to in prior years. In addition, as tensions have, from time to time, escalated between the U.S. and China, we believe there is an enhanced risk that our substantial investments in China may be subject to unforeseen or additional restrictions, which may include expropriation of our investments by the Chinese government or restrictions imposed on our operations by the U.S. or other countries. These and other risks may result in our not realizing a return on, or losing some, or all, of our investments in China, which would have a material adverse effect on our financial condition and financial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unforeseen charges related to possible future facility closures, restructurings, or forfeitures.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there will not be facility closures, restructurings, or forfeitures in the near or long term, nor can we assure that we will not incur significant charges should there be any future facility closures, restructurings, or forfeitures.</w:t>
      </w:r>
    </w:p>
    <w:p>
      <w:pPr>
        <w:spacing w:after="0" w:line="15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consummate future acquisitions or joint ventures or integrate acquisitions into our business, which could result in unanticipated expenses and losses.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part of our business growth strategy, we have acquired businesses and entered into joint ventures in the past, and we may pursue acquisitions and joint venture opportunities in the future. Our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 standards, processes, procedures and controls with our operations; variability in financial performance arising from the implementation of acquisition accounting; inability to coordinate new product and process development; loss of senior managers and other critical personnel; problems with new labor unions; and challenges arising from the increased scope, geographic diversity, and complexity of our operations.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Operations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quarterly operating results fluctuate significantly and may continue to do so in the future.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that could be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spacing w:after="0" w:line="18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consequential expense levels are, to some extent, based primarily on sales forecasts and technological advancements in photomask manufacturing equipment. Consequently, if anticipated revenues in any quarter do not occur when expected, our capital investments could result in underutilized capacity and disproportionately high expense levels, causing operating results to be adversely affected. Due to the foregoing factors, we believe that quarter to 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substantial non-U.S. operations are subject to additional risks.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Revenues from our non-U.S. operations were approximately 82%, 83% and 86% of our total revenues in 2025, 2024 and 2023,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and Asia, and building manufacturing facilities in Taiwan and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could result in the opening of additional facilities or closing of our current facilities.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Operations outside of the United States are subject to inherent risks, including: fluctuations in currency exchange rates; unstable political and economic conditions in various countries; changes in economic alliances; unexpected changes in regulatory requirements including import and export regulations;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collection cycles. In addition: foreign countries may enact other restrictions on foreign trade or investment, including: currency exchange controls; trade sanctions which result in our losing access to customers and suppliers; legislation which renders agreements to be difficult to enforce; impositions on the movement of funds or other assets; or we may be subject to adverse tax consequences. These factors may have a material adverse effect on our costs or our ability to generate revenues outside of the United States and, consequently, on our business and results of operations.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products provide important performance attributes for our customers’ products. If a product fails to perform in a manner consistent with quality specifications, or has a shorter useful life than warrantied, a customer could seek replacement of the product or damages for costs incurred as a result of the product failing to perform, particularly if such products are sold under agreements that contain limited performance and life cycle warranties. Our customers often require us to guarantee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high level of fixed costs.</w:t>
      </w:r>
    </w:p>
    <w:p>
      <w:pPr>
        <w:spacing w:after="0" w:line="229" w:lineRule="exact"/>
        <w:rPr>
          <w:sz w:val="20"/>
          <w:szCs w:val="20"/>
          <w:color w:val="auto"/>
        </w:rPr>
      </w:pPr>
    </w:p>
    <w:p>
      <w:pPr>
        <w:jc w:val="both"/>
        <w:ind w:right="260" w:firstLine="324"/>
        <w:spacing w:after="0" w:line="289" w:lineRule="auto"/>
        <w:rPr>
          <w:sz w:val="20"/>
          <w:szCs w:val="20"/>
          <w:color w:val="auto"/>
        </w:rPr>
      </w:pPr>
      <w:r>
        <w:rPr>
          <w:rFonts w:ascii="Times New Roman" w:cs="Times New Roman" w:eastAsia="Times New Roman" w:hAnsi="Times New Roman"/>
          <w:sz w:val="17"/>
          <w:szCs w:val="17"/>
          <w:color w:val="auto"/>
        </w:rPr>
        <w:t>Because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taxes could adversely affect our financial results.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tariffs and global trade policies could adversely affect our business, financial condition, and results of operations.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FY25, new tariffs were announced on imports to the U.S., followed by various modifications and delays. Further changes are expected to be made in the future, which may include additional sector-based tariffs or other measures. The U.S. Department of Commerce has initiated an investigation under Section 232 of the Trade Expansion Act of 1962, as amended, into, among other things, imports of semiconductors, semiconductor manufacturing equipment, and their derivative products, including downstream products that contain semiconductors. Tariffs and trade restrictions may increase costs and complexity in our supply chain, including the procurement of semiconductor manufacturing equipment, raw materials, and critical components. They may also elevate the cost of our products, reduce demand, and negatively affect customer purchasing behavior.</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products and technology could be subject to U.S. export control laws and/or the export control laws of the foreign jurisdictions where we operate.</w:t>
      </w:r>
    </w:p>
    <w:p>
      <w:pPr>
        <w:spacing w:after="0" w:line="15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laws relating to the export of products we manufacture, and the technology related thereto, and our failure to comply with these laws could subject us to substantial fines, penalties, and even injunctions, the imposition of which could have a material adverse effect on the success of our business.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Certain of our products are or could be subject to the Export Administration Regulations (“EAR”) if they are manufactured in the U.S., or based on U.S. technology, or contain more than a de minimis amount of controlled U.S. content. The EAR could prohibit the export of certain products out of the US or could prohibit our foreign sites from manufacturing or delivering photomasks to certain restricted entities. Additionally, the Company has a large, global business with sales outside the U.S. representing a majority of the Company’s total net sales, and the Company believes that it generally benefits from growth in international trade. However, trade policies and disputes and other international conflicts can result in tariffs, sanctions and other measures that restrict international trade, and can materially adversely affect the Company’s business, particularly if these measures occur in regions where the Company derives a significant portion of its revenues.</w:t>
      </w:r>
    </w:p>
    <w:p>
      <w:pPr>
        <w:spacing w:after="0" w:line="18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Based on the complex relationships between the United States and certain foreign countries including, but not limited to China, there is inherent risk that political, diplomatic and national security influences might lead to trade disputes, impacts and/or disruptions to our operations or our ability to sell our photomasks. The United States and other countries have imposed and may continue to impose trade restrictions and have also levied tariffs and taxes on certain goods and imposed export restrictions. Increases in tariffs, additional taxes or other trade restrictions and retaliatory measures may increasingly impact customer demand and customer investment in manufacturing equipment, increase our manufacturing costs, decrease margins, reduce the competitiveness of our products, or inhibit our ability to sell, export products or purchase necessary equipment and supplies, which could have a material adverse effect on our business,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unprepared for changes to environmental laws and regulations and may incur liabilities arising from environmental matters.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negatively impacted by Environmental, Social and Governance (ESG), climate change and other sustainability-related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recent years, there has been an increased focus from stakeholders on environmental, social, and governance matters, including greenhouse gas emissions and climate-related risks, sustainability, renewable energy, water stewardship, waste management, diversity, equity and inclusion, responsible sourcing and supply chain, human rights, and social responsibility.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 reputational harm, including damage to our relationships with customers, suppliers, investors, governments, or other stakeholders, adverse impacts on our ability to manufacture and sell products and maintain our market share, the success of our collaborations with third parties, increased risk of litigation, investigations, or regulatory enforcement action, unfavorable environmental, social, and governance ratings or investor sentiment, diversion of resources and increased costs to control, assess, and report on environmental, social, and governance metrics.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Ineffective internal controls could impact our business and operating results.</w:t>
      </w:r>
    </w:p>
    <w:p>
      <w:pPr>
        <w:spacing w:after="0" w:line="229"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experience difficulties in implementing internal controls, our business and operating results could be adversely impacted, and we could fail to meet our financial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adversely impacted by global or regional catastrophic events.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business could be materially adversely affected by terrorist acts, widespread outbreaks of infectious diseases, government responses emplaced to limit the impact of infectious diseases (such as shelter-in-place directives), or the outbreak or escalation of wars including, but not limited to, the invasion of Ukraine by the Russian Federation. Such events in the geographic regions in which we do business, including escalations of political tensions and military conflicts in the U.S., Europe, the Republic of South Korea, the People’s Republic of China, or the Republic of China (Taiwan), and any governmental sanctions enacted in reaction thereto, could result in a global energy crisis, economic inflation, supply-chain disruptions, or the confiscation or destruction of our facilities; all and any of these outcomes could have material, adverse impacts on our results of operations, financial condition, and cash flows.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production facilities could be damaged or disrupted by natural or manmade disasters or labor strikes, either of which could adversely affect our financial position, results of operations, and cash flows.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 major catastrophe, such as an earthquake, flood, fire, or other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Our sales can be impacted by the health and stability of the general economy, which could adversely affect our results of operations and cash flows.</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failures or cyber security breaches could have a material adverse effect on our operations.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General Data Protection Regulation (“GDPR”)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 Upon leaving the E.U. on January 31, 2021, the U.K. enacted a new domestic data privacy law called the “U.K. – General Data Protection Regulation” (“UK-GDPR”). Although somewhat less restrictive than the GDPR, the UK-GDPR is similar to the GDPR with respect to both an entity’s obligation to protect personal information and the imposition of significant fines for violations.</w:t>
      </w:r>
    </w:p>
    <w:p>
      <w:pPr>
        <w:spacing w:after="0" w:line="189" w:lineRule="exact"/>
        <w:rPr>
          <w:sz w:val="20"/>
          <w:szCs w:val="20"/>
          <w:color w:val="auto"/>
        </w:rPr>
      </w:pPr>
    </w:p>
    <w:p>
      <w:pPr>
        <w:ind w:right="80" w:firstLine="359"/>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the GDPR or the UK-GDPR, or with any applicable regulatory requirements or orders, including, but not limited to privacy, data protection, information security, or consumer protection related privacy laws and regulations, in one or more jurisdictions within the E.U., the U.K.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 the future, incur net losses.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Although the Company has been profitable since fiscal 2010, it has, in the past, incurred net losses. We cannot provide assurance that the Company will not incur net losses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Related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have a material adverse effect on our results of operations, financial condition, or cash flows.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and are reported in U.S. dollars. Our operations have transactions and balances denominated in currencies other than the U.S. dollar; primarily the South Korean won, New Taiwan dollar, Japanese yen, Chinese Yuan, Euro, Singapore dollar, and the British pound sterling. In 2025, we recorded a net loss from changes in foreign currency exchange rates of $8.3 million in our consolidated statement of income, while our net assets decreased by 0.1 million as a result of the translation of foreign currency financial statements to U.S. dollars. Significant foreign currency fluctuations may adversely affect our results of operations,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hedging activity could negatively impact our results of operations and cash flows.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may enter into derivatives to manage our exposures to interest rate and currency movements. If we do not accurately forecast our results of operations, execute contracts that do not effectively mitigate our economic exposures to interest rates and currency rates, elect to not apply hedge accounting (when doing so would have mitigated our losses), or fail to comply with the complex accounting requirements for hedging transactions, our results of operations and cash flows could be volatile, as well as negatively impacted.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is subject to volatility and could fluctuate widely in response to various factors, many of which are beyond our control.</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may influence the price of our common stock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of our key customers or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sales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interest in our common stock;</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 including but not limited to, our expansion into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consummations of business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fall below or exceed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forecasted earnings or material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or repurchases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disputes;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suffered with or without merit;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about or disclosures made by our competitors 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divestitures, or bankruptcies by customers, suppliers, or competitors;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including (but not limited to) inflation, recessions, natural disasters, military actions, political instability, or social unrest;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 to period fluctuations in our financial results.</w:t>
      </w:r>
    </w:p>
    <w:p>
      <w:pPr>
        <w:spacing w:after="0" w:line="225"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In addition, securities markets have from time-to-time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the actions of quantitative or algorithmic stock traders and short-sellers, or low trading volume which can magnify the effects of a small number of transactions on the price of a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global, competitive environment which gives rise to operating and market risk exposure.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duties, and tariffs. The imposition of additional regulations or controls including export controls, duties, tariffs, or changes to bilateral and regional trade agreements, could negatively impact our results of operations.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Strategy</w:t>
      </w:r>
    </w:p>
    <w:p>
      <w:pPr>
        <w:spacing w:after="0" w:line="229"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Securing the Company’s business information, customer, supplier, and employee data and information technology systems is an important part of our overall risk management framework. We rely on certain key information technology systems, some of which are dependent on services provided by third parties, including cloud vendors, for various business functions necessary to operate and manage our business. We select key third-party service providers based on several factors, including the type of data processed and the nature of services offered, and we oversee such key third-party service providers by conducting vendor diligence upon onboarding and ongoing monitoring, including a review of SOC-1 reports on an annual basis.</w:t>
      </w:r>
    </w:p>
    <w:p>
      <w:pPr>
        <w:spacing w:after="0" w:line="183" w:lineRule="exact"/>
        <w:rPr>
          <w:sz w:val="20"/>
          <w:szCs w:val="20"/>
          <w:color w:val="auto"/>
        </w:rPr>
      </w:pPr>
    </w:p>
    <w:p>
      <w:pPr>
        <w:ind w:right="240" w:firstLine="591"/>
        <w:spacing w:after="0" w:line="254" w:lineRule="auto"/>
        <w:rPr>
          <w:sz w:val="20"/>
          <w:szCs w:val="20"/>
          <w:color w:val="auto"/>
        </w:rPr>
      </w:pPr>
      <w:r>
        <w:rPr>
          <w:rFonts w:ascii="Times New Roman" w:cs="Times New Roman" w:eastAsia="Times New Roman" w:hAnsi="Times New Roman"/>
          <w:sz w:val="18"/>
          <w:szCs w:val="18"/>
          <w:color w:val="auto"/>
        </w:rPr>
        <w:t>We have adopted processes, guided by the Center for Internet Security (CIS) Cybersecurity Framework, designed to identify, assess and manage material risks from cybersecurity threats. Those processes include response to and an assessment of internal and external threats to the security, confidentiality, integrity and availability of our data and information systems, along with other material risks to our operations. We have implemented controls, such as Multi-Factor Authentication (MFA) and endpoint detection and response (EDR) solutions, to help govern the processes put in place by management designed to protect our IT assets, data, and services from threats and vulnerabilities. Furthermore, we maintain a formal, Incident Response Plan (IRP) and conduct mandatory, ongoing security awareness training for all employees. Although, to date, we have not experienced a material cybersecurity incident resulting in a significant interruption of our operations, the scope of any future incident cannot be predicted with any meaningful accuracy. See “Item 1A. Risk Factors” for more information.</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20" w:firstLine="594"/>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day-to-day management of the risks we face, while our Board of Directors has ultimate responsibility for the oversight of risk management, including risks from cybersecurity threats. The Board of Directors has delegated primary oversight of cybersecurity risk to the Cyber Security Risk Management Committee. The Committee, in turn, ensures its members either possess or have access to relevant cybersecurity and risk management expertise to effectively challenge and guide management's program. The Committee regularly assesses how management is managing these risks and reports on its activities to the full Board of Directors at least quarterly to promote effective coordination and ensure the entire Board remains apprised of the cybersecurity risk landscape and the program's effectiveness.</w:t>
      </w:r>
    </w:p>
    <w:p>
      <w:pPr>
        <w:spacing w:after="0" w:line="187" w:lineRule="exact"/>
        <w:rPr>
          <w:sz w:val="20"/>
          <w:szCs w:val="20"/>
          <w:color w:val="auto"/>
        </w:rPr>
      </w:pPr>
    </w:p>
    <w:p>
      <w:pPr>
        <w:ind w:right="40" w:firstLine="591"/>
        <w:spacing w:after="0" w:line="256" w:lineRule="auto"/>
        <w:rPr>
          <w:sz w:val="20"/>
          <w:szCs w:val="20"/>
          <w:color w:val="auto"/>
        </w:rPr>
      </w:pPr>
      <w:r>
        <w:rPr>
          <w:rFonts w:ascii="Times New Roman" w:cs="Times New Roman" w:eastAsia="Times New Roman" w:hAnsi="Times New Roman"/>
          <w:sz w:val="18"/>
          <w:szCs w:val="18"/>
          <w:color w:val="auto"/>
        </w:rPr>
        <w:t>The day-to-day cybersecurity program is led by the Company’s Vice President, IT Infrastructure &amp; Information Security. This role is supported by a dedicated security team and reports directly to the Chief Executive Officer. The Vice President, IT Infrastructure &amp; Information Security provides formal, quarterly updates to the Cyber Security Risk Management Committee. These updates cover cyber risk management governance, the status of ongoing efforts to strengthen cybersecurity effectiveness, key risk metrics and the material outcomes of risk assessments, and significant cybersecurity-related news events impacting the industry. In addition to scheduled reports, the Board of Directors engages in ad hoc conversations with management to discuss any significant updates to our cybersecurity risk management and initiatives, particularly in response to emerging threats.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about the Company’s photomask manufacturing facilities:</w:t>
            </w: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0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Type of</w:t>
            </w: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8260" w:type="dxa"/>
            <w:vAlign w:val="bottom"/>
          </w:tcPr>
          <w:p>
            <w:pPr>
              <w:spacing w:after="0"/>
              <w:rPr>
                <w:sz w:val="20"/>
                <w:szCs w:val="20"/>
                <w:color w:val="auto"/>
              </w:rPr>
            </w:pPr>
          </w:p>
        </w:tc>
        <w:tc>
          <w:tcPr>
            <w:tcW w:w="20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Texas</w:t>
            </w:r>
          </w:p>
        </w:tc>
        <w:tc>
          <w:tcPr>
            <w:tcW w:w="8260" w:type="dxa"/>
            <w:vAlign w:val="bottom"/>
            <w:shd w:val="clear" w:color="auto" w:fill="CCEEFF"/>
          </w:tcPr>
          <w:p>
            <w:pPr>
              <w:spacing w:after="0"/>
              <w:rPr>
                <w:sz w:val="18"/>
                <w:szCs w:val="18"/>
                <w:color w:val="auto"/>
              </w:rPr>
            </w:pPr>
          </w:p>
        </w:tc>
        <w:tc>
          <w:tcPr>
            <w:tcW w:w="20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Boise, Idaho</w:t>
            </w:r>
          </w:p>
        </w:tc>
        <w:tc>
          <w:tcPr>
            <w:tcW w:w="8260" w:type="dxa"/>
            <w:vAlign w:val="bottom"/>
          </w:tcPr>
          <w:p>
            <w:pPr>
              <w:spacing w:after="0"/>
              <w:rPr>
                <w:sz w:val="18"/>
                <w:szCs w:val="18"/>
                <w:color w:val="auto"/>
              </w:rPr>
            </w:pPr>
          </w:p>
        </w:tc>
        <w:tc>
          <w:tcPr>
            <w:tcW w:w="20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Brookfield, Connecticut</w:t>
            </w:r>
          </w:p>
        </w:tc>
        <w:tc>
          <w:tcPr>
            <w:tcW w:w="20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Bridgend, Wales</w:t>
            </w:r>
          </w:p>
        </w:tc>
        <w:tc>
          <w:tcPr>
            <w:tcW w:w="20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Cheonan, South Korea</w:t>
            </w:r>
          </w:p>
        </w:tc>
        <w:tc>
          <w:tcPr>
            <w:tcW w:w="20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Hefei, China</w:t>
            </w:r>
          </w:p>
        </w:tc>
        <w:tc>
          <w:tcPr>
            <w:tcW w:w="8260" w:type="dxa"/>
            <w:vAlign w:val="bottom"/>
          </w:tcPr>
          <w:p>
            <w:pPr>
              <w:spacing w:after="0"/>
              <w:rPr>
                <w:sz w:val="18"/>
                <w:szCs w:val="18"/>
                <w:color w:val="auto"/>
              </w:rPr>
            </w:pPr>
          </w:p>
        </w:tc>
        <w:tc>
          <w:tcPr>
            <w:tcW w:w="2020" w:type="dxa"/>
            <w:vAlign w:val="bottom"/>
          </w:tcPr>
          <w:p>
            <w:pPr>
              <w:ind w:left="1280"/>
              <w:spacing w:after="0" w:line="216" w:lineRule="exact"/>
              <w:rPr>
                <w:sz w:val="20"/>
                <w:szCs w:val="20"/>
                <w:color w:val="auto"/>
              </w:rPr>
            </w:pPr>
            <w:r>
              <w:rPr>
                <w:rFonts w:ascii="Times New Roman" w:cs="Times New Roman" w:eastAsia="Times New Roman" w:hAnsi="Times New Roman"/>
                <w:sz w:val="16"/>
                <w:szCs w:val="16"/>
                <w:color w:val="auto"/>
              </w:rPr>
              <w:t xml:space="preserve">Owned </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Dresden, Germany</w:t>
            </w:r>
          </w:p>
        </w:tc>
        <w:tc>
          <w:tcPr>
            <w:tcW w:w="20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Hsinchu, Taiwan</w:t>
            </w:r>
          </w:p>
        </w:tc>
        <w:tc>
          <w:tcPr>
            <w:tcW w:w="20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8"/>
              </w:rPr>
              <w:t xml:space="preserve">Owned </w:t>
            </w:r>
            <w:r>
              <w:rPr>
                <w:rFonts w:ascii="Times New Roman" w:cs="Times New Roman" w:eastAsia="Times New Roman" w:hAnsi="Times New Roman"/>
                <w:sz w:val="14"/>
                <w:szCs w:val="14"/>
                <w:color w:val="auto"/>
                <w:w w:val="9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Hsinchu, Taiwan</w:t>
            </w:r>
          </w:p>
        </w:tc>
        <w:tc>
          <w:tcPr>
            <w:tcW w:w="20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Leased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Taichung, Taiwan</w:t>
            </w:r>
          </w:p>
        </w:tc>
        <w:tc>
          <w:tcPr>
            <w:tcW w:w="202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8"/>
              </w:rPr>
              <w:t xml:space="preserve">Owned </w:t>
            </w:r>
            <w:r>
              <w:rPr>
                <w:rFonts w:ascii="Times New Roman" w:cs="Times New Roman" w:eastAsia="Times New Roman" w:hAnsi="Times New Roman"/>
                <w:sz w:val="14"/>
                <w:szCs w:val="14"/>
                <w:color w:val="auto"/>
                <w:w w:val="9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Xiamen, China</w:t>
            </w:r>
          </w:p>
        </w:tc>
        <w:tc>
          <w:tcPr>
            <w:tcW w:w="20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8"/>
              </w:rPr>
              <w:t xml:space="preserve">Owned </w:t>
            </w:r>
            <w:r>
              <w:rPr>
                <w:rFonts w:ascii="Times New Roman" w:cs="Times New Roman" w:eastAsia="Times New Roman" w:hAnsi="Times New Roman"/>
                <w:sz w:val="14"/>
                <w:szCs w:val="14"/>
                <w:color w:val="auto"/>
                <w:w w:val="9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6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our manufacturing facilities in Hefei, Taichung, Xiamen, and one of our manufacturing facilities in Hsinchu. However, we lease the related land at these sites.</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our facilities, with planned expansions, are adequate to support our current and near-term requirements.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Please refer to Note 16 – Commitments and Contingencies to our consolidated financial statements in Part II, Item 8 of this report for information on legal proceedings involving the Company.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(“NASDAQ”) under the symbol PLAB.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Number of Holders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available information, as of December 11, 2025, we have 212 registered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paid any cash dividends on Photronics shares, and, for the foreseeable future, we anticipate that earnings will continue to be retained for use in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regarding our equity compensation required to be disclosed by Item 201(d) of Regulation S-K is incorporated by reference from the Photronics, Inc. 2026 Definitive Proxy Statement in Item 12 of Part III of this report. The 2026 Definitive Proxy Statement will be filed within 120 days after our fiscal year ended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156845</wp:posOffset>
            </wp:positionV>
            <wp:extent cx="609473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473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 by Registrant and Affiliated Purchasers</w:t>
      </w:r>
    </w:p>
    <w:p>
      <w:pPr>
        <w:spacing w:after="0" w:line="22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share repurchase. No shares were repurchased during the three-month period ended October 31, 2025. In fiscal year 2025, the Company repurchased 5.0 million shares at a cost of $97.4 million (an average of $19.52 per share). All shares repurchased under the program have been retired prior to the end of the fiscal year in which they were purchased. As of October 31, 2025, $27.6 million remained available under this authorization for the repurchase of additional shares.</w:t>
      </w:r>
    </w:p>
    <w:p>
      <w:pPr>
        <w:spacing w:after="0" w:line="1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2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should be read in conjunction with “Cautionary Statement Regarding Forward Looking Statements” and our combined consolidated financial statements and notes thereto included in Part II, Item 8 of this Annual Report on Form 10-K.</w:t>
      </w:r>
    </w:p>
    <w:p>
      <w:pPr>
        <w:spacing w:after="0" w:line="158"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For a comparison of results of operations for the fiscal years ended October 31, 2024 and 2023, see Part II, Item 7. Management’s Discussion and Analysis of Financial Condition and Results of Operations of Photronics Inc.’s Annual Report on Form 10-K for the fiscal year ended October 31, 2024, filed with the SEC on December 19,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designers and manufacturers of IC and FPD electronic devices. Photomask technology is also being applied to the fabrication of other high-technology products including advanced packaging modules, micro optical components for applications such as virtual reality/augmented reality and silicon photonics, micro-electronic mechanical systems (MEMS), and diverse nanotechnology applications. Our selling cycle is tightly interwoven with the development and release of new semiconductor and display designs and applications, particularly as they relate to the semiconductor industry's migration to more advanced design nodes and fabrication processes. The demand for photomasks is primarily correlated with new product design activity and to a lesser extent scaling up of manufacturing of end products. Consequently, an increase in semiconductor or display sales does not always result in a corresponding increase in photomask sales. To the extent integrated circuit and flat panel display applications rely less on new design activity, it could result in a reduction in demand for photomasks. In addition, new design methodologies driving a reduction in complexity of photomasks could also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More broadly, advances in semiconductor, display, and photomask design and production methods that shift the burden of achieving device performance away from lithography could also reduce the demand for photomasks. While there is no indication today that such diminishing of long range photomask demand is occurring or will occur,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9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can extend longer than the traditional time period; thus, for some products, our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broad application in the global economy including but not limited to consumer-driven applications, data centers that support AI implementation, electric vehicles and national security.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are focused on improving our competitiveness by advancing our technology and reducing costs and, in connection therewith, have invested and plan to continue to invest in manufacturing equipment to serve both the high-end photomask and mainstream markets. As we face challenges that require us to make significant improvements in our competitiveness, we continue to implement programs to streamline, drive efficiency and reduce cost in our infrastructure.</w:t>
      </w:r>
    </w:p>
    <w:p>
      <w:pPr>
        <w:spacing w:after="0" w:line="180" w:lineRule="exact"/>
        <w:rPr>
          <w:sz w:val="20"/>
          <w:szCs w:val="20"/>
          <w:color w:val="auto"/>
        </w:rPr>
      </w:pPr>
    </w:p>
    <w:p>
      <w:pPr>
        <w:jc w:val="both"/>
        <w:ind w:right="180" w:firstLine="324"/>
        <w:spacing w:after="0" w:line="272" w:lineRule="auto"/>
        <w:rPr>
          <w:sz w:val="20"/>
          <w:szCs w:val="20"/>
          <w:color w:val="auto"/>
        </w:rPr>
      </w:pPr>
      <w:r>
        <w:rPr>
          <w:rFonts w:ascii="Times New Roman" w:cs="Times New Roman" w:eastAsia="Times New Roman" w:hAnsi="Times New Roman"/>
          <w:sz w:val="17"/>
          <w:szCs w:val="17"/>
          <w:color w:val="auto"/>
        </w:rPr>
        <w:t>State-of-the-art production for semiconductor masks is considered to be 7 nanometer and smaller including EUV lithography for ICs and Generation 8.6 AMOLED display-based process technologies for FPDs. However, we define our high-end product category as 28nm and below for semiconductors and Generation 10.5 plus, Generation 6 and 8 AMOLED and LTPS for displays. This is consistent with current merchant mask industry definitions.</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Moreover, design nodes above 28nm and FPD processes for standard LCD displays below Generation 10 are considered mainstream or standard products. At these geometries and various high-end nodes, we can produce full lines of photomasks, and there is no significant technology employed by our competitors that is not available to us. We expect advanced-generation designs to continue to move to production throughout fiscal 2026, and we believe we are well positioned to service an increasing volume of this business as a result of our investments in manufacturing processes and technology in the regions where our customers are located.</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display designs become larger or otherwise more advanced, we will be required to manufacture even more complex products, including photomasks with optical proximity correction, phase-shift and EUV photomasks. Additionally, demand for photomasks has been, and could in the future be, adversely affected by changes in high-performance electronics fabrication methods that affect the type or quantity of photomasks used, such as changes in semiconductor demand that favor programmable IC devices and other approaches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revenues have benefited, and our costs, including depreciation, have been affected by the increased demand for high-end-technology photomasks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require more advanced manufacturing capabilities, but generally command higher ASPs. Our capital expenditure payments were $188.1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$130.9 million and $131.3 million in 2025, 2024 and 2023, respectively. Nonetheless, we intend to continue to make the required investments to support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technological and production requirements of our customers that we believe will continue to enable our growth. This includes investments to replace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end-of-life mask-making equipment with higher-performing systems that better serve our customers. In support of this effort, we expect capital expenditure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to be approximately $330 million in fiscal year 2026.</w:t>
      </w:r>
    </w:p>
    <w:p>
      <w:pPr>
        <w:spacing w:after="0" w:line="20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Note: All the following tabular comparisons, unless otherwise indicated, are for the three months ended October 31, 2025 (Q4 FY25), August 3, 2025 (Q3 FY25) and October 31, 2024 (Q4 FY24), and for the fiscal years ended October 31, 2025 (YTD FY25), October 31, 2024 (YTD FY24), and October 31, 2023 (YTD FY23). Please refer to Part II, Item 7 of our 2024 Form 10-K for comparative discussion of our fiscal years ended October 31, 2024, and October 31, 2023. The tables in this section (Part II, Item 7) may not foot due to rounding.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Q4 FY25 and YTD FY25 from revenue in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Product Type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7"/>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Q4 FY25 compared with Q3 FY25</w:t>
            </w:r>
          </w:p>
        </w:tc>
        <w:tc>
          <w:tcPr>
            <w:tcW w:w="100" w:type="dxa"/>
            <w:vAlign w:val="bottom"/>
          </w:tcPr>
          <w:p>
            <w:pPr>
              <w:spacing w:after="0"/>
              <w:rPr>
                <w:sz w:val="18"/>
                <w:szCs w:val="18"/>
                <w:color w:val="auto"/>
              </w:rPr>
            </w:pPr>
          </w:p>
        </w:tc>
        <w:tc>
          <w:tcPr>
            <w:tcW w:w="25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Q4 FY25 compared with Q4</w:t>
            </w: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FY24</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26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0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9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76"/>
        </w:trPr>
        <w:tc>
          <w:tcPr>
            <w:tcW w:w="4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Geographic Origin ($ in millions)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7"/>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Q4 FY25 compared with Q3 FY25</w:t>
            </w:r>
          </w:p>
        </w:tc>
        <w:tc>
          <w:tcPr>
            <w:tcW w:w="100" w:type="dxa"/>
            <w:vAlign w:val="bottom"/>
          </w:tcPr>
          <w:p>
            <w:pPr>
              <w:spacing w:after="0"/>
              <w:rPr>
                <w:sz w:val="18"/>
                <w:szCs w:val="18"/>
                <w:color w:val="auto"/>
              </w:rPr>
            </w:pPr>
          </w:p>
        </w:tc>
        <w:tc>
          <w:tcPr>
            <w:tcW w:w="25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Q4 FY25 compared with Q4</w:t>
            </w: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FY24</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26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04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9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126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7"/>
              </w:rPr>
              <w:t>7.5</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(6.7)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Pr>
          <w:p>
            <w:pPr>
              <w:spacing w:after="0"/>
              <w:rPr>
                <w:sz w:val="18"/>
                <w:szCs w:val="18"/>
                <w:color w:val="auto"/>
              </w:rPr>
            </w:pPr>
          </w:p>
        </w:tc>
        <w:tc>
          <w:tcPr>
            <w:tcW w:w="126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7"/>
              </w:rPr>
              <w:t>5.7</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(0.1)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7"/>
              </w:rPr>
              <w:t>0.1</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7"/>
              </w:rPr>
              <w:t>5.4</w:t>
            </w: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in Q4 FY25 of $215.8 million represented an increase of 2.6% compared with Q3 FY25, and a decrease of 3.1% from Q4 FY24.</w:t>
      </w:r>
    </w:p>
    <w:p>
      <w:pPr>
        <w:spacing w:after="0" w:line="225"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Overall IC revenue increased $9.7 million or 6.5% in Q4 FY25 from Q3 FY25 due to strong order patterns globally including the U.S. IC revenue decreased $6.3 million or 3.8% from Q4 FY24, as a result of a decline in maintream products partially offset by an increase in high-end demand. IC mainstream revenue decreased $2.5 million or 2.7% from Q3 FY25, and $12.1 million or 11.6% from Q4 FY24 primarily due to market conditions and geopolitical impacts.</w:t>
      </w:r>
    </w:p>
    <w:p>
      <w:pPr>
        <w:spacing w:after="0" w:line="180" w:lineRule="exact"/>
        <w:rPr>
          <w:sz w:val="20"/>
          <w:szCs w:val="20"/>
          <w:color w:val="auto"/>
        </w:rPr>
      </w:pPr>
    </w:p>
    <w:p>
      <w:pPr>
        <w:ind w:right="120" w:firstLine="270"/>
        <w:spacing w:after="0" w:line="282" w:lineRule="auto"/>
        <w:rPr>
          <w:sz w:val="20"/>
          <w:szCs w:val="20"/>
          <w:color w:val="auto"/>
        </w:rPr>
      </w:pPr>
      <w:r>
        <w:rPr>
          <w:rFonts w:ascii="Times New Roman" w:cs="Times New Roman" w:eastAsia="Times New Roman" w:hAnsi="Times New Roman"/>
          <w:sz w:val="18"/>
          <w:szCs w:val="18"/>
          <w:color w:val="auto"/>
        </w:rPr>
        <w:t>FPD revenue decreased $4.3 million or 6.8% in Q4 FY25 from Q3 FY25, and $0.5 million or 0.9% from Q4 FY24 mainly due to the decrease in high-end products, which decreased $4.8 million or 8.9% in Q4 FY25 from Q3 FY25 due to timing of order patterns.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Year-over-Year Changes in Revenue by Product Type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YTD FY25 compared with YTD FY24</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6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712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712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71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3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
        </w:trPr>
        <w:tc>
          <w:tcPr>
            <w:tcW w:w="72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photomasks.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28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Year-over-Year Changes in Revenue by Geographic Origin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millions)**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YTD FY25 compared with YTD FY24</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6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2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7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Overall revenue decreased $17.6 million or 2.0% in YTD FY25 from YTD FY24, driven by a $23.0 million or 3.6% decrease in IC revenue due to lower demand for mainstream products earlier in the year, partially offset by strong demand for high-end products. FPD revenue increased by $5.4 million or 2.4%, driven by a $5.2 million or 15.7% increase in mainstream product revenue due to an increase in G8 products.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44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70.9</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20"/>
                <w:szCs w:val="20"/>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20"/>
                <w:szCs w:val="20"/>
                <w:color w:val="auto"/>
              </w:rPr>
            </w:pPr>
          </w:p>
        </w:tc>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33.7%</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37.0%</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Gross margin increased to 35% in Q4 FY25 from 33.7% in Q3 FY25, primarily due to favorable product mix and lower manufacturing cost, partially offset by higher overhead costs.</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to 35% in Q4 FY25 from 37% in Q4 FY24, primarily due to unfavorable product mix and higher labor costs, partially offset by lower equipment costs as a percentage of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7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YTD FY25</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YTD FY24</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315.9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36.4%</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to 35.3% in YTD FY25 from 36.4% in YTD FY24, primarily due to increased material costs resulting from unfavorable product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$20.0 million in Q4 FY25, compared with $18.4 million in Q3 FY25, and $21.0 million in Q4 FY24. The $1.6 million increase from Q3 FY25 was primarily the result of additional compensation and related expenses of $1.2 million. The $1.0 million decrease from Q4 FY24 was primarily the result of decreased professional fees of $0.5 million.</w:t>
      </w:r>
    </w:p>
    <w:p>
      <w:pPr>
        <w:spacing w:after="0" w:line="17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$75.6 million in YTD FY25, compared with $77.8 million in YTD FY24. The decrease of $2.2 million is primarily due to a decrease in compensation and related expenses of $1.1 million and professional fees of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decreased $1.1 million to $3.2 million in Q4 FY25, from Q3 FY25; the decrease was primarily caused by decreased qualification activities in the U.S. Research and development expenses in Q4 FY25 decreased by $2.1 million from Q4 FY24 as a result of decreased development activities in the U.S. and Asia. On a full year basis, research and development expenses decreased $0.8 million, to $15.8 million, primarily due to decreased development activities in Asia, partially offset by increased research and development activity in the U.S.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Other income increased $33.3 million in Q4 FY25 from Q3 FY25 and $24.9 million from Q4 FY24, primarily due to foreign currency impacts. The foreign currency impacts were primarily driven by favorable movements of the New Taiwan dollar and the South Korean won, against the U.S. dollar for both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FY25</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Other income decreased $12.3 million in YTD FY25, compared with YTD FY24, due to unfavorable movements of the New Taiwan dollar and the South Korean won, against the U.S. dollar for the period.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72"/>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Q3 FY25</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FY24</w:t>
            </w:r>
          </w:p>
        </w:tc>
        <w:tc>
          <w:tcPr>
            <w:tcW w:w="160" w:type="dxa"/>
            <w:vAlign w:val="bottom"/>
          </w:tcPr>
          <w:p>
            <w:pPr>
              <w:spacing w:after="0"/>
              <w:rPr>
                <w:sz w:val="24"/>
                <w:szCs w:val="24"/>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14.6</w:t>
            </w:r>
          </w:p>
        </w:tc>
        <w:tc>
          <w:tcPr>
            <w:tcW w:w="160" w:type="dxa"/>
            <w:vAlign w:val="bottom"/>
            <w:shd w:val="clear" w:color="auto" w:fill="CCEEFF"/>
          </w:tcPr>
          <w:p>
            <w:pPr>
              <w:spacing w:after="0"/>
              <w:rPr>
                <w:sz w:val="18"/>
                <w:szCs w:val="18"/>
                <w:color w:val="auto"/>
              </w:rPr>
            </w:pPr>
          </w:p>
        </w:tc>
      </w:tr>
      <w:tr>
        <w:trPr>
          <w:trHeight w:val="234"/>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Pr>
          <w:p>
            <w:pPr>
              <w:spacing w:after="0"/>
              <w:rPr>
                <w:sz w:val="20"/>
                <w:szCs w:val="20"/>
                <w:color w:val="auto"/>
              </w:rPr>
            </w:pPr>
          </w:p>
        </w:tc>
        <w:tc>
          <w:tcPr>
            <w:tcW w:w="1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8"/>
              </w:rPr>
              <w:t>26.6%</w:t>
            </w:r>
          </w:p>
        </w:tc>
      </w:tr>
    </w:tbl>
    <w:p>
      <w:pPr>
        <w:spacing w:after="0" w:line="17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rates are sensitive to the jurisdictional mix of our earnings, due, in part, to the non-recognition of tax benefits on losses in jurisdictions with valuation allowances.</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effective income tax rate decreased in Q4 FY25 compared with Q3 FY25 primarily due to the release of a $16.7 million valuation allowance related to deferred tax assets that are now expected to be realized in future periods, as well as $2.8 million of reversals of uncertain tax positions mainly resulting from audit settlements and statute expirations. These favorable items were partially offset by $7.1 million of foreign tax rate differentials driven by higher income levels during the quarter. In addition, the effective tax rate was impacted by an unfavorable jurisdictional mix of earnings.</w:t>
      </w:r>
    </w:p>
    <w:p>
      <w:pPr>
        <w:spacing w:after="0" w:line="180"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Q4 FY25, compared with Q4 FY24, is primarily due to the impact of the change in valuation allowance described above, changes in the jurisdictional mix of earnings, and a decrease in foreign tax compared with the prior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31.6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63.6</w:t>
            </w:r>
          </w:p>
        </w:tc>
        <w:tc>
          <w:tcPr>
            <w:tcW w:w="160" w:type="dxa"/>
            <w:vAlign w:val="bottom"/>
            <w:shd w:val="clear" w:color="auto" w:fill="CCEEFF"/>
          </w:tcPr>
          <w:p>
            <w:pPr>
              <w:spacing w:after="0"/>
              <w:rPr>
                <w:sz w:val="18"/>
                <w:szCs w:val="18"/>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25.7%</w:t>
            </w:r>
          </w:p>
        </w:tc>
      </w:tr>
    </w:tbl>
    <w:p>
      <w:pPr>
        <w:spacing w:after="0" w:line="179" w:lineRule="exact"/>
        <w:rPr>
          <w:sz w:val="20"/>
          <w:szCs w:val="20"/>
          <w:color w:val="auto"/>
        </w:rPr>
      </w:pPr>
    </w:p>
    <w:p>
      <w:pPr>
        <w:ind w:right="220" w:firstLine="501"/>
        <w:spacing w:after="0" w:line="261" w:lineRule="auto"/>
        <w:rPr>
          <w:sz w:val="20"/>
          <w:szCs w:val="20"/>
          <w:color w:val="auto"/>
        </w:rPr>
      </w:pPr>
      <w:r>
        <w:rPr>
          <w:rFonts w:ascii="Times New Roman" w:cs="Times New Roman" w:eastAsia="Times New Roman" w:hAnsi="Times New Roman"/>
          <w:sz w:val="18"/>
          <w:szCs w:val="18"/>
          <w:color w:val="auto"/>
        </w:rPr>
        <w:t>The decrease in the effective income tax rate on a full-year basis in FY25, compared with FY24, is primarily due to the release of valuation allowance as described above. We also regularly assess the potential outcomes of ongoing and future tax examinations and, accordingly, have recorded accruals for such contingencies. Included in the balance of unrecognized tax benefits as of October 31, 2025 and October 31, 2024, are $11.4 million and $14.7 million respectively, recorded in Other liabilities in the consolidated balance sheets that, if recognized, would impact the effective tax rates.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continue to implement similar legislation with varying effective dates.</w:t>
      </w:r>
    </w:p>
    <w:p>
      <w:pPr>
        <w:spacing w:after="0" w:line="180"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subject to Pillar Two, but we estimate that the financial impact is immaterial. We will continue to monitor further developments to determine any potential impact in the countries in which we operate.</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to federal tax law and other regulatory provisions that may impact the Company. The legislation enacted will be effective for Photronics commencing in our fiscal year 2026. We will continue to monitor and evaluate the impact of the legislative changes as more guidance becomes 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$16.8 million in Q4 FY25, compared with $6.2 million in Q3 FY25; the increase of $10.6 million was the result of an increase in the net incomes of our joint venture operations. Net income attributable to noncontrolling interests increased $10.5 million in Q4 FY25, compared with $6.4 million in Q4 FY24; which was the result of an increase in the net incomes of our joint venture operations.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by $0.7 million in YTD FY25 to $53.8 million from $53.2 million in YTD FY24, as a result of increased net income at both our Taiwan-based and China-based joint venture IC facilities.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Cash and cash equivalents were $492.3 million and $598.5 million as of October 31, 2025, and October 31, 2024, respectively. As of October 31, 2025, total cash and cash equivalents included $446.1 million held by foreign subsidiaries, including an aggregate of $353.8 million held by our joint ventures in Taiwan and China. In addition, we currently have $95.9 million in short-term investments and CNY 200 million or USD 25 million of borrowing capacity in China to support local operations. See Note 8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Debt to the consolidated financial statements for additional information on our outstanding debt and currently available financing. Our primary sources of liquidity are our cash on hand and cash we generate from operations.</w:t>
      </w:r>
    </w:p>
    <w:p>
      <w:pPr>
        <w:spacing w:after="0" w:line="18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short-term investments, we plan to continue to invest in our business, with our investments targeted to align with our customers’ technology road maps. In addition, we stand ready to invest in mergers, acquisitions, or strategic partnerships, should a suitable opportunity arise.</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estimate capital expenditures for our fiscal year 2026 will be approximately $330 million; these investments will be targeted towards high-end and mainstream “point” tools that will increase our operating capacity and efficiency and enable us to support our customers’ near-term demands. As of October 31, 2025, we had outstanding capital commitments of approximately $126.4 million and accrued liabilities related to capital equipment purchases of approximately $13.0 million. Although payment timing could vary, primarily as a result of the timing of tool delivery, installation and testing, we currently estimate that we will fund $120.0 million of our total $139.4 million committed and recognized obligations for capital expenditures over the next twelve months. Please refer to Notes 11 - Leases and 16 – Commitments and Contingencies to our consolidated financial statements for additional information on our lease liabilities and unrecognized commitments, respectively.</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jc w:val="both"/>
        <w:ind w:right="320" w:firstLine="324"/>
        <w:spacing w:after="0" w:line="281" w:lineRule="auto"/>
        <w:rPr>
          <w:sz w:val="20"/>
          <w:szCs w:val="20"/>
          <w:color w:val="auto"/>
        </w:rPr>
      </w:pPr>
      <w:r>
        <w:rPr>
          <w:rFonts w:ascii="Times New Roman" w:cs="Times New Roman" w:eastAsia="Times New Roman" w:hAnsi="Times New Roman"/>
          <w:sz w:val="17"/>
          <w:szCs w:val="17"/>
          <w:color w:val="auto"/>
        </w:rPr>
        <w:t>On August 28, 2024, the Board of Directors authorized an increase to the Company’s existing share repurchase program from the remaining $31.7 million to $100 million. In June 2025, the Board of Directors authorized an additional $25 million share repurchase. During the fiscal year ended as of October 31, 2025, the Company repurchased 5.0 million shares for $97.4 million. As a result, as of October 31, 2025, $27.6 million remained available under this authorization. Depending on market conditions, we may utilize some or the entire remaining approved amount to reacquire additional shares.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6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PDMCX Joint Venture of our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October 31, 2025, Photronics and DNP each had net investments in this joint venture of approximately $160.4 million.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80" w:type="dxa"/>
            <w:vAlign w:val="bottom"/>
          </w:tcPr>
          <w:p>
            <w:pPr>
              <w:spacing w:after="0"/>
              <w:rPr>
                <w:sz w:val="16"/>
                <w:szCs w:val="16"/>
                <w:color w:val="auto"/>
              </w:rPr>
            </w:pPr>
          </w:p>
        </w:tc>
        <w:tc>
          <w:tcPr>
            <w:tcW w:w="114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38"/>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261.4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200" w:firstLine="3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 Net cash provided by operating activities 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decreased by $13.6 million in FY25, compared with FY24, primarily due to unfavorable changes in working capital.</w:t>
      </w:r>
    </w:p>
    <w:p>
      <w:pPr>
        <w:spacing w:after="0" w:line="173" w:lineRule="exact"/>
        <w:rPr>
          <w:sz w:val="20"/>
          <w:szCs w:val="20"/>
          <w:color w:val="auto"/>
        </w:rPr>
      </w:pPr>
    </w:p>
    <w:p>
      <w:pPr>
        <w:ind w:right="280" w:firstLine="315"/>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Net cash used in investing activities increased by $82.4 million in FY25, compared to FY24, primarily driven by an increase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short-term investments of $29.0 million and purchases of property, plant, and equipment of $57.2 million.</w:t>
      </w:r>
    </w:p>
    <w:p>
      <w:pPr>
        <w:spacing w:after="0" w:line="158" w:lineRule="exact"/>
        <w:rPr>
          <w:sz w:val="20"/>
          <w:szCs w:val="20"/>
          <w:color w:val="auto"/>
        </w:rPr>
      </w:pPr>
    </w:p>
    <w:p>
      <w:pPr>
        <w:ind w:right="80" w:firstLine="315"/>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Net cash used in financing activities increased by $107.6 million in FY25, compared to FY24. This was driven by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repurchases of common stock of $97.4 million and repayments of debt of $11.4 million.</w:t>
      </w:r>
    </w:p>
    <w:p>
      <w:pPr>
        <w:spacing w:after="0" w:line="160" w:lineRule="exact"/>
        <w:rPr>
          <w:sz w:val="20"/>
          <w:szCs w:val="20"/>
          <w:color w:val="auto"/>
        </w:rPr>
      </w:pPr>
    </w:p>
    <w:p>
      <w:pPr>
        <w:ind w:right="520" w:firstLine="270"/>
        <w:spacing w:after="0" w:line="282" w:lineRule="auto"/>
        <w:rPr>
          <w:sz w:val="20"/>
          <w:szCs w:val="20"/>
          <w:color w:val="auto"/>
        </w:rPr>
      </w:pPr>
      <w:r>
        <w:rPr>
          <w:rFonts w:ascii="Times New Roman" w:cs="Times New Roman" w:eastAsia="Times New Roman" w:hAnsi="Times New Roman"/>
          <w:sz w:val="18"/>
          <w:szCs w:val="18"/>
          <w:color w:val="auto"/>
        </w:rPr>
        <w:t>Our cash, cash equivalents, and restricted cash balances were positively impacted by changes in foreign currency exchange rates in FY25 of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60" w:firstLine="225"/>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8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reconciles U.S. GAAP net income and diluted earnings per share attributable to Photronics, Inc. shareholders to non-GAAP net income and diluted earnings per share attributable to Photronics, Inc. shareholders for the indicated periods. The columns may not foot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Year ended</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6020" w:type="dxa"/>
            <w:vAlign w:val="bottom"/>
          </w:tcPr>
          <w:p>
            <w:pPr>
              <w:spacing w:after="0"/>
              <w:rPr>
                <w:sz w:val="16"/>
                <w:szCs w:val="16"/>
                <w:color w:val="auto"/>
              </w:rPr>
            </w:pPr>
          </w:p>
        </w:tc>
        <w:tc>
          <w:tcPr>
            <w:tcW w:w="840" w:type="dxa"/>
            <w:vAlign w:val="bottom"/>
            <w:gridSpan w:val="3"/>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820" w:type="dxa"/>
            <w:vAlign w:val="bottom"/>
            <w:gridSpan w:val="3"/>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Aug 3,</w:t>
            </w:r>
          </w:p>
        </w:tc>
        <w:tc>
          <w:tcPr>
            <w:tcW w:w="840" w:type="dxa"/>
            <w:vAlign w:val="bottom"/>
            <w:gridSpan w:val="3"/>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100" w:type="dxa"/>
            <w:vAlign w:val="bottom"/>
          </w:tcPr>
          <w:p>
            <w:pPr>
              <w:spacing w:after="0"/>
              <w:rPr>
                <w:sz w:val="16"/>
                <w:szCs w:val="16"/>
                <w:color w:val="auto"/>
              </w:rPr>
            </w:pPr>
          </w:p>
        </w:tc>
        <w:tc>
          <w:tcPr>
            <w:tcW w:w="8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 31,</w:t>
            </w:r>
          </w:p>
        </w:tc>
        <w:tc>
          <w:tcPr>
            <w:tcW w:w="100" w:type="dxa"/>
            <w:vAlign w:val="bottom"/>
          </w:tcPr>
          <w:p>
            <w:pPr>
              <w:spacing w:after="0"/>
              <w:rPr>
                <w:sz w:val="16"/>
                <w:szCs w:val="16"/>
                <w:color w:val="auto"/>
              </w:rPr>
            </w:pPr>
          </w:p>
        </w:tc>
        <w:tc>
          <w:tcPr>
            <w:tcW w:w="84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Oct 31,</w:t>
            </w:r>
          </w:p>
        </w:tc>
        <w:tc>
          <w:tcPr>
            <w:tcW w:w="100" w:type="dxa"/>
            <w:vAlign w:val="bottom"/>
          </w:tcPr>
          <w:p>
            <w:pPr>
              <w:spacing w:after="0"/>
              <w:rPr>
                <w:sz w:val="16"/>
                <w:szCs w:val="16"/>
                <w:color w:val="auto"/>
              </w:rPr>
            </w:pPr>
          </w:p>
        </w:tc>
        <w:tc>
          <w:tcPr>
            <w:tcW w:w="6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Oct 31,</w:t>
            </w:r>
          </w:p>
        </w:tc>
        <w:tc>
          <w:tcPr>
            <w:tcW w:w="80" w:type="dxa"/>
            <w:vAlign w:val="bottom"/>
          </w:tcPr>
          <w:p>
            <w:pPr>
              <w:spacing w:after="0"/>
              <w:rPr>
                <w:sz w:val="16"/>
                <w:szCs w:val="16"/>
                <w:color w:val="auto"/>
              </w:rPr>
            </w:pPr>
          </w:p>
        </w:tc>
      </w:tr>
      <w:tr>
        <w:trPr>
          <w:trHeight w:val="245"/>
        </w:trPr>
        <w:tc>
          <w:tcPr>
            <w:tcW w:w="6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net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125,485</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(18,615)</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(2,466)</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FX (gain)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2,676</w:t>
            </w: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deferred tax valuation allowance</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120,556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127,590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126,012</w:t>
            </w: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6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58,068</w:t>
            </w:r>
          </w:p>
        </w:tc>
        <w:tc>
          <w:tcPr>
            <w:tcW w:w="1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62,456</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59,920</w:t>
            </w:r>
          </w:p>
        </w:tc>
        <w:tc>
          <w:tcPr>
            <w:tcW w:w="1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62,391</w:t>
            </w:r>
          </w:p>
        </w:tc>
        <w:tc>
          <w:tcPr>
            <w:tcW w:w="1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61,755</w:t>
            </w:r>
          </w:p>
        </w:tc>
      </w:tr>
      <w:tr>
        <w:trPr>
          <w:trHeight w:val="21"/>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EPS: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GAAP diluted earnings per share attributable to Photronics, Inc. shareholders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the non-GAAP adjustments above</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60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diluted earnings per share attributable to Photronics, Inc. shareholders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current business outlook and guidance was provided in our Full Year and Fourth Quarter Fiscal 2025 Results earnings call, and related slide deck, but is not incorporated herein. These can be accessed in the investor section of our website - www.photronics.com. Information included on our website is not incorporated in this Form 10-K.</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our “Full Year and Fourth Quarter Fiscal 2025 Results” earnings call and presentation involve a number of risks and uncertainties, some of which are discussed in Part I, Item 1A of this report. These factors and a number of other unforeseeable factors could cause actual results to differ materially from our expectations.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spacing w:after="0" w:line="162" w:lineRule="exact"/>
        <w:rPr>
          <w:sz w:val="20"/>
          <w:szCs w:val="20"/>
          <w:color w:val="auto"/>
        </w:rPr>
      </w:pPr>
    </w:p>
    <w:p>
      <w:pPr>
        <w:ind w:left="660" w:right="4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 The application of GAAP related to the measurement and recognition of revenue requires us to make judgments and estimates, including the determination of whether we should recognize revenue as we perform or upon the completion of our performance, as these determinations impact the timing and amount of our reported revenue and net income. Other significant judgments include the estimation of the point in the manufacturing process at which we are entitled to recognize revenue, as well as the measurement of our progress towards satisfying our performance obligations, which determine the amount of revenue we are entitled to recognize.</w:t>
      </w:r>
    </w:p>
    <w:p>
      <w:pPr>
        <w:spacing w:after="0" w:line="183"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 and Equipment</w:t>
      </w:r>
      <w:r>
        <w:rPr>
          <w:rFonts w:ascii="Times New Roman" w:cs="Times New Roman" w:eastAsia="Times New Roman" w:hAnsi="Times New Roman"/>
          <w:sz w:val="18"/>
          <w:szCs w:val="18"/>
          <w:color w:val="auto"/>
        </w:rPr>
        <w:t>: Significant judgment and assumptions are employed when we establish the estimated useful lives of asset classes, and determine when depreciation should commence for individual assets, as these determinations can significantly impact our gross margin and research and development expenses. Significant judgment would also be employed when events or changes in circumstances indicate that the carrying amount of a group of assets may not be recoverable, as the recoverability assessment requires us to forecast future cash flows related to these assets; this evaluation can significantly impact our gross margin and operating expense.</w:t>
      </w:r>
    </w:p>
    <w:p>
      <w:pPr>
        <w:spacing w:after="0" w:line="18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Significant judgment is applied in the determination of whether an arrangement is, or contains, a lease and, in certain instances, whether the lease should be classified as an operating lease or a finance lease, which can impact the timing and classification of lease costs.</w:t>
      </w:r>
    </w:p>
    <w:p>
      <w:pPr>
        <w:spacing w:after="0" w:line="16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We are subject to the possibility of losses from various contingencies. Significant judgment is necessary to estimate the probability and amount of a loss, if any, from such contingencies. An accrual is made when it is probable that a liability has been incurred or an asset has been impaired and the amount of loss can be reasonably estimated. Changes in estimates related to, and resolutions of, contingencies may have a material impact on our financial performance.</w:t>
      </w:r>
    </w:p>
    <w:p>
      <w:pPr>
        <w:spacing w:after="0" w:line="179"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Our annual tax rate is determined based on our income and the jurisdictions where it is earned, statutory tax rates, and the tax impacts of items treated differently for tax purposes than for financial reporting purposes. Also inherent in determining our annual tax rate are judgments and assumptions regarding the recoverability of certain deferred tax assets, and our ability to uphold certain tax positions. We are subject to complex tax laws, in the U.S. and numerous foreign jurisdictions, and the manner in which they apply can be open to interpretation. Realization of deferred tax assets is dependent upon generating sufficient taxable income in the appropriate jurisdiction in future periods, which involves business plans, planning opportunities, and expectations about future outcomes. Our assessment relies on estimates and assumptions and may involve a series of complex judgments about future events.</w:t>
      </w:r>
    </w:p>
    <w:p>
      <w:pPr>
        <w:spacing w:after="0" w:line="189" w:lineRule="exact"/>
        <w:rPr>
          <w:sz w:val="20"/>
          <w:szCs w:val="20"/>
          <w:color w:val="auto"/>
        </w:rPr>
      </w:pPr>
    </w:p>
    <w:p>
      <w:pPr>
        <w:jc w:val="both"/>
        <w:ind w:left="660" w:right="480"/>
        <w:spacing w:after="0" w:line="266" w:lineRule="auto"/>
        <w:rPr>
          <w:sz w:val="20"/>
          <w:szCs w:val="20"/>
          <w:color w:val="auto"/>
        </w:rPr>
      </w:pPr>
      <w:r>
        <w:rPr>
          <w:rFonts w:ascii="Times New Roman" w:cs="Times New Roman" w:eastAsia="Times New Roman" w:hAnsi="Times New Roman"/>
          <w:sz w:val="18"/>
          <w:szCs w:val="18"/>
          <w:color w:val="auto"/>
        </w:rPr>
        <w:t>There are a number of estimates and assumptions inherent in calculating the various components of our tax provision. Future events such as changes in tax legislation, geographic mix of earnings, findings in tax audits, and earnings repatriation plans could have an impact on those estimates and our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 to our consolidated financial statements in this report for recent accounting pronouncements that may affect our financial reporting.</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and the euro. In addition, we engage in transactions and have exposures to the Japanese yen.</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primary net foreign currency exposures as of October 31, 2025,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$70.1 million, which represents an increase of $8.8 million from our exposure as of October 31, 2024. Our most significant exposures at October 31, 2025, were exposures of the New Taiwan Dollar and the South Korean won against the U.S. dollar. We do not believe that a 10% change in the exchange rates of other non-U.S. dollar currencies, other than the aforementioned currencies, would have had a material effect on our October 31, 2025,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 10% adverse or favorable movement in the interest rates on our variable rate borrowings would not have had a material effect on our October 31, 2025,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Inflationary factors generally affect us by increasing our labor and overhead costs, as well as costs associated with certain risks identified above, which may adversely affect our results of operations and financial position. We have historically been able to recover the impacts of inflation through sales price increases, however we cannot reasonably estimate our ability to successfully recover any impact of inflation through price increases in the future. Our inability to do so could harm our results of operations and financial position.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140" w:type="dxa"/>
            <w:vAlign w:val="bottom"/>
            <w:gridSpan w:val="8"/>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0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Deloitte &amp; Touche LLP (PCAOB ID 34)</w:t>
            </w:r>
          </w:p>
        </w:tc>
        <w:tc>
          <w:tcPr>
            <w:tcW w:w="2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46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2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2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Equity</w:t>
            </w:r>
          </w:p>
        </w:tc>
        <w:tc>
          <w:tcPr>
            <w:tcW w:w="2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1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0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000" w:type="dxa"/>
            <w:vAlign w:val="bottom"/>
            <w:tcBorders>
              <w:bottom w:val="single" w:sz="8" w:color="CCEEFF"/>
            </w:tcBorders>
            <w:gridSpan w:val="3"/>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4"/>
        </w:trPr>
        <w:tc>
          <w:tcPr>
            <w:tcW w:w="7200" w:type="dxa"/>
            <w:vAlign w:val="bottom"/>
            <w:gridSpan w:val="8"/>
          </w:tcPr>
          <w:p>
            <w:pPr>
              <w:ind w:left="5560"/>
              <w:spacing w:after="0"/>
              <w:rPr>
                <w:sz w:val="20"/>
                <w:szCs w:val="20"/>
                <w:color w:val="auto"/>
              </w:rPr>
            </w:pPr>
            <w:r>
              <w:rPr>
                <w:rFonts w:ascii="Times New Roman" w:cs="Times New Roman" w:eastAsia="Times New Roman" w:hAnsi="Times New Roman"/>
                <w:sz w:val="14"/>
                <w:szCs w:val="14"/>
                <w:color w:val="auto"/>
              </w:rPr>
              <w:t>37</w:t>
            </w:r>
          </w:p>
        </w:tc>
        <w:tc>
          <w:tcPr>
            <w:tcW w:w="1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Photronics, Inc., and subsidiaries (the “Company”) as of October 31, 2025 and 2024, the related consolidated statements of income, comprehensive income, equity, and cash flows for each of the three years in the period ended October 31, 2025, and the related notes (collectively referred to as the “financial statements”). In our opinion, the financial statements present fairly, in all material respects, the financial position of the Company as of October 31, 2025 and October 31, 2024, and the results of its operations and its cash flows for each of the three years in the period ended October 31, 2025, in conformity with accounting principles generally accepted in the United States of America.</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October 31, 2025, based on criteria established in Internal Control — Integrated Framework (2013) issued by the Committee of Sponsoring Organizations of the Treadway Commission, and our report dated December 17, 2025,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 Contracts with Customers— Refer to Note 1 &amp; 10 of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revenue over time for in-process production orders that have not shipped for contracts with customers for which it has an enforceable right to bill and collect consideration, including a reasonable profit, in the event the in-process orders are cancelled by the customers. In addition, as photomasks are manufactured to customer specifications, they have no alternative use to the Company. This results in the Company recording a corresponding contract asset as of period-end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revenue recognized over time and the associated contract asset as of October 31, 2025 was $12.7 million.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identified the determination of revenue recognized over time for in-process productions orders as of October 31, 2025 as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determination of the progress point of in-process orders and resulting revenue recognized over time and corresponding contract asset as of October 31, 2025 included the following:</w:t>
      </w:r>
    </w:p>
    <w:p>
      <w:pPr>
        <w:spacing w:after="0" w:line="162" w:lineRule="exact"/>
        <w:rPr>
          <w:sz w:val="20"/>
          <w:szCs w:val="20"/>
          <w:color w:val="auto"/>
        </w:rPr>
      </w:pPr>
    </w:p>
    <w:p>
      <w:pPr>
        <w:ind w:left="340" w:right="38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management’s determination of the point in the production process and correlation to stated contractual rights.</w:t>
      </w:r>
    </w:p>
    <w:p>
      <w:pPr>
        <w:ind w:left="340" w:right="300" w:hanging="332"/>
        <w:spacing w:after="0" w:line="25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calculations of revenue and the associated timing of revenue recognized in the consolidated financial statements.</w:t>
      </w:r>
    </w:p>
    <w:p>
      <w:pPr>
        <w:ind w:left="340" w:hanging="332"/>
        <w:spacing w:after="0"/>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tested the accuracy and completeness of the in-process orders report by performing physical observations.</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We selected a sample of in-process production orders as of October 31, 2025 and performed the following  procedures for each selection:</w:t>
      </w:r>
    </w:p>
    <w:p>
      <w:pPr>
        <w:spacing w:after="0" w:line="9" w:lineRule="exact"/>
        <w:rPr>
          <w:sz w:val="20"/>
          <w:szCs w:val="20"/>
          <w:color w:val="auto"/>
        </w:rPr>
      </w:pPr>
    </w:p>
    <w:p>
      <w:pPr>
        <w:ind w:left="820" w:hanging="326"/>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customer agreement/purchase order, invoice, and quote to determine whether the company has an enforceable right to bill and collect consideration.</w:t>
      </w: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identification of significant contract terms and resulting revenue recognition for the in-process production order.</w:t>
      </w:r>
    </w:p>
    <w:p>
      <w:pPr>
        <w:spacing w:after="0" w:line="9" w:lineRule="exact"/>
        <w:rPr>
          <w:sz w:val="20"/>
          <w:szCs w:val="20"/>
          <w:color w:val="auto"/>
        </w:rPr>
      </w:pPr>
    </w:p>
    <w:p>
      <w:pPr>
        <w:ind w:left="820" w:right="360" w:hanging="319"/>
        <w:spacing w:after="0" w:line="250" w:lineRule="auto"/>
        <w:tabs>
          <w:tab w:leader="none" w:pos="800" w:val="left"/>
        </w:tabs>
        <w:rPr>
          <w:sz w:val="20"/>
          <w:szCs w:val="20"/>
          <w:color w:val="auto"/>
        </w:rPr>
      </w:pPr>
      <w:r>
        <w:rPr>
          <w:rFonts w:ascii="Times New Roman" w:cs="Times New Roman" w:eastAsia="Times New Roman" w:hAnsi="Times New Roman"/>
          <w:sz w:val="18"/>
          <w:szCs w:val="18"/>
          <w:color w:val="auto"/>
        </w:rPr>
        <w:t>o</w:t>
        <w:tab/>
        <w:t>Evaluated management estimate of the production point for the in-process order and corresponding revenue recognition and contract asset based on the Company’s enforceable right within the contract.</w:t>
      </w:r>
    </w:p>
    <w:p>
      <w:pPr>
        <w:spacing w:after="0" w:line="1" w:lineRule="exact"/>
        <w:rPr>
          <w:sz w:val="20"/>
          <w:szCs w:val="20"/>
          <w:color w:val="auto"/>
        </w:rPr>
      </w:pPr>
    </w:p>
    <w:p>
      <w:pPr>
        <w:ind w:left="820" w:right="160" w:hanging="326"/>
        <w:spacing w:after="0" w:line="26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revenue recognized by testing actual costs incurred and by recalculating percentage completion based on total expected costs for each sampled order.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598,485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95,909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$1,166 in 2025 and $1,126 in 2024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200,830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44,199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33,036</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890,052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931,062</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745,257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23,059</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12,681</w:t>
            </w:r>
          </w:p>
        </w:tc>
      </w:tr>
      <w:tr>
        <w:trPr>
          <w:trHeight w:val="256"/>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84,209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78,717</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81,653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87,122</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183,811</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41,341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47,464</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207,227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231,300</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57,633 shares issued and outstanding at October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2025, and 61,949 shares issued and outstanding at October 31, 2024</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514,757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691,807</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(86,120)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1,120,864</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423,718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1,480,759</w:t>
            </w:r>
          </w:p>
        </w:tc>
      </w:tr>
      <w:tr>
        <w:trPr>
          <w:trHeight w:val="256"/>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0000EE"/>
              </w:rPr>
              <w:t>Table of Contents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3"/>
        </w:trPr>
        <w:tc>
          <w:tcPr>
            <w:tcW w:w="1040" w:type="dxa"/>
            <w:vAlign w:val="bottom"/>
            <w:tcBorders>
              <w:top w:val="single" w:sz="8" w:color="0000EE"/>
            </w:tcBorders>
          </w:tcPr>
          <w:p>
            <w:pPr>
              <w:spacing w:after="0"/>
              <w:rPr>
                <w:sz w:val="24"/>
                <w:szCs w:val="24"/>
                <w:color w:val="auto"/>
              </w:rPr>
            </w:pPr>
          </w:p>
        </w:tc>
        <w:tc>
          <w:tcPr>
            <w:tcW w:w="628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40" w:type="dxa"/>
            <w:vAlign w:val="bottom"/>
          </w:tcPr>
          <w:p>
            <w:pPr>
              <w:spacing w:after="0"/>
              <w:rPr>
                <w:sz w:val="18"/>
                <w:szCs w:val="18"/>
                <w:color w:val="auto"/>
              </w:rPr>
            </w:pPr>
          </w:p>
        </w:tc>
        <w:tc>
          <w:tcPr>
            <w:tcW w:w="628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40" w:type="dxa"/>
            <w:vAlign w:val="bottom"/>
          </w:tcPr>
          <w:p>
            <w:pPr>
              <w:spacing w:after="0"/>
              <w:rPr>
                <w:sz w:val="20"/>
                <w:szCs w:val="20"/>
                <w:color w:val="auto"/>
              </w:rPr>
            </w:pPr>
          </w:p>
        </w:tc>
        <w:tc>
          <w:tcPr>
            <w:tcW w:w="6280" w:type="dxa"/>
            <w:vAlign w:val="bottom"/>
          </w:tcPr>
          <w:p>
            <w:pPr>
              <w:jc w:val="center"/>
              <w:ind w:left="279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4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849,294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866,946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$892,076</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549,464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551,000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555,914</w:t>
            </w:r>
          </w:p>
        </w:tc>
      </w:tr>
      <w:tr>
        <w:trPr>
          <w:trHeight w:val="216"/>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299,830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315,946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336,162</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75,625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69,458</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13,654</w:t>
            </w:r>
          </w:p>
        </w:tc>
      </w:tr>
      <w:tr>
        <w:trPr>
          <w:trHeight w:val="216"/>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91,429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83,112</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208,161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253,050</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transactions impacts,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2,466</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14,863</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221,784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247,415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269,946</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63,567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70,312</w:t>
            </w:r>
          </w:p>
        </w:tc>
      </w:tr>
      <w:tr>
        <w:trPr>
          <w:trHeight w:val="216"/>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190,234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183,848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199,634</w:t>
            </w: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53,160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74,149</w:t>
            </w:r>
          </w:p>
        </w:tc>
      </w:tr>
      <w:tr>
        <w:trPr>
          <w:trHeight w:val="216"/>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136,405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$125,485</w:t>
            </w:r>
          </w:p>
        </w:tc>
      </w:tr>
      <w:tr>
        <w:trPr>
          <w:trHeight w:val="210"/>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0"/>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09"/>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61,726</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61,139</w:t>
            </w:r>
          </w:p>
        </w:tc>
      </w:tr>
      <w:tr>
        <w:trPr>
          <w:trHeight w:val="209"/>
        </w:trPr>
        <w:tc>
          <w:tcPr>
            <w:tcW w:w="1040" w:type="dxa"/>
            <w:vAlign w:val="bottom"/>
            <w:tcBorders>
              <w:top w:val="single" w:sz="8" w:color="CCEEFF"/>
            </w:tcBorders>
          </w:tcPr>
          <w:p>
            <w:pPr>
              <w:spacing w:after="0"/>
              <w:rPr>
                <w:sz w:val="18"/>
                <w:szCs w:val="18"/>
                <w:color w:val="auto"/>
              </w:rPr>
            </w:pPr>
          </w:p>
        </w:tc>
        <w:tc>
          <w:tcPr>
            <w:tcW w:w="6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59,920</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62,391</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61,755</w:t>
            </w:r>
          </w:p>
        </w:tc>
      </w:tr>
      <w:tr>
        <w:trPr>
          <w:trHeight w:val="425"/>
        </w:trPr>
        <w:tc>
          <w:tcPr>
            <w:tcW w:w="73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1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183,848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199,634</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5,615</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19"/>
                <w:szCs w:val="19"/>
                <w:color w:val="auto"/>
              </w:rPr>
            </w:pPr>
          </w:p>
        </w:tc>
      </w:tr>
      <w:tr>
        <w:trPr>
          <w:trHeight w:val="216"/>
        </w:trPr>
        <w:tc>
          <w:tcPr>
            <w:tcW w:w="7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192,397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205,246</w:t>
            </w:r>
          </w:p>
        </w:tc>
      </w:tr>
      <w:tr>
        <w:trPr>
          <w:trHeight w:val="223"/>
        </w:trPr>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133,104</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135,207</w:t>
            </w:r>
          </w:p>
        </w:tc>
      </w:tr>
      <w:tr>
        <w:trPr>
          <w:trHeight w:val="426"/>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Balance as of October 31, 2022 </w:t>
      </w:r>
      <w:r>
        <w:rPr>
          <w:rFonts w:ascii="Times New Roman" w:cs="Times New Roman" w:eastAsia="Times New Roman" w:hAnsi="Times New Roman"/>
          <w:sz w:val="18"/>
          <w:szCs w:val="18"/>
          <w:color w:val="auto"/>
        </w:rPr>
        <w:t>Net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under equity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3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Balance as of October 31, 2023 </w:t>
      </w:r>
      <w:r>
        <w:rPr>
          <w:rFonts w:ascii="Times New Roman" w:cs="Times New Roman" w:eastAsia="Times New Roman" w:hAnsi="Times New Roman"/>
          <w:sz w:val="18"/>
          <w:szCs w:val="18"/>
          <w:color w:val="auto"/>
        </w:rPr>
        <w:t>Net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under equity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w:t>
      </w:r>
    </w:p>
    <w:p>
      <w:pPr>
        <w:spacing w:after="0" w:line="23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Balance as of October 31, 2024 </w:t>
      </w:r>
      <w:r>
        <w:rPr>
          <w:rFonts w:ascii="Times New Roman" w:cs="Times New Roman" w:eastAsia="Times New Roman" w:hAnsi="Times New Roman"/>
          <w:sz w:val="18"/>
          <w:szCs w:val="18"/>
          <w:color w:val="auto"/>
        </w:rPr>
        <w:t>Net income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Other comprehensive income Shares issued under equity plans Share-based compensation expense Purchase and retirement of common stock through repurchase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2025</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b w:val="1"/>
          <w:bCs w:val="1"/>
          <w:color w:val="auto"/>
        </w:rPr>
        <w:t>Years Ended October 31, 2025, 2024 and 2023</w:t>
      </w:r>
    </w:p>
    <w:p>
      <w:pPr>
        <w:spacing w:after="0" w:line="9" w:lineRule="exact"/>
        <w:rPr>
          <w:sz w:val="20"/>
          <w:szCs w:val="20"/>
          <w:color w:val="auto"/>
        </w:rPr>
      </w:pPr>
    </w:p>
    <w:p>
      <w:pPr>
        <w:jc w:val="center"/>
        <w:ind w:right="266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4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4"/>
        </w:trPr>
        <w:tc>
          <w:tcPr>
            <w:tcW w:w="4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460" w:type="dxa"/>
            <w:vAlign w:val="bottom"/>
          </w:tcPr>
          <w:p>
            <w:pPr>
              <w:spacing w:after="0"/>
              <w:rPr>
                <w:sz w:val="17"/>
                <w:szCs w:val="17"/>
                <w:color w:val="auto"/>
              </w:rPr>
            </w:pPr>
          </w:p>
        </w:tc>
        <w:tc>
          <w:tcPr>
            <w:tcW w:w="1180" w:type="dxa"/>
            <w:vAlign w:val="bottom"/>
            <w:tcBorders>
              <w:bottom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Common Stock</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71"/>
              <w:spacing w:after="0" w:line="198" w:lineRule="exact"/>
              <w:rPr>
                <w:sz w:val="20"/>
                <w:szCs w:val="20"/>
                <w:color w:val="auto"/>
              </w:rPr>
            </w:pPr>
            <w:r>
              <w:rPr>
                <w:rFonts w:ascii="Times New Roman" w:cs="Times New Roman" w:eastAsia="Times New Roman" w:hAnsi="Times New Roman"/>
                <w:sz w:val="18"/>
                <w:szCs w:val="18"/>
                <w:b w:val="1"/>
                <w:bCs w:val="1"/>
                <w:color w:val="auto"/>
              </w:rPr>
              <w:t>Paid-In</w:t>
            </w:r>
          </w:p>
        </w:tc>
        <w:tc>
          <w:tcPr>
            <w:tcW w:w="200" w:type="dxa"/>
            <w:vAlign w:val="bottom"/>
          </w:tcPr>
          <w:p>
            <w:pPr>
              <w:spacing w:after="0"/>
              <w:rPr>
                <w:sz w:val="17"/>
                <w:szCs w:val="17"/>
                <w:color w:val="auto"/>
              </w:rPr>
            </w:pPr>
          </w:p>
        </w:tc>
        <w:tc>
          <w:tcPr>
            <w:tcW w:w="102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6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Controlling</w:t>
            </w:r>
          </w:p>
        </w:tc>
        <w:tc>
          <w:tcPr>
            <w:tcW w:w="240" w:type="dxa"/>
            <w:vAlign w:val="bottom"/>
          </w:tcPr>
          <w:p>
            <w:pPr>
              <w:spacing w:after="0"/>
              <w:rPr>
                <w:sz w:val="17"/>
                <w:szCs w:val="17"/>
                <w:color w:val="auto"/>
              </w:rPr>
            </w:pPr>
          </w:p>
        </w:tc>
        <w:tc>
          <w:tcPr>
            <w:tcW w:w="940" w:type="dxa"/>
            <w:vAlign w:val="bottom"/>
            <w:gridSpan w:val="3"/>
          </w:tcPr>
          <w:p>
            <w:pPr>
              <w:jc w:val="right"/>
              <w:ind w:right="400"/>
              <w:spacing w:after="0" w:line="198"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0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1"/>
                <w:szCs w:val="21"/>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40" w:type="dxa"/>
            <w:vAlign w:val="bottom"/>
          </w:tcPr>
          <w:p>
            <w:pPr>
              <w:spacing w:after="0"/>
              <w:rPr>
                <w:sz w:val="21"/>
                <w:szCs w:val="21"/>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98"/>
        </w:trPr>
        <w:tc>
          <w:tcPr>
            <w:tcW w:w="1060" w:type="dxa"/>
            <w:vAlign w:val="bottom"/>
            <w:tcBorders>
              <w:top w:val="single" w:sz="8" w:color="auto"/>
            </w:tcBorders>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60,791</w:t>
            </w:r>
          </w:p>
        </w:tc>
        <w:tc>
          <w:tcPr>
            <w:tcW w:w="580" w:type="dxa"/>
            <w:vAlign w:val="bottom"/>
            <w:tcBorders>
              <w:top w:val="single" w:sz="8" w:color="auto"/>
            </w:tcBorders>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608</w:t>
            </w: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51"/>
              <w:spacing w:after="0" w:line="198" w:lineRule="exact"/>
              <w:rPr>
                <w:sz w:val="20"/>
                <w:szCs w:val="20"/>
                <w:color w:val="auto"/>
              </w:rPr>
            </w:pPr>
            <w:r>
              <w:rPr>
                <w:rFonts w:ascii="Times New Roman" w:cs="Times New Roman" w:eastAsia="Times New Roman" w:hAnsi="Times New Roman"/>
                <w:sz w:val="18"/>
                <w:szCs w:val="18"/>
                <w:color w:val="auto"/>
              </w:rPr>
              <w:t>493,741</w:t>
            </w:r>
          </w:p>
        </w:tc>
        <w:tc>
          <w:tcPr>
            <w:tcW w:w="2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435,634</w:t>
            </w:r>
          </w:p>
        </w:tc>
        <w:tc>
          <w:tcPr>
            <w:tcW w:w="30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(98,456)</w:t>
            </w:r>
          </w:p>
        </w:tc>
        <w:tc>
          <w:tcPr>
            <w:tcW w:w="2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230,562</w:t>
            </w:r>
          </w:p>
        </w:tc>
        <w:tc>
          <w:tcPr>
            <w:tcW w:w="2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1,062,089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125,485</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74,149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199,634</w:t>
            </w:r>
          </w:p>
        </w:tc>
        <w:tc>
          <w:tcPr>
            <w:tcW w:w="40" w:type="dxa"/>
            <w:vAlign w:val="bottom"/>
          </w:tcPr>
          <w:p>
            <w:pPr>
              <w:spacing w:after="0"/>
              <w:rPr>
                <w:sz w:val="18"/>
                <w:szCs w:val="18"/>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9,722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5,612</w:t>
            </w:r>
          </w:p>
        </w:tc>
        <w:tc>
          <w:tcPr>
            <w:tcW w:w="40" w:type="dxa"/>
            <w:vAlign w:val="bottom"/>
          </w:tcPr>
          <w:p>
            <w:pPr>
              <w:spacing w:after="0"/>
              <w:rPr>
                <w:sz w:val="18"/>
                <w:szCs w:val="18"/>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r>
      <w:tr>
        <w:trPr>
          <w:trHeight w:val="234"/>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8,001</w:t>
            </w:r>
          </w:p>
        </w:tc>
        <w:tc>
          <w:tcPr>
            <w:tcW w:w="2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8,001</w:t>
            </w:r>
          </w:p>
        </w:tc>
        <w:tc>
          <w:tcPr>
            <w:tcW w:w="40" w:type="dxa"/>
            <w:vAlign w:val="bottom"/>
          </w:tcPr>
          <w:p>
            <w:pPr>
              <w:spacing w:after="0"/>
              <w:rPr>
                <w:sz w:val="20"/>
                <w:szCs w:val="20"/>
                <w:color w:val="auto"/>
              </w:rPr>
            </w:pPr>
          </w:p>
        </w:tc>
      </w:tr>
      <w:tr>
        <w:trPr>
          <w:trHeight w:val="223"/>
        </w:trPr>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06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61,310</w:t>
            </w:r>
          </w:p>
        </w:tc>
        <w:tc>
          <w:tcPr>
            <w:tcW w:w="5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613</w:t>
            </w: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line="198" w:lineRule="exact"/>
              <w:rPr>
                <w:sz w:val="20"/>
                <w:szCs w:val="20"/>
                <w:color w:val="auto"/>
              </w:rPr>
            </w:pPr>
            <w:r>
              <w:rPr>
                <w:rFonts w:ascii="Times New Roman" w:cs="Times New Roman" w:eastAsia="Times New Roman" w:hAnsi="Times New Roman"/>
                <w:sz w:val="18"/>
                <w:szCs w:val="18"/>
                <w:color w:val="auto"/>
              </w:rPr>
              <w:t>502,010</w:t>
            </w:r>
          </w:p>
        </w:tc>
        <w:tc>
          <w:tcPr>
            <w:tcW w:w="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561,119</w:t>
            </w:r>
          </w:p>
        </w:tc>
        <w:tc>
          <w:tcPr>
            <w:tcW w:w="3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(88,734)</w:t>
            </w:r>
          </w:p>
        </w:tc>
        <w:tc>
          <w:tcPr>
            <w:tcW w:w="2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300,601</w:t>
            </w: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1,275,609</w:t>
            </w:r>
          </w:p>
        </w:tc>
        <w:tc>
          <w:tcPr>
            <w:tcW w:w="40" w:type="dxa"/>
            <w:vAlign w:val="bottom"/>
          </w:tcPr>
          <w:p>
            <w:pPr>
              <w:spacing w:after="0"/>
              <w:rPr>
                <w:sz w:val="17"/>
                <w:szCs w:val="17"/>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130,688</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53,160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183,848</w:t>
            </w:r>
          </w:p>
        </w:tc>
        <w:tc>
          <w:tcPr>
            <w:tcW w:w="40" w:type="dxa"/>
            <w:vAlign w:val="bottom"/>
          </w:tcPr>
          <w:p>
            <w:pPr>
              <w:spacing w:after="0"/>
              <w:rPr>
                <w:sz w:val="18"/>
                <w:szCs w:val="18"/>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2,415</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8,549</w:t>
            </w:r>
          </w:p>
        </w:tc>
        <w:tc>
          <w:tcPr>
            <w:tcW w:w="40" w:type="dxa"/>
            <w:vAlign w:val="bottom"/>
          </w:tcPr>
          <w:p>
            <w:pPr>
              <w:spacing w:after="0"/>
              <w:rPr>
                <w:sz w:val="18"/>
                <w:szCs w:val="18"/>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34"/>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13,890</w:t>
            </w:r>
          </w:p>
        </w:tc>
        <w:tc>
          <w:tcPr>
            <w:tcW w:w="2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13,890</w:t>
            </w:r>
          </w:p>
        </w:tc>
      </w:tr>
      <w:tr>
        <w:trPr>
          <w:trHeight w:val="223"/>
        </w:trPr>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1060" w:type="dxa"/>
            <w:vAlign w:val="bottom"/>
            <w:gridSpan w:val="2"/>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61,949</w:t>
            </w:r>
          </w:p>
        </w:tc>
        <w:tc>
          <w:tcPr>
            <w:tcW w:w="580" w:type="dxa"/>
            <w:vAlign w:val="bottom"/>
          </w:tcPr>
          <w:p>
            <w:pPr>
              <w:jc w:val="right"/>
              <w:ind w:right="3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619</w:t>
            </w: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line="198" w:lineRule="exact"/>
              <w:rPr>
                <w:sz w:val="20"/>
                <w:szCs w:val="20"/>
                <w:color w:val="auto"/>
              </w:rPr>
            </w:pPr>
            <w:r>
              <w:rPr>
                <w:rFonts w:ascii="Times New Roman" w:cs="Times New Roman" w:eastAsia="Times New Roman" w:hAnsi="Times New Roman"/>
                <w:sz w:val="18"/>
                <w:szCs w:val="18"/>
                <w:color w:val="auto"/>
              </w:rPr>
              <w:t>514,757</w:t>
            </w:r>
          </w:p>
        </w:tc>
        <w:tc>
          <w:tcPr>
            <w:tcW w:w="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691,807</w:t>
            </w:r>
          </w:p>
        </w:tc>
        <w:tc>
          <w:tcPr>
            <w:tcW w:w="30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(86,319)</w:t>
            </w:r>
          </w:p>
        </w:tc>
        <w:tc>
          <w:tcPr>
            <w:tcW w:w="2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359,895</w:t>
            </w:r>
          </w:p>
        </w:tc>
        <w:tc>
          <w:tcPr>
            <w:tcW w:w="2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1,480,759</w:t>
            </w:r>
          </w:p>
        </w:tc>
        <w:tc>
          <w:tcPr>
            <w:tcW w:w="40" w:type="dxa"/>
            <w:vAlign w:val="bottom"/>
          </w:tcPr>
          <w:p>
            <w:pPr>
              <w:spacing w:after="0"/>
              <w:rPr>
                <w:sz w:val="17"/>
                <w:szCs w:val="17"/>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136,405</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53,829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190,234</w:t>
            </w:r>
          </w:p>
        </w:tc>
        <w:tc>
          <w:tcPr>
            <w:tcW w:w="40" w:type="dxa"/>
            <w:vAlign w:val="bottom"/>
          </w:tcPr>
          <w:p>
            <w:pPr>
              <w:spacing w:after="0"/>
              <w:rPr>
                <w:sz w:val="18"/>
                <w:szCs w:val="18"/>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9,994</w:t>
            </w:r>
          </w:p>
        </w:tc>
        <w:tc>
          <w:tcPr>
            <w:tcW w:w="2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10,193</w:t>
            </w: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58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13,388</w:t>
            </w:r>
          </w:p>
        </w:tc>
        <w:tc>
          <w:tcPr>
            <w:tcW w:w="2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13,388</w:t>
            </w:r>
          </w:p>
        </w:tc>
      </w:tr>
      <w:tr>
        <w:trPr>
          <w:trHeight w:val="432"/>
        </w:trPr>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5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(56,013)</w:t>
            </w:r>
          </w:p>
        </w:tc>
        <w:tc>
          <w:tcPr>
            <w:tcW w:w="30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(97,422)</w:t>
            </w:r>
          </w:p>
        </w:tc>
      </w:tr>
      <w:tr>
        <w:trPr>
          <w:trHeight w:val="223"/>
        </w:trPr>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57,633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486,934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772,199</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423,718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1,597,307</w:t>
            </w:r>
          </w:p>
        </w:tc>
        <w:tc>
          <w:tcPr>
            <w:tcW w:w="40" w:type="dxa"/>
            <w:vAlign w:val="bottom"/>
          </w:tcPr>
          <w:p>
            <w:pPr>
              <w:spacing w:after="0"/>
              <w:rPr>
                <w:sz w:val="18"/>
                <w:szCs w:val="18"/>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4"/>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371"/>
              <w:spacing w:after="0"/>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-3327400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-3053715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-2778760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-2487930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-2212975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-1939290</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-1647190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-1373505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-1098550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-687705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23495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20" w:space="80"/>
            <w:col w:w="8500"/>
          </w:cols>
          <w:pgMar w:left="320" w:top="116" w:right="3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20" w:type="dxa"/>
            <w:vAlign w:val="bottom"/>
          </w:tcPr>
          <w:p>
            <w:pPr>
              <w:spacing w:after="0"/>
              <w:rPr>
                <w:sz w:val="18"/>
                <w:szCs w:val="18"/>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20" w:type="dxa"/>
            <w:vAlign w:val="bottom"/>
          </w:tcPr>
          <w:p>
            <w:pPr>
              <w:spacing w:after="0"/>
              <w:rPr>
                <w:sz w:val="20"/>
                <w:szCs w:val="20"/>
                <w:color w:val="auto"/>
              </w:rPr>
            </w:pPr>
          </w:p>
        </w:tc>
        <w:tc>
          <w:tcPr>
            <w:tcW w:w="630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183,848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199,634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80,473</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8,001</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liabilities, and 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4,026</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9,665</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247,798</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(188,137)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(130,942)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(131,295)</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(129,649)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(20,192)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72,836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47,537</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(238,899)</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(18,439)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(97,422)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(115,257)</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(2,680)</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(106,130)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99,376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179,458</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601,243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501,867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322,409</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601,243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501,867</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492,256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598,485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499,292</w:t>
            </w:r>
          </w:p>
        </w:tc>
      </w:tr>
      <w:tr>
        <w:trPr>
          <w:trHeight w:val="209"/>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for property, plant and equipment not yet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18,607</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refundable federal investment tax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October 31, 2025, October 31, 2024 and October 31, 2023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integrated circuits, a variety of FPDs and, to a lesser extent, other types of electrical and optical components. The Company currently has eleven manufacturing facilities, located in Taiwan (3), China (2), South Korea (1), the United States (3), and Europe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prepared in conformity with accounting principles generally accepted in the United States of America (“U.S. GAAP”). The accounting policies used to prepare these financial statements are the same as those used to prepare the consolidated financial statements in prior years, except as described in these notes or for the adoption of new standards as outlined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Photronics, Inc., its wholly owned subsidiaries, in which Photronics is considered the primary beneficiary, and the majority-owned subsidiaries which it controls.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22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Noncontrolling interests in subsidiaries related to Photronics ownership interests of less than 100% are reported as Noncontrolling interests in the consolidated balance sheets. The results of noncontrolling ownership interests held by Photronics, net of tax, are reported as Net (income) attributable to noncontrolling interests in the consolidated statements of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Photronics to make estimates and assumptions that affect amounts reported in them. The Company’s estimates are based on historical experience and on various assumptions that are believed to be reasonable, based on the facts and circumstances available at the time they are made. Subsequent actual results may differ from such estimates. The Company reviews these estimates periodically and reflects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Financial Statements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Photronics reporting currency is the U.S. dollar. The functional currency of the majority of Photronics foreign subsidiaries is their local currency. As such, amounts included in the consolidated statements of income, comprehensive income, cash flows, and changes in equity are translated using average exchange rates during each period. Assets and liabilities are translated at period-end exchange rates and resulting foreign currency translation adjustments are recorded in the consolidated balance sheets as a component of Accumulated other comprehensive loss.</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remeasured into their respective functional currencies at exchange rates in effect at the balance sheet date. The resulting exchange gain or loss is included in Photonics’ consolidated statements of income as Foreign currency transactions impact, net.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Restricted cash is included with cash and cash equivalents when reconciling the beginning-of-period and end-of-period total amounts shown on the consolidated statements of cash flows. The carrying values of cash equivalents approximate their fair values, due to the short-term maturities of these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Restricted cash in the amounts of $2.9 million and $2.8 million are included in Other assets on the Company’s October 31, 2025 and October 31, 2024, consolidated balance sheets, respectively. The restrictions on these amounts are primarily related to land lease agreements and customs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ectPr>
          <w:pgSz w:w="11900" w:h="16838" w:orient="portrait"/>
          <w:cols w:equalWidth="0" w:num="1">
            <w:col w:w="11220"/>
          </w:cols>
          <w:pgMar w:left="320" w:top="116" w:right="35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classification of investments is as follows:</w:t>
      </w:r>
    </w:p>
    <w:p>
      <w:pPr>
        <w:spacing w:after="0" w:line="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tab/>
        <w:t>Maturing within three months or less from the date of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38" w:lineRule="exact"/>
        <w:rPr>
          <w:sz w:val="20"/>
          <w:szCs w:val="20"/>
          <w:color w:val="auto"/>
        </w:rPr>
      </w:pPr>
    </w:p>
    <w:p>
      <w:pPr>
        <w:sectPr>
          <w:pgSz w:w="11900" w:h="16838" w:orient="portrait"/>
          <w:cols w:equalWidth="0" w:num="2">
            <w:col w:w="6840" w:space="720"/>
            <w:col w:w="3660"/>
          </w:cols>
          <w:pgMar w:left="320" w:top="116" w:right="359" w:bottom="1440" w:gutter="0" w:footer="0" w:header="0"/>
          <w:type w:val="continuous"/>
        </w:sect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as of the date of purchase, more than three months, but</w:t>
      </w:r>
    </w:p>
    <w:p>
      <w:pPr>
        <w:sectPr>
          <w:pgSz w:w="11900" w:h="16838" w:orient="portrait"/>
          <w:cols w:equalWidth="0" w:num="1">
            <w:col w:w="11220"/>
          </w:cols>
          <w:pgMar w:left="320" w:top="116" w:right="359" w:bottom="1440" w:gutter="0" w:footer="0" w:header="0"/>
          <w:type w:val="continuous"/>
        </w:sectPr>
      </w:pPr>
    </w:p>
    <w:p>
      <w:pPr>
        <w:spacing w:after="0" w:line="9" w:lineRule="exact"/>
        <w:rPr>
          <w:sz w:val="20"/>
          <w:szCs w:val="20"/>
          <w:color w:val="auto"/>
        </w:rPr>
      </w:pPr>
    </w:p>
    <w:p>
      <w:pPr>
        <w:ind w:left="340" w:right="780" w:firstLine="337"/>
        <w:spacing w:after="0"/>
        <w:rPr>
          <w:sz w:val="20"/>
          <w:szCs w:val="20"/>
          <w:color w:val="auto"/>
        </w:rPr>
      </w:pPr>
      <w:r>
        <w:rPr>
          <w:rFonts w:ascii="Times New Roman" w:cs="Times New Roman" w:eastAsia="Times New Roman" w:hAnsi="Times New Roman"/>
          <w:sz w:val="18"/>
          <w:szCs w:val="18"/>
          <w:color w:val="auto"/>
        </w:rPr>
        <w:t>with remaining maturities of less than one year, from the balance sheet date Maturing one year or more from the balance sheet date -</w:t>
      </w:r>
    </w:p>
    <w:p>
      <w:pPr>
        <w:spacing w:after="0" w:line="20" w:lineRule="exact"/>
        <w:rPr>
          <w:sz w:val="20"/>
          <w:szCs w:val="20"/>
          <w:color w:val="auto"/>
        </w:rPr>
      </w:pPr>
      <w:r>
        <w:rPr>
          <w:sz w:val="20"/>
          <w:szCs w:val="20"/>
          <w:color w:val="auto"/>
        </w:rPr>
        <w:br w:type="column"/>
      </w:r>
    </w:p>
    <w:p>
      <w:pPr>
        <w:ind w:right="1100" w:hanging="44"/>
        <w:spacing w:after="0" w:line="260" w:lineRule="auto"/>
        <w:rPr>
          <w:sz w:val="20"/>
          <w:szCs w:val="20"/>
          <w:color w:val="auto"/>
        </w:rPr>
      </w:pPr>
      <w:r>
        <w:rPr>
          <w:rFonts w:ascii="Times New Roman" w:cs="Times New Roman" w:eastAsia="Times New Roman" w:hAnsi="Times New Roman"/>
          <w:sz w:val="18"/>
          <w:szCs w:val="18"/>
          <w:color w:val="auto"/>
        </w:rPr>
        <w:t>Short-term investments Long-term marketable investments</w:t>
      </w:r>
    </w:p>
    <w:p>
      <w:pPr>
        <w:spacing w:after="0" w:line="181" w:lineRule="exact"/>
        <w:rPr>
          <w:sz w:val="20"/>
          <w:szCs w:val="20"/>
          <w:color w:val="auto"/>
        </w:rPr>
      </w:pPr>
    </w:p>
    <w:p>
      <w:pPr>
        <w:sectPr>
          <w:pgSz w:w="11900" w:h="16838" w:orient="portrait"/>
          <w:cols w:equalWidth="0" w:num="2">
            <w:col w:w="6880" w:space="720"/>
            <w:col w:w="3620"/>
          </w:cols>
          <w:pgMar w:left="320" w:top="116" w:right="359" w:bottom="1440" w:gutter="0" w:footer="0" w:header="0"/>
          <w:type w:val="continuous"/>
        </w:sectPr>
      </w:pPr>
    </w:p>
    <w:p>
      <w:pPr>
        <w:ind w:firstLine="486"/>
        <w:spacing w:after="0" w:line="274" w:lineRule="auto"/>
        <w:rPr>
          <w:sz w:val="20"/>
          <w:szCs w:val="20"/>
          <w:color w:val="auto"/>
        </w:rPr>
      </w:pPr>
      <w:r>
        <w:rPr>
          <w:rFonts w:ascii="Times New Roman" w:cs="Times New Roman" w:eastAsia="Times New Roman" w:hAnsi="Times New Roman"/>
          <w:sz w:val="17"/>
          <w:szCs w:val="17"/>
          <w:color w:val="auto"/>
        </w:rPr>
        <w:t xml:space="preserve">Based upon the Company’s intent and ability to hold its time deposits to maturity, maturities of which range up to twelve months at purchase, such securities are classified as held-to-maturity and are carried at amortized cost, which approximates market value. The Company’s U.S. Government Securities, commercial paper and money market funds are classified as available-for-sale. Available-for-sale investments are reported at fair value, with unrealized gains or losses (net of tax) reported in </w:t>
      </w:r>
      <w:r>
        <w:rPr>
          <w:rFonts w:ascii="Times New Roman" w:cs="Times New Roman" w:eastAsia="Times New Roman" w:hAnsi="Times New Roman"/>
          <w:sz w:val="17"/>
          <w:szCs w:val="17"/>
          <w:i w:val="1"/>
          <w:iCs w:val="1"/>
          <w:color w:val="auto"/>
        </w:rPr>
        <w:t>Accumulated other comprehensive income (loss)</w:t>
      </w:r>
      <w:r>
        <w:rPr>
          <w:rFonts w:ascii="Times New Roman" w:cs="Times New Roman" w:eastAsia="Times New Roman" w:hAnsi="Times New Roman"/>
          <w:sz w:val="17"/>
          <w:szCs w:val="17"/>
          <w:color w:val="auto"/>
        </w:rPr>
        <w:t xml:space="preserve">. In the event of a sale of these securities, the Company would determine the cost of the investment sold at the specific individual security level and would include any gain or loss in </w:t>
      </w:r>
      <w:r>
        <w:rPr>
          <w:rFonts w:ascii="Times New Roman" w:cs="Times New Roman" w:eastAsia="Times New Roman" w:hAnsi="Times New Roman"/>
          <w:sz w:val="17"/>
          <w:szCs w:val="17"/>
          <w:i w:val="1"/>
          <w:iCs w:val="1"/>
          <w:color w:val="auto"/>
        </w:rPr>
        <w:t>Interest income and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income, net</w:t>
      </w:r>
      <w:r>
        <w:rPr>
          <w:rFonts w:ascii="Times New Roman" w:cs="Times New Roman" w:eastAsia="Times New Roman" w:hAnsi="Times New Roman"/>
          <w:sz w:val="17"/>
          <w:szCs w:val="17"/>
          <w:color w:val="auto"/>
        </w:rPr>
        <w:t>, where the Company also reports periodic interest earned and the amortization (accretion) of discounts (premiums) related to these investments.</w:t>
      </w:r>
    </w:p>
    <w:p>
      <w:pPr>
        <w:spacing w:after="0" w:line="17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When evaluating the investments for other-than-temporary impairment, the Company reviews factors such as length of time and extent to which fair value has been below cost basis, the financial condition of the issuer, and the Company’s ability and intent to hold the investment for a period of time, which may be sufficient for anticipated recovery in market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Unbilled Receivables and Allowance for Credit Losses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generally record the Company’s accounts receivable at their billed amounts. The Company recognizes unbilled receivables when the Company has satisfied its performance obligations, has an unconditional right to consideration, but has not yet issued an invoice. All outstanding past due customer invoices are reviewed for collectability during, and at the end of, every reporting period. To the extent that the Company believes a loss on the collection of a customer invoice is probable, the Company records the loss and credits an allowance for credit losses. In the event that an amount is determined to be uncollectible, the Company charges the allowance for credit losses and derecognizes the related receivable. Refer to the Company’s revenue recognition policy, below, for additional information on the Company’s accounting for accounts receivable.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determined under the first-in, first-out (“FIFO”) method, or net realizable value. Please refer to Note 4 for additional information on the Company’s inventories. Inventory reserves are established when conditions indicate that the net realizable value is less than cost due to assigned expiration dates or other causes based on individual facts and circumstances. If net realizable value is less than cost at the balance sheet date, the carrying amount is reduced to the realizable value, and the difference is recognized as a loss on valuation of inventories within cost of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Property, plant and equipment, except as described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17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Depreciation and amortization, essentially all of which are included 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Company’s consolidated statements of income,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lesser of the life of the lease or the estimated useful life of the improvement. The Company employs judgment when making assumptions about the estimated useful lives and depreciation periods the Company assigns to property, plant and equipment, and when events or changes in circumstances such as a significant industry downturn, plant closures, technological obsolescence, or other occurrences indicate that their carrying amounts may not be recoverable.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such assets may not be recoverable. Determinations of recoverability are based upon the Company’s judgment and estimates of undiscounted future cash flows resulting from the use of the assets and their eventual disposition. Measurement of an impairment loss for long-lived assets that the Company expects to hold and use is based on the fair value of the assets, determined using a market or income approach, compared with the carrying value of the asset. The carrying values of assets determined to be impaired would be reduced to their estimated fair values.</w:t>
      </w:r>
    </w:p>
    <w:p>
      <w:pPr>
        <w:spacing w:after="0" w:line="18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Property, plant and equipment and other long-lived assets to be sold or otherwise disposed of are reported at the lower of carrying amount or fair value less cost to sell.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29"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 Company records stock repurchases under the cost method, recording the entire cost of the acquired stock. When the Company retires the Company’s repurchased shares, any excess of the repurchase price paid over par value is allocated between additional paid-in capital and retained earnings.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the Company’s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the Company with the right to payment for work completed to date, the Company recognizes revenue as the Company performs, or “over time,” on most of the Company’s contracts. The Company measures the Company’s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the Company’s costs incurred plus a reasonable profit, the Company recognizes revenue and a corresponding contract asset for such performance. The Company accounts for shipping and handling activities that the Company performs after a customer obtains control of a good as being activities to fulfill the Company’s promise to transfer the good to the customer, rather than as promised services, or performance obligations, under the contract. The Company reports the Company’s revenue net of any sales or similar taxes the Company collects on behalf of governmental entities.</w:t>
      </w:r>
    </w:p>
    <w:p>
      <w:pPr>
        <w:spacing w:after="0" w:line="19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the Company’s performance under a contract precedes the Company’s receipt of consideration from a customer, or before payment is due, and the Company’s receipt of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for the Company’s performance, which generally occurs when the Company ships the photomasks. The Company’s contract assets primarily consist of a significant amount of the Company’s in-process production orders and fully manufactured photomasks which have not yet shipped, for which the Company has an enforceable right to collect consideration (including a reasonable profit) in the event the in-process orders are cancelled by customers. On an individual contract basis, the Company nets contract assets with contract liabilities (deferred revenue) for financial reporting purposes. The Company’s net credit losses on the accounts receivable during 2025 were immaterial. The Company did not impair any contract assets or accounts receivable in 2025 or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pays commissions to third-party sales agents for certain sales that they procure on the Company’s behalf. However, the basis of the commissions are the transaction prices of the sales, which are completed in less than one year; thus, no relationship is established with a customer that will result in future business. Therefore, the Company would not recognize any portion of these sales commissions as costs of obtaining a contract, nor does the Company currently foresee other circumstances under which the Company would recognize such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the Company is typically required to fulfill customer orders within a short time period, the Company’s backlog of orders is generally not in excess of one to two weeks for IC photomasks and two to three weeks for FPD photomasks. As allowed under ASC 606 </w:t>
      </w:r>
      <w:r>
        <w:rPr>
          <w:rFonts w:ascii="Times New Roman" w:cs="Times New Roman" w:eastAsia="Times New Roman" w:hAnsi="Times New Roman"/>
          <w:sz w:val="18"/>
          <w:szCs w:val="18"/>
          <w:i w:val="1"/>
          <w:iCs w:val="1"/>
          <w:color w:val="auto"/>
        </w:rPr>
        <w:t>– Revenue Contracts with Customers</w:t>
      </w:r>
      <w:r>
        <w:rPr>
          <w:rFonts w:ascii="Times New Roman" w:cs="Times New Roman" w:eastAsia="Times New Roman" w:hAnsi="Times New Roman"/>
          <w:sz w:val="18"/>
          <w:szCs w:val="18"/>
          <w:color w:val="auto"/>
        </w:rPr>
        <w:t>,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determines if an agreement is, or contains, a lease on the earlier of the date of the agreement or the date on which the Company commits to entering the agreement and evaluates at that time whether the lease is an operating lease or a finance lease. The Company recognizes right-of-use assets and lease liabilities for operating and finance leases with terms greater than 12 months. Please refer to Note 11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Leases for additional information.</w:t>
      </w:r>
    </w:p>
    <w:p>
      <w:pPr>
        <w:spacing w:after="0" w:line="17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Company’s involvement in lease arrangements has typically been as a lessee. The Company determines if an agreement is, or contains, a lease on the earlier of the date of the agreement or the date on which the Company commits to entering the agreement. An arrangement is determined to be a lease when it conveys to the Company the right to control the use of an identified asset for a period of time in exchange for consideration. The Company’s having the right to control an identified asset is determined by whether the Company is entitled to substantially all of its economic benefits and can direct its use. The Company recognizes leases on the Company’s consolidated balance sheet when a lessor makes an asset underlying a lease having a term in excess of twelve months available for the Company’s use. As allowed under ASC Topic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the Company has elected 1) not to apply the recognition requirements to leases that, at their commencement dates, have lease terms of twelve months or less and do not include options to purchase their underlying assets that the Company is reasonably certain to exercise and 2) for all classes of assets, the practical expedient to not separate lease components of a contract from non-lease components of a contract.</w:t>
      </w:r>
    </w:p>
    <w:p>
      <w:pPr>
        <w:spacing w:after="0" w:line="18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If an arrangement is determined to be, or includes a lease, the Company then applies the classification criteria in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determine whether the lease is a finance lease or an operating lease. For both types of leases, at their commencement dates (which are the dates on which a lessor makes an underlying asset available for the Company’s use), the Company recognizes Right-of-Use (“ROU”) assets, which represent the Company’s rights to use the underlying assets, and lease liabilities which represent the Company’s obligation to make payments for such rights. The present value of lease payments over the term of the lease provides the basis for the initial measurement of ROU assets and their related lease liabilities. Variable lease payments, other than those that are dependent on an index or on a rate (at which they are measured on their commencement dates), are not included in the measurement of ROU assets and their related lease liabilities. Lease terms include extension periods if the lease agreement includes an option to extend the lease that the Company is reasonably certain to exercise.</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initial measurement process for finance leases and operating leases is the same, except that, for operating leases, the Company generally applies the Company’s incremental borrowing rates for collateralized borrowings over terms similar to those of the leases to determine the lease liability while, for finance leases, the Company uses the interest rates implicit in the leases. The initial measurement of ROU assets may require further adjustments for lease prepayments and initial direct costs the Company incurs.</w:t>
      </w:r>
    </w:p>
    <w:p>
      <w:pPr>
        <w:spacing w:after="0" w:line="178"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Operating leases are expensed on a straight-line basis over the terms of the leases, and are included in the consolidated statement of income in </w:t>
      </w:r>
      <w:r>
        <w:rPr>
          <w:rFonts w:ascii="Times New Roman" w:cs="Times New Roman" w:eastAsia="Times New Roman" w:hAnsi="Times New Roman"/>
          <w:sz w:val="18"/>
          <w:szCs w:val="18"/>
          <w:i w:val="1"/>
          <w:iCs w:val="1"/>
          <w:color w:val="auto"/>
        </w:rPr>
        <w:t>Cost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goods sold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Selling, general and administrative</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Research and development </w:t>
      </w:r>
      <w:r>
        <w:rPr>
          <w:rFonts w:ascii="Times New Roman" w:cs="Times New Roman" w:eastAsia="Times New Roman" w:hAnsi="Times New Roman"/>
          <w:sz w:val="18"/>
          <w:szCs w:val="18"/>
          <w:color w:val="auto"/>
        </w:rPr>
        <w:t>expense in accordance with the use of the underlying asset. Finance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ROU assets are amortized over the estimated useful life of the underlying asset; the expenses are included in the consolidated statement of income in </w:t>
      </w:r>
      <w:r>
        <w:rPr>
          <w:rFonts w:ascii="Times New Roman" w:cs="Times New Roman" w:eastAsia="Times New Roman" w:hAnsi="Times New Roman"/>
          <w:sz w:val="18"/>
          <w:szCs w:val="18"/>
          <w:i w:val="1"/>
          <w:iCs w:val="1"/>
          <w:color w:val="auto"/>
        </w:rPr>
        <w:t>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goods sold</w:t>
      </w:r>
      <w:r>
        <w:rPr>
          <w:rFonts w:ascii="Times New Roman" w:cs="Times New Roman" w:eastAsia="Times New Roman" w:hAnsi="Times New Roman"/>
          <w:sz w:val="18"/>
          <w:szCs w:val="18"/>
          <w:color w:val="auto"/>
        </w:rPr>
        <w:t>. Finance lease liabilities are subsequently remeasured by increasing the liability to reflect interest accrued during a period and decreasing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liability to reflect payments made during the period. Interest expense incurred on finance leases is included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on the consolidated statements of income.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Cash paid for operating leases and interest paid for finance leases are included in the consolidated statement of cash flows as operating activities in </w:t>
      </w:r>
      <w:r>
        <w:rPr>
          <w:rFonts w:ascii="Times New Roman" w:cs="Times New Roman" w:eastAsia="Times New Roman" w:hAnsi="Times New Roman"/>
          <w:sz w:val="18"/>
          <w:szCs w:val="18"/>
          <w:i w:val="1"/>
          <w:iCs w:val="1"/>
          <w:color w:val="auto"/>
        </w:rPr>
        <w:t>Accounts payable, accrued liabilities and other</w:t>
      </w:r>
      <w:r>
        <w:rPr>
          <w:rFonts w:ascii="Times New Roman" w:cs="Times New Roman" w:eastAsia="Times New Roman" w:hAnsi="Times New Roman"/>
          <w:sz w:val="18"/>
          <w:szCs w:val="18"/>
          <w:color w:val="auto"/>
        </w:rPr>
        <w:t>; cash paid for finance lease principal is included in</w:t>
      </w:r>
      <w:r>
        <w:rPr>
          <w:rFonts w:ascii="Times New Roman" w:cs="Times New Roman" w:eastAsia="Times New Roman" w:hAnsi="Times New Roman"/>
          <w:sz w:val="18"/>
          <w:szCs w:val="18"/>
          <w:i w:val="1"/>
          <w:iCs w:val="1"/>
          <w:color w:val="auto"/>
        </w:rPr>
        <w:t xml:space="preserve"> Repayments of debt </w:t>
      </w:r>
      <w:r>
        <w:rPr>
          <w:rFonts w:ascii="Times New Roman" w:cs="Times New Roman" w:eastAsia="Times New Roman" w:hAnsi="Times New Roman"/>
          <w:sz w:val="18"/>
          <w:szCs w:val="18"/>
          <w:color w:val="auto"/>
        </w:rPr>
        <w:t>in the financing activities section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statement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recognize share-based compensation expense on a straight-line basis over the requisite service period during which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the Black-Scholes option pricing model to value employee stock options. The Company estimates stock price volatility based on daily averages of the Company’s common stock’s historical volatility over a term approximately equal to the estimated time period the grant will remain outstanding. The expected term of options and forfeiture rate assumptions are derived from historical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development efforts related to high-end process technologies for advanced subwavelength reticle solutions for IC and FPD photomask technologies. Research and development expenses were $15.8 million, $16.6 million, and $13.7 million for the years ended October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receives or expects to receive in the future, various types of government assistance, primarily in the form of grants or refundable tax credits. Government assistance is recognized when there is reasonable assurance that: (1) the Company will comply with the relevant conditions and (2) the assistance will be received. Government assistance related to reimbursing fixed asset purchases, such as reimbursement grants and refundable federal investment tax credits, are recorded as a reduction to the related asset(s), which then reduces depreciation expense over the expected useful life of the asset on a straight-line basis. If some, or all, of the amount of government assistance becomes repayable (e.g. due to non-fulfillment of the grant conditions) or there is no longer reasonable assurance the amount will be received (e.g. due to additional interpretive guidance) then the adjustment is accounted for prospectively as a change in accounting estimate. The effect of the change in estimate is recognized in the period in which management concludes that it is no longer reasonably assured that all of the grant conditions will be met. A corresponding financial liability is recognized for the amount of the repayment, if any.</w:t>
      </w:r>
    </w:p>
    <w:p>
      <w:pPr>
        <w:spacing w:after="0" w:line="1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funds the Company receives from government grants by either reducing the costs of the assets (if the grant relates to capital expenditures) or expenses which could be </w:t>
      </w:r>
      <w:r>
        <w:rPr>
          <w:rFonts w:ascii="Times New Roman" w:cs="Times New Roman" w:eastAsia="Times New Roman" w:hAnsi="Times New Roman"/>
          <w:sz w:val="18"/>
          <w:szCs w:val="18"/>
          <w:i w:val="1"/>
          <w:iCs w:val="1"/>
          <w:color w:val="auto"/>
        </w:rPr>
        <w:t>Cost of goods sold, Selling, general and administrative, or Research and development</w:t>
      </w:r>
      <w:r>
        <w:rPr>
          <w:rFonts w:ascii="Times New Roman" w:cs="Times New Roman" w:eastAsia="Times New Roman" w:hAnsi="Times New Roman"/>
          <w:sz w:val="18"/>
          <w:szCs w:val="18"/>
          <w:color w:val="auto"/>
        </w:rPr>
        <w:t xml:space="preserve"> expenses in the consolidated statements of income. If the funds the Company receives cannot be attributed to specific assets or expenses, they would be recognized as other income, and included in </w:t>
      </w:r>
      <w:r>
        <w:rPr>
          <w:rFonts w:ascii="Times New Roman" w:cs="Times New Roman" w:eastAsia="Times New Roman" w:hAnsi="Times New Roman"/>
          <w:sz w:val="18"/>
          <w:szCs w:val="18"/>
          <w:i w:val="1"/>
          <w:iCs w:val="1"/>
          <w:color w:val="auto"/>
        </w:rPr>
        <w:t>Interest income and other income, net</w:t>
      </w:r>
      <w:r>
        <w:rPr>
          <w:rFonts w:ascii="Times New Roman" w:cs="Times New Roman" w:eastAsia="Times New Roman" w:hAnsi="Times New Roman"/>
          <w:sz w:val="18"/>
          <w:szCs w:val="18"/>
          <w:color w:val="auto"/>
        </w:rPr>
        <w:t xml:space="preserve"> in the consolidated statements of income. Funds the Company receive from government grants are classified in the Company’s consolidated statements of cash flows as either </w:t>
      </w:r>
      <w:r>
        <w:rPr>
          <w:rFonts w:ascii="Times New Roman" w:cs="Times New Roman" w:eastAsia="Times New Roman" w:hAnsi="Times New Roman"/>
          <w:sz w:val="18"/>
          <w:szCs w:val="18"/>
          <w:i w:val="1"/>
          <w:iCs w:val="1"/>
          <w:color w:val="auto"/>
        </w:rPr>
        <w:t>Net cash provided by operating activities or Net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by investing activities, </w:t>
      </w:r>
      <w:r>
        <w:rPr>
          <w:rFonts w:ascii="Times New Roman" w:cs="Times New Roman" w:eastAsia="Times New Roman" w:hAnsi="Times New Roman"/>
          <w:sz w:val="18"/>
          <w:szCs w:val="18"/>
          <w:color w:val="auto"/>
        </w:rPr>
        <w:t>in accordance with how the Company expends the funds. When a grant is received before conditions of the grant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 the grant is recorded in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expects to receive refundable federal investment tax credits through the CHIPS Act in connection with ongoing capital expenditure expansion projects. As a result, as of October 31, 2025, the Company has reduced property, plant and equipment, net by $15.9 million of which $5.0 million was recorded during fiscal year 2024. The application submitted in 2024 for direct capital grants through the CHIPS Act in connection with the proposed projects is still under review process.</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October 31, 2025, 2024, and 2023, the Company’s subsidiaries in China received cash subsidies from local government authorities related to the acquisition of property, plant, and equipment in the amounts of $2.2 million, $2.1 million, and $2.5 million, respectively. The Company has recorded these subsidies as reductions of property, plant, and equipment.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income tax provision is computed on the basis of the income or loss before income taxes for each entity in its respective tax jurisdiction.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employ judgment and make assumptions when establishing valuation allowances for deferred income tax assets, if their realization is not deemed to be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 We are eligible for investment tax credits in U.S. and non-U.S. tax jurisdictions. We account for investment tax credits under the “flow-through” method of accounting. As permitted in ASC 740 “Income Taxes”, under the flow-through method of accounting, the tax benefit from an investment tax credit is recorded as a reduction of income taxes in the period in which the credit is generated.</w:t>
      </w:r>
    </w:p>
    <w:p>
      <w:pPr>
        <w:spacing w:after="0" w:line="18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which are presented on our consolidated balance sheets, and deferred tax liabilities, which are included in </w:t>
      </w: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on our consolidated balance sheets.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the liability and in our income tax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attributed to Photronics shareholders is computed independently for each period presented and is based on the weighted-average number of common shares outstanding for the period, excluding any dilutive common share equivalents. Diluted earnings per share (“EPS”) reflects the potential dilution that could occur if certain share-based payment awards were exercised or earned.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We account for the investments the Company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consolidate the results of any such entity in which the Company has determined that the Company has a controlling financial interest. The Company would have a “controlling financial interest” (and thus be considered the “primary beneficiary” of the entity) in such an entity when the Company has both the power to direct the activities that most significantly affect the VIE’s economic performance and the obligation to absorb the losses of, or right to receive the benefits from, the VIE that could be potentially significant to the VIE. On a quarterly basis, the Company reassesses whether the Company has a controlling financial interest in any investments the Company has in these entities.</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would account for investments the Company makes in VIEs in which the Company has determined that the Company does not have a controlling financial interest but have a significant influence over, and hold at least a twenty percent ownership interest in, using the equity method. An investment not meeting the parameters to be accounted for under the equity method would be accounted for using the cost method, unless the investment had a readily determinable fair value, at which value it would then be reported.</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ASU will be effective for Photronics in its fiscal year 2028 Form 10-K, with early application of the amendments allowed. The Company is currently evaluating the impact the adoption of this ASU may have on the Company’s consolidated financial statements and related disclosures.</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ASU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ASU will be effective for Photronics in its fiscal year 2026 Form 10-K, with early application of the amendments allowed. The Company is currently evaluating the effect of this ASU adoption on its disclosures.</w:t>
      </w:r>
    </w:p>
    <w:p>
      <w:pPr>
        <w:spacing w:after="0" w:line="189" w:lineRule="exact"/>
        <w:rPr>
          <w:sz w:val="20"/>
          <w:szCs w:val="20"/>
          <w:color w:val="auto"/>
        </w:rPr>
      </w:pPr>
    </w:p>
    <w:p>
      <w:pPr>
        <w:ind w:right="60" w:firstLine="324"/>
        <w:spacing w:after="0" w:line="289"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ASU is effective for Photronics in its fiscal year 2025 Form 10-K. The Company adopted ASU 2023-07, please see NOTE 18 – SEGMENT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ACCOUNTS RECEIVABLE,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at the balance sheet dates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30,576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200,830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 OTHER CURRENT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Other current assets</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Recoverable value added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and refundable income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15,536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332"/>
        <w:spacing w:after="0" w:line="282" w:lineRule="auto"/>
        <w:tabs>
          <w:tab w:leader="none" w:pos="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expected refundable federal investment tax credits through the CHIPS Act in the amount of $10.9 million and $5.0 million as of October 31, 2025 and 2024,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188,756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1,990,610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91,213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2,489,309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(1,634,873)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(1,574,100)</w:t>
            </w:r>
          </w:p>
        </w:tc>
        <w:tc>
          <w:tcPr>
            <w:tcW w:w="0" w:type="dxa"/>
            <w:vAlign w:val="bottom"/>
          </w:tcPr>
          <w:p>
            <w:pPr>
              <w:spacing w:after="0"/>
              <w:rPr>
                <w:sz w:val="1"/>
                <w:szCs w:val="1"/>
                <w:color w:val="auto"/>
              </w:rPr>
            </w:pPr>
          </w:p>
        </w:tc>
      </w:tr>
      <w:tr>
        <w:trPr>
          <w:trHeight w:val="256"/>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 During 2025, the Company exercised its early buy-out option for a high-end lithography tool and a high-end inspection tool. Please refer to Note 8 for further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(10,522)</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418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80,472</w:t>
            </w:r>
          </w:p>
        </w:tc>
        <w:tc>
          <w:tcPr>
            <w:tcW w:w="100" w:type="dxa"/>
            <w:vAlign w:val="bottom"/>
            <w:shd w:val="clear" w:color="auto" w:fill="CCEEFF"/>
          </w:tcPr>
          <w:p>
            <w:pPr>
              <w:spacing w:after="0"/>
              <w:rPr>
                <w:sz w:val="18"/>
                <w:szCs w:val="18"/>
                <w:color w:val="auto"/>
              </w:rPr>
            </w:pPr>
          </w:p>
        </w:tc>
      </w:tr>
      <w:tr>
        <w:trPr>
          <w:trHeight w:val="571"/>
        </w:trPr>
        <w:tc>
          <w:tcPr>
            <w:tcW w:w="4180" w:type="dxa"/>
            <w:vAlign w:val="bottom"/>
          </w:tcPr>
          <w:p>
            <w:pPr>
              <w:spacing w:after="0"/>
              <w:rPr>
                <w:sz w:val="24"/>
                <w:szCs w:val="24"/>
                <w:color w:val="auto"/>
              </w:rPr>
            </w:pPr>
          </w:p>
        </w:tc>
        <w:tc>
          <w:tcPr>
            <w:tcW w:w="314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18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2018, Photronics, Inc., through its wholly-owned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2020, in combination with local financing obtained by PDMCX, Photronics and DNP fulfilled their investment obligations under the PDMCX operating agreement (“the Agreement”). Liens were granted to the local financing entity on property, plant, and equipment and were paid off during fiscal year 2023 and there was no remaining debt at October 31, 2023.</w:t>
      </w:r>
    </w:p>
    <w:p>
      <w:pPr>
        <w:spacing w:after="0" w:line="176"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Under the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the Company recorded from the operations of PDMCX during the reporting periods.</w:t>
      </w:r>
    </w:p>
    <w:p>
      <w:pPr>
        <w:spacing w:after="0" w:line="2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7"/>
                <w:szCs w:val="17"/>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w:t>
            </w:r>
          </w:p>
        </w:tc>
        <w:tc>
          <w:tcPr>
            <w:tcW w:w="100" w:type="dxa"/>
            <w:vAlign w:val="bottom"/>
            <w:shd w:val="clear" w:color="auto" w:fill="CCEEFF"/>
          </w:tcPr>
          <w:p>
            <w:pPr>
              <w:spacing w:after="0"/>
              <w:rPr>
                <w:sz w:val="18"/>
                <w:szCs w:val="18"/>
                <w:color w:val="auto"/>
              </w:rPr>
            </w:pPr>
          </w:p>
        </w:tc>
      </w:tr>
    </w:tbl>
    <w:p>
      <w:pPr>
        <w:spacing w:after="0" w:line="19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that could potentially be significant to PDMCX.</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the Company’s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174,059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87,047</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83,395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151,039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75,535</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23,193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281,087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540" w:type="dxa"/>
            <w:vAlign w:val="bottom"/>
          </w:tcPr>
          <w:p>
            <w:pPr>
              <w:spacing w:after="0"/>
              <w:rPr>
                <w:sz w:val="24"/>
                <w:szCs w:val="24"/>
                <w:color w:val="auto"/>
              </w:rPr>
            </w:pPr>
          </w:p>
        </w:tc>
        <w:tc>
          <w:tcPr>
            <w:tcW w:w="244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ACCRUED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31,188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21,094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24,200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and other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 contracts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Telecommunications and utilities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9,439</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87,122</w:t>
            </w:r>
          </w:p>
        </w:tc>
      </w:tr>
      <w:tr>
        <w:trPr>
          <w:trHeight w:val="42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October 31, 2025 and October 31, 2024, the Current portion of long-term debt and the Long-term debt balances were comprised of finance leases as described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Varies as</w:t>
            </w:r>
          </w:p>
        </w:tc>
        <w:tc>
          <w:tcPr>
            <w:tcW w:w="3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83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Lease matures</w:t>
            </w:r>
          </w:p>
        </w:tc>
        <w:tc>
          <w:tcPr>
            <w:tcW w:w="340" w:type="dxa"/>
            <w:vAlign w:val="bottom"/>
            <w:shd w:val="clear" w:color="auto" w:fill="CCEEFF"/>
          </w:tcPr>
          <w:p>
            <w:pPr>
              <w:spacing w:after="0"/>
              <w:rPr>
                <w:sz w:val="10"/>
                <w:szCs w:val="10"/>
                <w:color w:val="auto"/>
              </w:rPr>
            </w:pPr>
          </w:p>
        </w:tc>
        <w:tc>
          <w:tcPr>
            <w:tcW w:w="11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Lease matures</w:t>
            </w: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gridSpan w:val="2"/>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tcBorders>
              <w:right w:val="single" w:sz="8" w:color="CCEEFF"/>
            </w:tcBorders>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Monthly</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Monthly</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40" w:hanging="208"/>
        <w:spacing w:after="0"/>
        <w:tabs>
          <w:tab w:leader="none" w:pos="540"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Represents the carrying amount at the balance sheet date of the related ROU assets, in which the lessors have secured interests.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February 2021, the Company entered into a five-year $7.2 million finance lease for a high-end inspection tool. Monthly payments on the lease, which commenced in February 2021, were $0.1 million per month. Upon the fiftieth monthly payment and prior to payment of the fifty-first monthly payment, the Company could exercise an early buyout option to purchase the tool for $2.4 million. After the original term or any renewal periods, the Company could return the tool, elect to extend the lease, or purchase the tool at its fair market value. The Company exercised the early buyout option to purchase the tool for $2.4 million during the fiscal year 2025.</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The lease agreement provided an early buyout option to purchase the tool for $14.1 million, which the Company exercised during the fiscal year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CNY 200 million ($25 million), pursuant to which PDMCX may enter into separate loan agreements with varying terms to maturity. In December 2022, the Company repaid the Company’s entire outstanding balance of CNY 25.6 million ($3.6 million). The interest rates are variable, based on the CNY Loan Prime Rate of the National Interbank Funding Center. Interest incurred on the loans related to the amount borrowed was eligible for reimbursement through incentives provided by the Xiamen Torch Hi-Tech Industrial Development Zone, which provided such reimbursements up to a prescribed limit and duration. This facility is subject to annual reviews and extensions. In July 2025, the Company was issued an extension to the revolving, unsecured credit agreement for CNY 200 million or USD 25 million with an expiration date of July 31, 2026. As of October 31, 2025, PDMCX had no outstanding borrowings against the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Paid for Debt</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Interest payments were $0.1 million in 2025, $0.3 million in 2024, and $0.5 million in 2023. The weighted-average interest rate on the Company’s current portion of long-term debt for the periods ended October 31, 2025 and October 31, 2024 was 5.9% and 1.5%,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OTHER LIABILITIES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at the balance sheet dates.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Post employment benefit</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13,218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12,993</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Tax payable</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shd w:val="clear" w:color="auto" w:fill="CCEEFF"/>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47,464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00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68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68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REVENUE</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years ended October 31, 2025, October 31, 2024, and October 31, 2023,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00" w:type="dxa"/>
            <w:vAlign w:val="bottom"/>
          </w:tcPr>
          <w:p>
            <w:pPr>
              <w:spacing w:after="0"/>
              <w:rPr>
                <w:sz w:val="21"/>
                <w:szCs w:val="21"/>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75"/>
        </w:trPr>
        <w:tc>
          <w:tcPr>
            <w:tcW w:w="720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194,939</w:t>
            </w:r>
          </w:p>
        </w:tc>
      </w:tr>
      <w:tr>
        <w:trPr>
          <w:trHeight w:val="223"/>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409,682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456,340</w:t>
            </w:r>
          </w:p>
        </w:tc>
      </w:tr>
      <w:tr>
        <w:trPr>
          <w:trHeight w:val="216"/>
        </w:trPr>
        <w:tc>
          <w:tcPr>
            <w:tcW w:w="180" w:type="dxa"/>
            <w:vAlign w:val="bottom"/>
            <w:shd w:val="clear" w:color="auto" w:fill="CCEEFF"/>
          </w:tcPr>
          <w:p>
            <w:pPr>
              <w:spacing w:after="0"/>
              <w:rPr>
                <w:sz w:val="18"/>
                <w:szCs w:val="18"/>
                <w:color w:val="auto"/>
              </w:rPr>
            </w:pPr>
          </w:p>
        </w:tc>
        <w:tc>
          <w:tcPr>
            <w:tcW w:w="7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615,104</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638,151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651,279</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FPD</w:t>
            </w:r>
          </w:p>
        </w:tc>
        <w:tc>
          <w:tcPr>
            <w:tcW w:w="698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195,365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200,842</w:t>
            </w:r>
          </w:p>
        </w:tc>
      </w:tr>
      <w:tr>
        <w:trPr>
          <w:trHeight w:val="216"/>
        </w:trPr>
        <w:tc>
          <w:tcPr>
            <w:tcW w:w="7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39,955</w:t>
            </w:r>
          </w:p>
        </w:tc>
      </w:tr>
      <w:tr>
        <w:trPr>
          <w:trHeight w:val="27"/>
        </w:trPr>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7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234,190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228,795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240,797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849,294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866,946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892,076</w:t>
            </w:r>
          </w:p>
        </w:tc>
      </w:tr>
      <w:tr>
        <w:trPr>
          <w:trHeight w:val="21"/>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1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288,275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316,889</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232,941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245,378</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158,017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162,235</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146,652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128,879</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34,075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36,579</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r>
      <w:tr>
        <w:trPr>
          <w:trHeight w:val="257"/>
        </w:trPr>
        <w:tc>
          <w:tcPr>
            <w:tcW w:w="54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849,294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866,946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4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1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831,500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838,628</w:t>
            </w:r>
          </w:p>
        </w:tc>
        <w:tc>
          <w:tcPr>
            <w:tcW w:w="10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30,890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35,446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53,448</w:t>
            </w:r>
          </w:p>
        </w:tc>
      </w:tr>
      <w:tr>
        <w:trPr>
          <w:trHeight w:val="256"/>
        </w:trPr>
        <w:tc>
          <w:tcPr>
            <w:tcW w:w="54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849,294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866,946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37"/>
        </w:trPr>
        <w:tc>
          <w:tcPr>
            <w:tcW w:w="5440" w:type="dxa"/>
            <w:vAlign w:val="bottom"/>
          </w:tcPr>
          <w:p>
            <w:pPr>
              <w:spacing w:after="0"/>
              <w:rPr>
                <w:sz w:val="24"/>
                <w:szCs w:val="24"/>
                <w:color w:val="auto"/>
              </w:rPr>
            </w:pPr>
          </w:p>
        </w:tc>
        <w:tc>
          <w:tcPr>
            <w:tcW w:w="1760" w:type="dxa"/>
            <w:vAlign w:val="bottom"/>
          </w:tcPr>
          <w:p>
            <w:pPr>
              <w:jc w:val="right"/>
              <w:ind w:right="142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contract balances at the balance sheet dates.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176"/>
        </w:trPr>
        <w:tc>
          <w:tcPr>
            <w:tcW w:w="7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11,532</w:t>
            </w:r>
          </w:p>
        </w:tc>
      </w:tr>
      <w:tr>
        <w:trPr>
          <w:trHeight w:val="216"/>
        </w:trPr>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7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5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12,375</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8,910</w:t>
            </w:r>
          </w:p>
        </w:tc>
      </w:tr>
      <w:tr>
        <w:trPr>
          <w:trHeight w:val="27"/>
        </w:trPr>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21,285</w:t>
            </w:r>
          </w:p>
        </w:tc>
      </w:tr>
      <w:tr>
        <w:trPr>
          <w:trHeight w:val="21"/>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100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 liabilities that existed at the beginning of the reporting periods.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23"/>
        </w:trPr>
        <w:tc>
          <w:tcPr>
            <w:tcW w:w="7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18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In instances when the Company is paid in advance of the Company’s performance, the Company records a contract liability and, as allowed under the practical expedient in Topic 606, recognize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operating and finance leases included in the Company’s consolidated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391"/>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2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5,010</w:t>
            </w:r>
          </w:p>
        </w:tc>
      </w:t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85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ROU Assets – Finance Leases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21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32,293</w:t>
            </w:r>
          </w:p>
        </w:tc>
      </w:tr>
      <w:tr>
        <w:trPr>
          <w:trHeight w:val="216"/>
        </w:trPr>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56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Operating 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w:t>
            </w:r>
          </w:p>
        </w:tc>
      </w:tr>
      <w:tr>
        <w:trPr>
          <w:trHeight w:val="223"/>
        </w:trPr>
        <w:tc>
          <w:tcPr>
            <w:tcW w:w="856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r>
      <w:tr>
        <w:trPr>
          <w:trHeight w:val="257"/>
        </w:trPr>
        <w:tc>
          <w:tcPr>
            <w:tcW w:w="2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Finance Leases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tc>
        <w:tc>
          <w:tcPr>
            <w:tcW w:w="60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17,972</w:t>
            </w:r>
          </w:p>
        </w:tc>
      </w:tr>
      <w:tr>
        <w:trPr>
          <w:trHeight w:val="223"/>
        </w:trPr>
        <w:tc>
          <w:tcPr>
            <w:tcW w:w="85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17,997</w:t>
            </w:r>
          </w:p>
        </w:tc>
      </w:tr>
      <w:tr>
        <w:trPr>
          <w:trHeight w:val="21"/>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lease payments under noncancelable operating and finance leases as of October 31, 2025. Imputed interest represents the difference between undiscounted cash flows and discounted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5"/>
        </w:trPr>
        <w:tc>
          <w:tcPr>
            <w:tcW w:w="5140" w:type="dxa"/>
            <w:vAlign w:val="bottom"/>
            <w:tcBorders>
              <w:bottom w:val="single" w:sz="8" w:color="auto"/>
            </w:tcBorders>
          </w:tcPr>
          <w:p>
            <w:pPr>
              <w:ind w:left="386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66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6,631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20" w:type="dxa"/>
            <w:vAlign w:val="bottom"/>
            <w:vMerge w:val="restart"/>
          </w:tcPr>
          <w:p>
            <w:pPr>
              <w:jc w:val="right"/>
              <w:ind w:right="2775"/>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2"/>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lease costs for 2025, 2024, and 2023.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finance lease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w:t>
            </w:r>
          </w:p>
        </w:tc>
      </w:tr>
    </w:tbl>
    <w:p>
      <w:pPr>
        <w:spacing w:after="0" w:line="19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statistical information related to the Company’s operating and finance leases. The information presented is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26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October 31, 2024</w:t>
            </w:r>
          </w:p>
        </w:tc>
      </w:tr>
      <w:tr>
        <w:trPr>
          <w:trHeight w:val="194"/>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lease term (in</w:t>
            </w: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discount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lease term (in</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45"/>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 rate</w:t>
            </w:r>
          </w:p>
        </w:tc>
        <w:tc>
          <w:tcPr>
            <w:tcW w:w="160" w:type="dxa"/>
            <w:vAlign w:val="bottom"/>
          </w:tcPr>
          <w:p>
            <w:pPr>
              <w:spacing w:after="0"/>
              <w:rPr>
                <w:sz w:val="21"/>
                <w:szCs w:val="2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leases on the Company’s 2025, 2024, and 2023 consolidated statements of cash flows, and provides leases-related non-cash information for those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used for finance leases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6,521</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obligations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5,116</w:t>
            </w:r>
          </w:p>
        </w:tc>
      </w:tr>
      <w:tr>
        <w:trPr>
          <w:trHeight w:val="525"/>
        </w:trPr>
        <w:tc>
          <w:tcPr>
            <w:tcW w:w="5100" w:type="dxa"/>
            <w:vAlign w:val="bottom"/>
          </w:tcPr>
          <w:p>
            <w:pPr>
              <w:spacing w:after="0"/>
              <w:rPr>
                <w:sz w:val="24"/>
                <w:szCs w:val="24"/>
                <w:color w:val="auto"/>
              </w:rPr>
            </w:pPr>
          </w:p>
        </w:tc>
        <w:tc>
          <w:tcPr>
            <w:tcW w:w="2220" w:type="dxa"/>
            <w:vAlign w:val="bottom"/>
          </w:tcPr>
          <w:p>
            <w:pPr>
              <w:jc w:val="right"/>
              <w:ind w:right="1535"/>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1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SHARE-BASED COMPENSATION</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April 2, 2025, at its annual meeting of shareholders, the shareholders of Photronics, Inc., approved the Company’s 2025 Equity Incentive Compensation Plan (the “2025 Plan”) under which incentive stock options, non-qualified stock options, stock grants, stock-based awards, restricted stock, restricted stock units, stock appreciation rights, performance units, performance stock, and other stock or cash awards may be granted. The maximum number of shares of common stock that may be issued under the 2025 Plan is five million shares. At the time of approval of the 2025 Plan, the Company’s 2016 Equity Incentive Compensation Plan (which was largely replicated by the 2025 Plan) was due to expire in early 2026 and had a limited quantity of shares remaining available for issuance. Awards may be granted to officers, employees, directors, consultants, advisors, and independent contractors of Photronics or its subsidiaries. In the event of a change in control (as defined in the 2025 Plan), the vesting of awards may be accelerated. The 2025 Plan prohibits further awards from being issued under prior plans.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information on the Company’s share-based compensation expenses for the three most recent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8,001</w:t>
            </w:r>
          </w:p>
        </w:tc>
      </w:tr>
      <w:tr>
        <w:trPr>
          <w:trHeight w:val="21"/>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w:t>
            </w:r>
          </w:p>
        </w:tc>
      </w:tr>
    </w:tbl>
    <w:p>
      <w:pPr>
        <w:spacing w:after="0" w:line="198" w:lineRule="exact"/>
        <w:rPr>
          <w:sz w:val="20"/>
          <w:szCs w:val="20"/>
          <w:color w:val="auto"/>
        </w:rPr>
      </w:pPr>
    </w:p>
    <w:p>
      <w:pPr>
        <w:ind w:right="120" w:firstLine="8"/>
        <w:spacing w:after="0" w:line="281" w:lineRule="auto"/>
        <w:tabs>
          <w:tab w:leader="none" w:pos="1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October 31, 2024, upon the departure of two executives from the Company and in accordance with the terms of their separation agreements, previously granted time-vesting restricted stock awards accelerated vesting. The Company accounted for the effects of the accelerated vesting of these stock awards as a modification, and recognized $1.2 million of incremental stock-based compensation expense for the acceleration of restricted stock awards, within selling, general and administrative expenses on the Consolidated Statements of Income for the year ended October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periodically grants restricted stock awards, the restrictions on which typically lapse over a service period of one to four years. The fair values of the awards are determined on the date of grant, based on the closing stock price of the Company’s common stock. A summary of restricted stock award activity during 2025 and the status of the Company’s restricted stock awards as of October 31, 2025,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0" w:type="dxa"/>
            <w:vAlign w:val="bottom"/>
          </w:tcPr>
          <w:p>
            <w:pPr>
              <w:spacing w:after="0"/>
              <w:rPr>
                <w:sz w:val="1"/>
                <w:szCs w:val="1"/>
                <w:color w:val="auto"/>
              </w:rPr>
            </w:pPr>
          </w:p>
        </w:tc>
      </w:tr>
      <w:tr>
        <w:trPr>
          <w:trHeight w:val="245"/>
        </w:trPr>
        <w:tc>
          <w:tcPr>
            <w:tcW w:w="516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16"/>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3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1,423,602</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583,238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5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(527,292)</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45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(73,876)</w:t>
            </w:r>
          </w:p>
        </w:tc>
        <w:tc>
          <w:tcPr>
            <w:tcW w:w="16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3240" w:type="dxa"/>
            <w:vAlign w:val="bottom"/>
            <w:tcBorders>
              <w:bottom w:val="single" w:sz="8" w:color="CCEEFF"/>
            </w:tcBorders>
            <w:gridSpan w:val="2"/>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1,405,672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 as of October 31, 2025</w:t>
            </w:r>
          </w:p>
        </w:tc>
        <w:tc>
          <w:tcPr>
            <w:tcW w:w="4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1,303,385</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3140" w:type="dxa"/>
            <w:vAlign w:val="bottom"/>
            <w:vMerge w:val="restart"/>
          </w:tcPr>
          <w:p>
            <w:pPr>
              <w:jc w:val="right"/>
              <w:ind w:right="2514"/>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6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72"/>
        </w:trPr>
        <w:tc>
          <w:tcPr>
            <w:tcW w:w="1002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table below presents additional information on the Company’s restricted stock awards for the three most recent fiscal years.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791,925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costs not yet recognized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amortization period (in years)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awards for which restrictions lapsed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6,256</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1,405,672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1,423,602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1,238,297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Commencing Q2 FY25, the Company began granting restricted stock units, the restrictions on which typically lapse over a service period of one to four years. The fair value of the awards is determined on the date of grant, based on the closing price of the Company’s common stock. A summary of restricted stock unit activity during 2025 and the status of the Company’s restricted stock unit awards as of October 31, 2025, is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5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r>
      <w:tr>
        <w:trPr>
          <w:trHeight w:val="245"/>
        </w:trPr>
        <w:tc>
          <w:tcPr>
            <w:tcW w:w="532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2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178,166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22.52</w:t>
            </w:r>
          </w:p>
        </w:tc>
      </w:tr>
      <w:tr>
        <w:trPr>
          <w:trHeight w:val="22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2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136,652</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 as of October 31, 2025</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134,366</w:t>
            </w:r>
          </w:p>
        </w:tc>
        <w:tc>
          <w:tcPr>
            <w:tcW w:w="18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8"/>
                <w:szCs w:val="18"/>
                <w:color w:val="auto"/>
              </w:rPr>
            </w:pPr>
          </w:p>
        </w:tc>
      </w:tr>
      <w:tr>
        <w:trPr>
          <w:trHeight w:val="20"/>
        </w:trPr>
        <w:tc>
          <w:tcPr>
            <w:tcW w:w="73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9900" w:type="dxa"/>
            <w:vAlign w:val="bottom"/>
            <w:gridSpan w:val="13"/>
          </w:tcPr>
          <w:p>
            <w:pPr>
              <w:ind w:left="340"/>
              <w:spacing w:after="0"/>
              <w:rPr>
                <w:sz w:val="20"/>
                <w:szCs w:val="20"/>
                <w:color w:val="auto"/>
              </w:rPr>
            </w:pPr>
            <w:r>
              <w:rPr>
                <w:rFonts w:ascii="Times New Roman" w:cs="Times New Roman" w:eastAsia="Times New Roman" w:hAnsi="Times New Roman"/>
                <w:sz w:val="18"/>
                <w:szCs w:val="18"/>
                <w:color w:val="auto"/>
                <w:w w:val="99"/>
              </w:rPr>
              <w:t>The table below presents additional information on the Company’s restricted stock unit awards for the three most recent fiscal years.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3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200" w:type="dxa"/>
            <w:vAlign w:val="bottom"/>
          </w:tcPr>
          <w:p>
            <w:pPr>
              <w:spacing w:after="0"/>
              <w:rPr>
                <w:sz w:val="16"/>
                <w:szCs w:val="16"/>
                <w:color w:val="auto"/>
              </w:rPr>
            </w:pPr>
          </w:p>
        </w:tc>
        <w:tc>
          <w:tcPr>
            <w:tcW w:w="102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53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units granted</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178,166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21.09</w:t>
            </w:r>
          </w:p>
        </w:tc>
        <w:tc>
          <w:tcPr>
            <w:tcW w:w="10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costs not yet recognized</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10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(in years)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awards for which restrictions lapsed</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w:t>
            </w:r>
          </w:p>
        </w:tc>
        <w:tc>
          <w:tcPr>
            <w:tcW w:w="102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outstanding at balance sheet date</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136,652</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25"/>
        </w:trPr>
        <w:tc>
          <w:tcPr>
            <w:tcW w:w="5320" w:type="dxa"/>
            <w:vAlign w:val="bottom"/>
          </w:tcPr>
          <w:p>
            <w:pPr>
              <w:spacing w:after="0"/>
              <w:rPr>
                <w:sz w:val="24"/>
                <w:szCs w:val="24"/>
                <w:color w:val="auto"/>
              </w:rPr>
            </w:pPr>
          </w:p>
        </w:tc>
        <w:tc>
          <w:tcPr>
            <w:tcW w:w="2000" w:type="dxa"/>
            <w:vAlign w:val="bottom"/>
          </w:tcPr>
          <w:p>
            <w:pPr>
              <w:jc w:val="right"/>
              <w:ind w:right="1535"/>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a summary of stock options activity during 2025 and information on stock options outstanding at October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5"/>
        </w:trPr>
        <w:tc>
          <w:tcPr>
            <w:tcW w:w="348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20" w:type="dxa"/>
            <w:vAlign w:val="bottom"/>
          </w:tcPr>
          <w:p>
            <w:pPr>
              <w:spacing w:after="0"/>
              <w:rPr>
                <w:sz w:val="21"/>
                <w:szCs w:val="21"/>
                <w:color w:val="auto"/>
              </w:rPr>
            </w:pPr>
          </w:p>
        </w:tc>
        <w:tc>
          <w:tcPr>
            <w:tcW w:w="13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277,625</w:t>
            </w: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(162,550)</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 forfeitures, and adjustments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114,075</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1.64 years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October 31,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114,075</w:t>
            </w:r>
          </w:p>
        </w:tc>
        <w:tc>
          <w:tcPr>
            <w:tcW w:w="20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1.64 years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1,551</w:t>
            </w:r>
          </w:p>
        </w:tc>
      </w:tr>
      <w:tr>
        <w:trPr>
          <w:trHeight w:val="20"/>
        </w:trPr>
        <w:tc>
          <w:tcPr>
            <w:tcW w:w="3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to vest as of October 31,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years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26"/>
        </w:trPr>
        <w:tc>
          <w:tcPr>
            <w:tcW w:w="870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table below presents additional information on stock option awards for the three most recent fiscal years.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3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intrinsic value of options exercised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option exercises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Employee Stock Purchase Plan (“ESPP”) permits employees to purchase Photronics, Inc. common shares at 85% of the lower of the closing market price at the commencement or ending date of the Plan year (which is approximately one year from the commencement date). The Company recognizes the ESPP expense over that same period. As of October 31, 2025, the maximum number of shares of common stock approved by the Company’s shareholders to be purchased under the ESPP was 1.85 million shares, of which approximately 1.7 million shares had been issued through October 31, 2025. As of October 31, 2025, there is $0.2 million of unrecognized compensation cost.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EMPLOYEE RETIREMENT PLANS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401(k) Savings and Profit-Sharing Plan (“401(k) Plan”) which covers all full and certain part-time U.S. employees who have completed three months of service and are 18 years of age or older. Under the terms of the 401(k) Plan, employees may contribute up to 50% of their salary, subject to certain maximum amounts, which will be matched by the Company at 100% of the employee's contributions that are up to 4% of the employee's compensation. Employee and employer contributions vest immediately upon contribution. Contribution expense for the 401(k) plan was $1.2 million, $1.2 million, and $0.8 million in fiscal year 2025, 2024, and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continue to implement similar legislation with varying effective dates.</w:t>
      </w:r>
    </w:p>
    <w:p>
      <w:pPr>
        <w:spacing w:after="0" w:line="180"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subject to Pillar Two, but we estimate that the financial impact is immaterial. We will continue to monitor further developments to determine any potential impact in the countries in which we operate.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the income tax provisions consists of the following:</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20" w:type="dxa"/>
            <w:vAlign w:val="bottom"/>
          </w:tcPr>
          <w:p>
            <w:pPr>
              <w:spacing w:after="0"/>
              <w:rPr>
                <w:sz w:val="16"/>
                <w:szCs w:val="16"/>
                <w:color w:val="auto"/>
              </w:rPr>
            </w:pPr>
          </w:p>
        </w:tc>
        <w:tc>
          <w:tcPr>
            <w:tcW w:w="1220" w:type="dxa"/>
            <w:vAlign w:val="bottom"/>
            <w:gridSpan w:val="3"/>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12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r>
      <w:tr>
        <w:trPr>
          <w:trHeight w:val="245"/>
        </w:trPr>
        <w:tc>
          <w:tcPr>
            <w:tcW w:w="5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227,270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271,683</w:t>
            </w:r>
          </w:p>
        </w:tc>
      </w:tr>
      <w:tr>
        <w:trPr>
          <w:trHeight w:val="257"/>
        </w:trPr>
        <w:tc>
          <w:tcPr>
            <w:tcW w:w="53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our income tax provisions are presented below.</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5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71,225</w:t>
            </w:r>
          </w:p>
        </w:tc>
      </w:tr>
      <w:tr>
        <w:trPr>
          <w:trHeight w:val="27"/>
        </w:trPr>
        <w:tc>
          <w:tcPr>
            <w:tcW w:w="53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71,239</w:t>
            </w:r>
          </w:p>
        </w:tc>
      </w:tr>
      <w:tr>
        <w:trPr>
          <w:trHeight w:val="216"/>
        </w:trPr>
        <w:tc>
          <w:tcPr>
            <w:tcW w:w="5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r>
      <w:tr>
        <w:trPr>
          <w:trHeight w:val="27"/>
        </w:trPr>
        <w:tc>
          <w:tcPr>
            <w:tcW w:w="53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(927)</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37"/>
        </w:trPr>
        <w:tc>
          <w:tcPr>
            <w:tcW w:w="5360" w:type="dxa"/>
            <w:vAlign w:val="bottom"/>
          </w:tcPr>
          <w:p>
            <w:pPr>
              <w:spacing w:after="0"/>
              <w:rPr>
                <w:sz w:val="24"/>
                <w:szCs w:val="24"/>
                <w:color w:val="auto"/>
              </w:rPr>
            </w:pPr>
          </w:p>
        </w:tc>
        <w:tc>
          <w:tcPr>
            <w:tcW w:w="1840" w:type="dxa"/>
            <w:vAlign w:val="bottom"/>
          </w:tcPr>
          <w:p>
            <w:pPr>
              <w:jc w:val="right"/>
              <w:ind w:right="1419"/>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income taxes calculated by applying the statutory U.S. federal income tax rate to our income tax provisions of the reporting periods.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income tax at statutory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valuation allowance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rate differential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credits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 tax positions, including reserves, settlements and resolutions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Buyout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net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64"/>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Photronics</w:t>
            </w:r>
          </w:p>
        </w:tc>
      </w:tr>
      <w:tr>
        <w:trPr>
          <w:trHeight w:val="216"/>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Effective Tax</w:t>
            </w:r>
          </w:p>
        </w:tc>
      </w:tr>
      <w:tr>
        <w:trPr>
          <w:trHeight w:val="238"/>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Tax Rates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Rates</w:t>
            </w:r>
          </w:p>
        </w:tc>
      </w:tr>
      <w:tr>
        <w:trPr>
          <w:trHeight w:val="223"/>
        </w:trPr>
        <w:tc>
          <w:tcPr>
            <w:tcW w:w="1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34"/>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tbl>
      <w:tblPr>
        <w:tblLayout w:type="fixed"/>
        <w:tblInd w:w="1700" w:type="dxa"/>
        <w:tblCellMar>
          <w:top w:w="0" w:type="dxa"/>
          <w:left w:w="0" w:type="dxa"/>
          <w:bottom w:w="0" w:type="dxa"/>
          <w:right w:w="0" w:type="dxa"/>
        </w:tblCellMar>
      </w:tblPr>
      <w:tr>
        <w:trPr>
          <w:trHeight w:val="201"/>
        </w:trPr>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60" w:type="dxa"/>
            <w:vAlign w:val="bottom"/>
          </w:tcPr>
          <w:p>
            <w:pPr>
              <w:spacing w:after="0"/>
              <w:rPr>
                <w:sz w:val="17"/>
                <w:szCs w:val="17"/>
                <w:color w:val="auto"/>
              </w:rPr>
            </w:pPr>
          </w:p>
        </w:tc>
      </w:tr>
      <w:tr>
        <w:trPr>
          <w:trHeight w:val="245"/>
        </w:trPr>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42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46,575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56,689</w:t>
            </w:r>
          </w:p>
        </w:tc>
      </w:tr>
      <w:tr>
        <w:trPr>
          <w:trHeight w:val="243"/>
        </w:trPr>
        <w:tc>
          <w:tcPr>
            <w:tcW w:w="10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(19,858)</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11,394</w:t>
            </w:r>
          </w:p>
        </w:tc>
      </w:tr>
      <w:tr>
        <w:trPr>
          <w:trHeight w:val="229"/>
        </w:trPr>
        <w:tc>
          <w:tcPr>
            <w:tcW w:w="10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(4,648)</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(2,425)</w:t>
            </w:r>
          </w:p>
        </w:tc>
      </w:tr>
      <w:tr>
        <w:trPr>
          <w:trHeight w:val="243"/>
        </w:trPr>
        <w:tc>
          <w:tcPr>
            <w:tcW w:w="10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3,328</w:t>
            </w:r>
          </w:p>
        </w:tc>
      </w:tr>
      <w:tr>
        <w:trPr>
          <w:trHeight w:val="229"/>
        </w:trPr>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1,582</w:t>
            </w:r>
          </w:p>
        </w:tc>
      </w:tr>
      <w:tr>
        <w:trPr>
          <w:trHeight w:val="223"/>
        </w:trPr>
        <w:tc>
          <w:tcPr>
            <w:tcW w:w="10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r>
      <w:tr>
        <w:trPr>
          <w:trHeight w:val="216"/>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70,312</w:t>
            </w:r>
          </w:p>
        </w:tc>
        <w:tc>
          <w:tcPr>
            <w:tcW w:w="60" w:type="dxa"/>
            <w:vAlign w:val="bottom"/>
          </w:tcPr>
          <w:p>
            <w:pPr>
              <w:spacing w:after="0"/>
              <w:rPr>
                <w:sz w:val="18"/>
                <w:szCs w:val="18"/>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-1344930</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-1054100</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-762635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-471170</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-170815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156845</wp:posOffset>
            </wp:positionV>
            <wp:extent cx="7132320" cy="565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3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Non-U.S. pre-tax income being taxed at higher statutory rates in non-U.S. jurisdictions, the establishment of uncertain tax positions in non-U.S. jurisdiction and release of valuation allowance against certain U.S. Federal and state tax attributes that have been determined to be partially realizable</w:t>
      </w:r>
    </w:p>
    <w:p>
      <w:pPr>
        <w:spacing w:after="0" w:line="189" w:lineRule="exact"/>
        <w:rPr>
          <w:sz w:val="20"/>
          <w:szCs w:val="20"/>
          <w:color w:val="auto"/>
        </w:rPr>
      </w:pPr>
    </w:p>
    <w:p>
      <w:pPr>
        <w:sectPr>
          <w:pgSz w:w="11900" w:h="16838" w:orient="portrait"/>
          <w:cols w:equalWidth="0" w:num="2">
            <w:col w:w="5520" w:space="100"/>
            <w:col w:w="562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9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18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21.0%</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25.7%</w:t>
            </w:r>
          </w:p>
        </w:tc>
        <w:tc>
          <w:tcPr>
            <w:tcW w:w="6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Non-U.S. pre-tax income being taxed at higher statutory rates in non-U.S.</w:t>
            </w:r>
          </w:p>
        </w:tc>
      </w:tr>
      <w:tr>
        <w:trPr>
          <w:trHeight w:val="216"/>
        </w:trPr>
        <w:tc>
          <w:tcPr>
            <w:tcW w:w="19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jurisdictions, the establishment of uncertain tax positions in non-U.S.</w:t>
            </w:r>
          </w:p>
        </w:tc>
      </w:tr>
      <w:tr>
        <w:trPr>
          <w:trHeight w:val="216"/>
        </w:trPr>
        <w:tc>
          <w:tcPr>
            <w:tcW w:w="19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jurisdiction and loss jurisdiction pre-tax losses not being benefited due to</w:t>
            </w:r>
          </w:p>
        </w:tc>
      </w:tr>
      <w:tr>
        <w:trPr>
          <w:trHeight w:val="234"/>
        </w:trPr>
        <w:tc>
          <w:tcPr>
            <w:tcW w:w="19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allowances.</w:t>
            </w: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198"/>
        </w:trPr>
        <w:tc>
          <w:tcPr>
            <w:tcW w:w="1900" w:type="dxa"/>
            <w:vAlign w:val="bottom"/>
            <w:shd w:val="clear" w:color="auto" w:fill="CCEEFF"/>
          </w:tcPr>
          <w:p>
            <w:pPr>
              <w:jc w:val="right"/>
              <w:ind w:right="65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1880" w:type="dxa"/>
            <w:vAlign w:val="bottom"/>
            <w:shd w:val="clear" w:color="auto" w:fill="CCEEFF"/>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46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26.0%</w:t>
            </w:r>
          </w:p>
        </w:tc>
        <w:tc>
          <w:tcPr>
            <w:tcW w:w="600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 statutory rates in non-U.S.</w:t>
            </w:r>
          </w:p>
        </w:tc>
      </w:tr>
      <w:tr>
        <w:trPr>
          <w:trHeight w:val="216"/>
        </w:trPr>
        <w:tc>
          <w:tcPr>
            <w:tcW w:w="19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jurisdictions, the establishment of uncertain tax positions in non-U.S.</w:t>
            </w:r>
          </w:p>
        </w:tc>
      </w:tr>
      <w:tr>
        <w:trPr>
          <w:trHeight w:val="216"/>
        </w:trPr>
        <w:tc>
          <w:tcPr>
            <w:tcW w:w="19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jurisdiction and loss jurisdiction pre-tax losses not being benefited due to</w:t>
            </w:r>
          </w:p>
        </w:tc>
      </w:tr>
      <w:tr>
        <w:trPr>
          <w:trHeight w:val="234"/>
        </w:trPr>
        <w:tc>
          <w:tcPr>
            <w:tcW w:w="19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valuation allowances.</w:t>
            </w:r>
          </w:p>
        </w:tc>
      </w:tr>
      <w:tr>
        <w:trPr>
          <w:trHeight w:val="544"/>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w:t>
            </w:r>
          </w:p>
        </w:tc>
      </w:tr>
      <w:tr>
        <w:trPr>
          <w:trHeight w:val="44"/>
        </w:trPr>
        <w:tc>
          <w:tcPr>
            <w:tcW w:w="190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60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 Assets and Liabilities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net deferred income tax assets consist of the following:</w:t>
            </w:r>
          </w:p>
        </w:tc>
        <w:tc>
          <w:tcPr>
            <w:tcW w:w="100" w:type="dxa"/>
            <w:vAlign w:val="bottom"/>
          </w:tcPr>
          <w:p>
            <w:pPr>
              <w:spacing w:after="0"/>
              <w:rPr>
                <w:sz w:val="24"/>
                <w:szCs w:val="24"/>
                <w:color w:val="auto"/>
              </w:rPr>
            </w:pPr>
          </w:p>
        </w:tc>
        <w:tc>
          <w:tcPr>
            <w:tcW w:w="13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18,941</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Reserves not currently deductible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12,550</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10,710</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Research intangibles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23"/>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52,606</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(30,633)</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41,829</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23"/>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Net deferred income tax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22,590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Deferred income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23,059</w:t>
            </w:r>
          </w:p>
        </w:tc>
        <w:tc>
          <w:tcPr>
            <w:tcW w:w="0" w:type="dxa"/>
            <w:vAlign w:val="bottom"/>
          </w:tcPr>
          <w:p>
            <w:pPr>
              <w:spacing w:after="0"/>
              <w:rPr>
                <w:sz w:val="1"/>
                <w:szCs w:val="1"/>
                <w:color w:val="auto"/>
              </w:rPr>
            </w:pPr>
          </w:p>
        </w:tc>
      </w:tr>
      <w:tr>
        <w:trPr>
          <w:trHeight w:val="223"/>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a valuation allowance for the portion of our deferred tax assets that, based on the weight of all available evidence, we believe is more likely than not to expire before it can be utilized. In 2025, the valuation allowance against certain federal and state tax attributes was released as a result of management’s determination that these deferred tax asset benefits are now more likely than not to be realized. The portion of deferred tax assets that is still not expected to be realizable before expiration continues to be subject to a valuation allowance.</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Due to the Tax Cuts and Jobs Act, which was signed into law in December 2017,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foreign withholding tax expense on those earnings, the amount of which is not practicable to compute.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Credits and Carryforwards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our available operating loss and credit carryforwards as of October 31, 2025, and their related expiration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Carryforwards</w:t>
            </w: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gridSpan w:val="2"/>
          </w:tcPr>
          <w:p>
            <w:pPr>
              <w:spacing w:after="0"/>
              <w:rPr>
                <w:sz w:val="21"/>
                <w:szCs w:val="21"/>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Expiration Period</w:t>
            </w:r>
          </w:p>
        </w:tc>
      </w:tr>
      <w:tr>
        <w:trPr>
          <w:trHeight w:val="432"/>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2030-Indefinite</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2026-Indefinite</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2027-Indefinite</w:t>
            </w:r>
          </w:p>
        </w:tc>
      </w:tr>
      <w:tr>
        <w:trPr>
          <w:trHeight w:val="439"/>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Credit Carryforwards</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Expiration Period</w:t>
            </w:r>
          </w:p>
        </w:tc>
        <w:tc>
          <w:tcPr>
            <w:tcW w:w="100" w:type="dxa"/>
            <w:vAlign w:val="bottom"/>
          </w:tcPr>
          <w:p>
            <w:pPr>
              <w:spacing w:after="0"/>
              <w:rPr>
                <w:sz w:val="24"/>
                <w:szCs w:val="24"/>
                <w:color w:val="auto"/>
              </w:rPr>
            </w:pPr>
          </w:p>
        </w:tc>
      </w:tr>
      <w:tr>
        <w:trPr>
          <w:trHeight w:val="216"/>
        </w:trPr>
        <w:tc>
          <w:tcPr>
            <w:tcW w:w="82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c>
          <w:tcPr>
            <w:tcW w:w="1580" w:type="dxa"/>
            <w:vAlign w:val="bottom"/>
            <w:gridSpan w:val="3"/>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research and development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5,943</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2026-2045</w:t>
            </w: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CHIPS Act (Federal 48D credit)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2,273</w:t>
            </w: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2043</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5,624</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2026-2039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60"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include unrecognized tax benefits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and we include any applicable interest and penalties related to uncertain tax positions in our income tax provision.</w:t>
      </w:r>
    </w:p>
    <w:p>
      <w:pPr>
        <w:spacing w:after="0" w:line="16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presented below. The amounts in the table include settlements of non-U.S. audits.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 before interest and penalties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(Reductions) additions of tax positions in prior years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current year tax positions</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Lapses of statutes of limitations</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 before interest and penalties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penalties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 including interest and penalties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additional information on our uncertain tax positions, as of the balance sheet dates.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r>
      <w:tr>
        <w:trPr>
          <w:trHeight w:val="525"/>
        </w:trPr>
        <w:tc>
          <w:tcPr>
            <w:tcW w:w="732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ind w:right="160" w:firstLine="584"/>
        <w:spacing w:after="0" w:line="256" w:lineRule="auto"/>
        <w:rPr>
          <w:sz w:val="20"/>
          <w:szCs w:val="20"/>
          <w:color w:val="auto"/>
        </w:rPr>
      </w:pPr>
      <w:r>
        <w:rPr>
          <w:rFonts w:ascii="Times New Roman" w:cs="Times New Roman" w:eastAsia="Times New Roman" w:hAnsi="Times New Roman"/>
          <w:sz w:val="18"/>
          <w:szCs w:val="18"/>
          <w:color w:val="auto"/>
        </w:rPr>
        <w:t>Although the timing of the reversal of uncertain tax positions may be uncertain, as they can be dependent upon the settlement of tax audits or expirations of statutes of limitations, the Company believes that the amount of uncertain tax positions (including accrued interest and penalties, and net of tax benefits) that may be resolved over the next twelve months is approximately $1.0 million.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 During Q4 FY25, the Company resolved a routine income tax audit by authorities in a foreign jurisdiction and as a result released approximately $4.0 million of related income tax reserves at October 31, 2025.</w:t>
      </w:r>
    </w:p>
    <w:p>
      <w:pPr>
        <w:spacing w:after="0" w:line="187" w:lineRule="exact"/>
        <w:rPr>
          <w:sz w:val="20"/>
          <w:szCs w:val="20"/>
          <w:color w:val="auto"/>
        </w:rPr>
      </w:pPr>
    </w:p>
    <w:p>
      <w:pPr>
        <w:ind w:right="140" w:firstLine="594"/>
        <w:spacing w:after="0" w:line="261" w:lineRule="auto"/>
        <w:rPr>
          <w:sz w:val="20"/>
          <w:szCs w:val="20"/>
          <w:color w:val="auto"/>
        </w:rPr>
      </w:pPr>
      <w:r>
        <w:rPr>
          <w:rFonts w:ascii="Times New Roman" w:cs="Times New Roman" w:eastAsia="Times New Roman" w:hAnsi="Times New Roman"/>
          <w:sz w:val="18"/>
          <w:szCs w:val="18"/>
          <w:color w:val="auto"/>
        </w:rPr>
        <w:t>Subsequent to the balance sheet date one of the subsidiaries in a foreign jurisdiction reached a settlement with the local tax authority for the FY24 income tax audit, the impact is immaterial and will be recorded in Q1 FY26. In addition, the Company was also notified that it will be subject to a routine income tax audit by authorities in another foreign jurisdiction. The audit process is in its initial stages, and at this time, the Company is unable to reasonably estimate any potential impact from the tax audit.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Payments and Refunds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income taxes paid and refunds of income taxes received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refunds received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42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(in thousands):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61,139</w:t>
            </w: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shares-Diluted</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62,391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shareholders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shareholders -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38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3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1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4440" w:type="dxa"/>
            <w:vAlign w:val="bottom"/>
            <w:gridSpan w:val="3"/>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 in shares</w:t>
            </w:r>
          </w:p>
        </w:tc>
        <w:tc>
          <w:tcPr>
            <w:tcW w:w="3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42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30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060" w:type="dxa"/>
            <w:vAlign w:val="bottom"/>
            <w:vMerge w:val="restart"/>
          </w:tcPr>
          <w:p>
            <w:pPr>
              <w:jc w:val="right"/>
              <w:ind w:right="1548"/>
              <w:spacing w:after="0"/>
              <w:rPr>
                <w:sz w:val="20"/>
                <w:szCs w:val="20"/>
                <w:color w:val="auto"/>
              </w:rPr>
            </w:pPr>
            <w:r>
              <w:rPr>
                <w:rFonts w:ascii="Times New Roman" w:cs="Times New Roman" w:eastAsia="Times New Roman" w:hAnsi="Times New Roman"/>
                <w:sz w:val="14"/>
                <w:szCs w:val="14"/>
                <w:color w:val="auto"/>
              </w:rPr>
              <w:t>68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42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that arise in the ordinary course of business. The Company believes that the Company’s potential liability under such claims, individually and in the aggregate, will not have a material effect on the Company’s consolidated financial statements. As of October 31, 2025, and October 31, 2024, the Company was not involved in environmental litigation to which a government was a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CHANGES IN ACCUMULATED OTHER COMPREHENSIVE INCOME (LOSS) BY COMPONENT</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income (loss) by component (net of tax) for the years ended October 31, 2025, and October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October 31, 2025</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100" w:type="dxa"/>
            <w:vAlign w:val="bottom"/>
          </w:tcPr>
          <w:p>
            <w:pPr>
              <w:spacing w:after="0"/>
              <w:rPr>
                <w:sz w:val="16"/>
                <w:szCs w:val="16"/>
                <w:color w:val="auto"/>
              </w:rPr>
            </w:pPr>
          </w:p>
        </w:tc>
        <w:tc>
          <w:tcPr>
            <w:tcW w:w="1600" w:type="dxa"/>
            <w:vAlign w:val="bottom"/>
            <w:gridSpan w:val="4"/>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10,193</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(9,994)</w:t>
            </w:r>
          </w:p>
        </w:tc>
      </w:tr>
      <w:tr>
        <w:trPr>
          <w:trHeight w:val="27"/>
        </w:trPr>
        <w:tc>
          <w:tcPr>
            <w:tcW w:w="7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(86,120)</w:t>
            </w:r>
          </w:p>
        </w:tc>
      </w:tr>
      <w:tr>
        <w:trPr>
          <w:trHeight w:val="20"/>
        </w:trPr>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7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October 31, 2024</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100" w:type="dxa"/>
            <w:vAlign w:val="bottom"/>
          </w:tcPr>
          <w:p>
            <w:pPr>
              <w:spacing w:after="0"/>
              <w:rPr>
                <w:sz w:val="16"/>
                <w:szCs w:val="16"/>
                <w:color w:val="auto"/>
              </w:rPr>
            </w:pPr>
          </w:p>
        </w:tc>
        <w:tc>
          <w:tcPr>
            <w:tcW w:w="1600" w:type="dxa"/>
            <w:vAlign w:val="bottom"/>
            <w:gridSpan w:val="4"/>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8,549</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noncontrolling interests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(6,134)</w:t>
            </w:r>
          </w:p>
        </w:tc>
      </w:tr>
      <w:tr>
        <w:trPr>
          <w:trHeight w:val="27"/>
        </w:trPr>
        <w:tc>
          <w:tcPr>
            <w:tcW w:w="7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(85,587)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0"/>
        </w:trPr>
        <w:tc>
          <w:tcPr>
            <w:tcW w:w="7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operating and reportable segment based on the organizational structure of the Company and information reviewed by the Company’s Chief Executive Officer, who is also the chief operating decision maker (“CODM”). The CODM allocates capital resources across the Company’s entire asset base to maximize profitability without regard to geography, legal entity, or end market basis and evaluates the performance based on consolidated net income attributable to Photronics, Inc. shareholders.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5"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October 31,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October 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866,946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892,076</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(549,464)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(551,000)</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(555,914)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299,830</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315,946</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336,162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(77,760)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(69,458)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(15,804)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(16,576)</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(13,654)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221,518</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253,050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(63,567)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(70,312)</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(53,829)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(53,160)</w:t>
            </w:r>
          </w:p>
        </w:tc>
        <w:tc>
          <w:tcPr>
            <w:tcW w:w="2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(74,149)</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136,405</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130,688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RISKS AND CONCENTRATIONS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principally consist of trade accounts receivable and short-term cash investments. The Company sells the Company’s products primarily to semiconductor and FPD manufacturers in Asia, North America, and Europe. The Company believes that the concentration of credit risk in the Company’s trade receivables is substantially mitigated by the Company’s ongoing credit evaluation process and relatively short collection terms. The Company does not generally require collateral from customers. The Company establishes an allowance for credit losses based upon factors surrounding the credit risk of specific customers, historical trends, and other information.</w:t>
      </w:r>
    </w:p>
    <w:p>
      <w:pPr>
        <w:spacing w:after="0" w:line="183"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cash and cash equivalents are deposited in several financial institutions, including institutions located within all of the countries in which the Company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the Company’s cash and cash equivalents by spreading such risk among a number of institutions.</w:t>
      </w:r>
    </w:p>
    <w:p>
      <w:pPr>
        <w:spacing w:after="0" w:line="18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the Company’s net accounts receivable attributable to customers that accounted for more than ten percent of the total balance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860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1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the Company’s revenue attributable to customers that accounted for more than ten percent of the total revenue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32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6"/>
                <w:szCs w:val="16"/>
                <w:color w:val="auto"/>
              </w:rPr>
            </w:pPr>
          </w:p>
        </w:tc>
      </w:tr>
      <w:tr>
        <w:trPr>
          <w:trHeight w:val="245"/>
        </w:trPr>
        <w:tc>
          <w:tcPr>
            <w:tcW w:w="32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3220" w:type="dxa"/>
            <w:vAlign w:val="bottom"/>
          </w:tcPr>
          <w:p>
            <w:pPr>
              <w:spacing w:after="0"/>
              <w:rPr>
                <w:sz w:val="18"/>
                <w:szCs w:val="18"/>
                <w:color w:val="auto"/>
              </w:rPr>
            </w:pPr>
          </w:p>
        </w:tc>
        <w:tc>
          <w:tcPr>
            <w:tcW w:w="5380" w:type="dxa"/>
            <w:vAlign w:val="bottom"/>
            <w:gridSpan w:val="3"/>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5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557"/>
        </w:trPr>
        <w:tc>
          <w:tcPr>
            <w:tcW w:w="3220" w:type="dxa"/>
            <w:vAlign w:val="bottom"/>
          </w:tcPr>
          <w:p>
            <w:pPr>
              <w:spacing w:after="0"/>
              <w:rPr>
                <w:sz w:val="24"/>
                <w:szCs w:val="24"/>
                <w:color w:val="auto"/>
              </w:rPr>
            </w:pPr>
          </w:p>
        </w:tc>
        <w:tc>
          <w:tcPr>
            <w:tcW w:w="4000" w:type="dxa"/>
            <w:vAlign w:val="bottom"/>
          </w:tcPr>
          <w:p>
            <w:pPr>
              <w:jc w:val="right"/>
              <w:ind w:right="1435"/>
              <w:spacing w:after="0"/>
              <w:rPr>
                <w:sz w:val="20"/>
                <w:szCs w:val="20"/>
                <w:color w:val="auto"/>
              </w:rPr>
            </w:pPr>
            <w:r>
              <w:rPr>
                <w:rFonts w:ascii="Times New Roman" w:cs="Times New Roman" w:eastAsia="Times New Roman" w:hAnsi="Times New Roman"/>
                <w:sz w:val="14"/>
                <w:szCs w:val="14"/>
                <w:color w:val="auto"/>
              </w:rPr>
              <w:t>70</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322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As of the balance sheet dates, the Company’s long-lived assets and net assets were, by geographic area, as presented below.</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7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120" w:type="dxa"/>
            <w:vAlign w:val="bottom"/>
          </w:tcPr>
          <w:p>
            <w:pPr>
              <w:spacing w:after="0"/>
              <w:rPr>
                <w:sz w:val="24"/>
                <w:szCs w:val="24"/>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October 31, 2024</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Long-lived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Long-lived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263,950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427,616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379,460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and Other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9,709</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200,815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158,402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217,890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139,501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348,996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123,631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315,597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240,461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663,646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568,232</w:t>
            </w: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1,597,307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1,480,759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20 - RELATED PARTY TRANSACTIONS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One of our executive officers is related to an individual in a position of authority at one of the Company’s largest customers. The Company recorded revenue from this customer of $137.3 million, $127.0 million, and $126.5 million, in 2025, 2024, and 2023, respectively. As of October 31, 2025, and October 31, 2024, the Company had accounts receivable of $38.3 million and $38.8 million, respectively, from this customer.</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believes the terms of the transactions described above were negotiated at arm’s length and were no less favorable to the Company than terms the Company could have obtained from unrelated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FAIR VALUE MEASUREMENTS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right="20" w:firstLine="13"/>
        <w:spacing w:after="0" w:line="282" w:lineRule="auto"/>
        <w:rPr>
          <w:sz w:val="20"/>
          <w:szCs w:val="20"/>
          <w:color w:val="auto"/>
        </w:rPr>
      </w:pPr>
      <w:r>
        <w:rPr>
          <w:rFonts w:ascii="Times New Roman" w:cs="Times New Roman" w:eastAsia="Times New Roman" w:hAnsi="Times New Roman"/>
          <w:sz w:val="18"/>
          <w:szCs w:val="18"/>
          <w:color w:val="auto"/>
        </w:rPr>
        <w:t>Level 2-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These are investments where values are derived from techniques in which one or more significant inputs are unobservable.</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the major categories of assets measured at fair value on a recurring basis using quoted prices in active markets for identical assets (Level 1), significant other observable inputs (Level 2) and significant unobservable inputs (Level 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00" w:type="dxa"/>
            <w:vAlign w:val="bottom"/>
          </w:tcPr>
          <w:p>
            <w:pPr>
              <w:spacing w:after="0"/>
              <w:rPr>
                <w:sz w:val="16"/>
                <w:szCs w:val="16"/>
                <w:color w:val="auto"/>
              </w:rPr>
            </w:pPr>
          </w:p>
        </w:tc>
        <w:tc>
          <w:tcPr>
            <w:tcW w:w="100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Total Fair</w:t>
            </w:r>
          </w:p>
        </w:tc>
        <w:tc>
          <w:tcPr>
            <w:tcW w:w="22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0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Total Fair</w:t>
            </w: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222,166</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222,166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414,074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U.S. Government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25,157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28,946</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Money market funds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Commercial paper</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2,259</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Time 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68,493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292,888</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190,273</w:t>
            </w: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492,256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95,909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588,165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640,669</w:t>
            </w: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Restricted Cash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Restricted cash is included in other assets and primarily relates to customs requirements and land lease agreements.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920" w:type="dxa"/>
            <w:vAlign w:val="bottom"/>
            <w:gridSpan w:val="14"/>
          </w:tcPr>
          <w:p>
            <w:pPr>
              <w:jc w:val="right"/>
              <w:ind w:right="390"/>
              <w:spacing w:after="0"/>
              <w:rPr>
                <w:sz w:val="20"/>
                <w:szCs w:val="20"/>
                <w:color w:val="auto"/>
              </w:rPr>
            </w:pPr>
            <w:r>
              <w:rPr>
                <w:rFonts w:ascii="Times New Roman" w:cs="Times New Roman" w:eastAsia="Times New Roman" w:hAnsi="Times New Roman"/>
                <w:sz w:val="18"/>
                <w:szCs w:val="18"/>
                <w:color w:val="auto"/>
              </w:rPr>
              <w:t>The table below provides information on the Company’s available-for-sale short-term investments.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October 31, 2025</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2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00" w:type="dxa"/>
            <w:vAlign w:val="bottom"/>
            <w:gridSpan w:val="2"/>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2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25,148</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2,259</w:t>
            </w: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68,493</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42,184</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95,909</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42,184</w:t>
            </w: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SHARE REPURCHASE PROGRAM</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share repurchase. In fiscal year 2025, the Company repurchased 5.0 million shares at a cost of $97.4 million (an average of $19.52 per share). All shares repurchased under the program have been retired prior to the end of the fiscal year in which they were purchased. As of October 31, 2025, $27.6 million remained available under this authorization for the repurchase of additional shares.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information on the repurchase program for the three most recent fiscal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3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r>
      <w:tr>
        <w:trPr>
          <w:trHeight w:val="241"/>
        </w:trPr>
        <w:tc>
          <w:tcPr>
            <w:tcW w:w="4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Purchases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Purchases</w:t>
            </w:r>
          </w:p>
        </w:tc>
        <w:tc>
          <w:tcPr>
            <w:tcW w:w="120" w:type="dxa"/>
            <w:vAlign w:val="bottom"/>
          </w:tcPr>
          <w:p>
            <w:pPr>
              <w:spacing w:after="0"/>
              <w:rPr>
                <w:sz w:val="20"/>
                <w:szCs w:val="20"/>
                <w:color w:val="auto"/>
              </w:rPr>
            </w:pPr>
          </w:p>
        </w:tc>
      </w:tr>
      <w:tr>
        <w:trPr>
          <w:trHeight w:val="216"/>
        </w:trPr>
        <w:tc>
          <w:tcPr>
            <w:tcW w:w="4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 (in thousands)</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shares repurchased (in millions)</w:t>
            </w:r>
          </w:p>
        </w:tc>
        <w:tc>
          <w:tcPr>
            <w:tcW w:w="2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97.4</w:t>
            </w:r>
          </w:p>
        </w:tc>
        <w:tc>
          <w:tcPr>
            <w:tcW w:w="13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2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13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570"/>
        </w:trPr>
        <w:tc>
          <w:tcPr>
            <w:tcW w:w="4420" w:type="dxa"/>
            <w:vAlign w:val="bottom"/>
          </w:tcPr>
          <w:p>
            <w:pPr>
              <w:spacing w:after="0"/>
              <w:rPr>
                <w:sz w:val="24"/>
                <w:szCs w:val="24"/>
                <w:color w:val="auto"/>
              </w:rPr>
            </w:pPr>
          </w:p>
        </w:tc>
        <w:tc>
          <w:tcPr>
            <w:tcW w:w="2220" w:type="dxa"/>
            <w:vAlign w:val="bottom"/>
          </w:tcPr>
          <w:p>
            <w:pPr>
              <w:jc w:val="right"/>
              <w:ind w:right="856"/>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
        </w:trPr>
        <w:tc>
          <w:tcPr>
            <w:tcW w:w="44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October 31, 2025. We have established and currently maintain disclosure controls and procedures, as such term is defined in Rules 13a-15(e) and 15d-15(e) of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 Based on an evaluation of our disclosure controls and procedures as of October 31, 2025, our Chief Executive Officer and Chief Financial Officer concluded that, as of such date, our disclosure controls and procedures were effective at a reasonable assurance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of the Exchange Act. Under the supervision and with the participation of our management, including our principal executive officer and principal financial officer, the Company conducted an evaluation of the effectiveness of the internal control over financial reporting based on criteria established in the Internal Control Integrated Framework (2013) issued by the Committee of Sponsoring Organizations of the Treadway Commission (COSO).</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October 31, 2025, based on the criteria set forth by the COSO. Management, under the supervision and with the participation of our Chief Executive Officer and Chief Financial Officer, concluded that our internal control over financial reporting was effective as of October 31, 2025.</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Deloitte &amp; Touche LLP, has audited the effectiveness of the Company’s internal control over financial reporting as of October 31, 2025, as stated in their report on page 74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fourth quarter of fiscal year 2025 that have materially affected, or are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Photronics,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Photronics, Inc., and subsidiaries (the “Company”) as of October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2025, based on criteria established </w:t>
      </w:r>
      <w:r>
        <w:rPr>
          <w:rFonts w:ascii="Times New Roman" w:cs="Times New Roman" w:eastAsia="Times New Roman" w:hAnsi="Times New Roman"/>
          <w:sz w:val="18"/>
          <w:szCs w:val="18"/>
          <w:i w:val="1"/>
          <w:iCs w:val="1"/>
          <w:color w:val="auto"/>
        </w:rPr>
        <w:t>in 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October 31, 2025, of the Company and our report dated December 17, 2025,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Arrangements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No such plans or arrangements were adopted or terminated, including by modification, by any director or officer (as defined in Rule 16a-1 under the Exchange Act) during the quarter ended October 31, 2025.</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information required by Items 401, 405 and 407(c)(3), (d)(4) and (d)(5), and 408(b) of Regulation S-K is set forth in our 2025 Definitive Proxy Statement which will be filed with the Securities and Exchange Commission pursuant to Regulation 14A of the Exchange Act within 120 days after the end of the fiscal year covered by this Form 10-K under the caption “PROPOSAL 1 - ELECTION OF DIRECTORS,” “DELINQUENT SECTION 16(A) REPORTS” and in the third paragraph under the caption “MEETINGS AND COMMITTEES OF THE BOARD,” and is incorporated in this report by reference. The information as to Executive Officers is included in our 2025 Definitive Proxy Statement under the caption “EXECUTIVE OFFICERS” and is incorporated in this report by reference.</w:t>
      </w:r>
    </w:p>
    <w:p>
      <w:pPr>
        <w:spacing w:after="0" w:line="187"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our principal executive officer, chief financial officer or principal financial officer and principal accounting officer. A copy of the code of ethics may be obtained, free of charge, by writing to the Vice President, General Counsel, and Corporate Secretary of Photronics, Inc. at 15 Secor Road, Brookfield, Connecticut 06804.</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70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Regulation S-K and paragraph (e)(4) and (e)(5) of Item 407 is set forth in our 2025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176" w:lineRule="exact"/>
        <w:rPr>
          <w:sz w:val="20"/>
          <w:szCs w:val="20"/>
          <w:color w:val="auto"/>
        </w:rPr>
      </w:pPr>
    </w:p>
    <w:p>
      <w:pPr>
        <w:ind w:left="980" w:right="36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in our 2025 Definitive Proxy Statement under the caption “EQUITY COMPENSATION PLAN INFORMATION” and is incorporated in this report by reference. The information required by Item 403 of Regulation S-K is set forth in our 2025 Definitive Proxy Statement under the caption “OWNERSHIP OF COMMON STOCK BY DIRECTORS, OFFICERS AND CERTAIN BENEFICIAL OWNERS”, and is incorporated in this report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Items 404 and Item 407(a) of Regulation S-K is set forth in our 2025 Definitive Proxy Statement under the captions “MEETINGS AND COMMITTEES OF THE BOARD” and “RELATED PARTY TRANSACTIONS”, respectively, and is incorporated in this report by reference.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9(e) of Rule 14a-101 of the Exchange Act is set forth in our 2025 Definitive Proxy Statement under the captions “Independent Registered Public Accounting Firm Fees” and “AUDIT COMMITTEE REPORT,” and is incorporated in this report by reference.</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31" w:lineRule="exact"/>
        <w:rPr>
          <w:sz w:val="20"/>
          <w:szCs w:val="20"/>
          <w:color w:val="auto"/>
        </w:rPr>
      </w:pPr>
    </w:p>
    <w:p>
      <w:pPr>
        <w:ind w:left="106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7"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Financial Statements: See “INDEX TO CONSOLIDATED FINANCIAL STATEMENTS” in Part II, Item 8 of this Form 10-K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03"/>
        </w:trPr>
        <w:tc>
          <w:tcPr>
            <w:tcW w:w="3820" w:type="dxa"/>
            <w:vAlign w:val="bottom"/>
            <w:tcBorders>
              <w:bottom w:val="single" w:sz="8" w:color="0000EE"/>
            </w:tcBorders>
          </w:tcPr>
          <w:p>
            <w:pPr>
              <w:spacing w:after="0" w:line="203" w:lineRule="exact"/>
              <w:rPr>
                <w:sz w:val="20"/>
                <w:szCs w:val="20"/>
                <w:color w:val="auto"/>
              </w:rPr>
            </w:pPr>
            <w:r>
              <w:rPr>
                <w:rFonts w:ascii="Times New Roman" w:cs="Times New Roman" w:eastAsia="Times New Roman" w:hAnsi="Times New Roman"/>
                <w:sz w:val="18"/>
                <w:szCs w:val="18"/>
                <w:color w:val="0000EE"/>
                <w:w w:val="99"/>
              </w:rPr>
              <w:t>list of financial statements filed as part of this report.</w:t>
            </w:r>
          </w:p>
        </w:tc>
        <w:tc>
          <w:tcPr>
            <w:tcW w:w="6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r>
    </w:tbl>
    <w:p>
      <w:pPr>
        <w:spacing w:after="0" w:line="225"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omitted because they are immaterial or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440" w:val="left"/>
          <w:tab w:leader="none" w:pos="106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u w:val="single" w:color="auto"/>
          <w:color w:val="0000EE"/>
        </w:rPr>
        <w:t>Exhibit Index</w:t>
      </w:r>
      <w:r>
        <w:rPr>
          <w:sz w:val="20"/>
          <w:szCs w:val="20"/>
          <w:color w:val="auto"/>
        </w:rPr>
        <w:tab/>
      </w: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5" w:right="5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112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2"/>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94"/>
        </w:trPr>
        <w:tc>
          <w:tcPr>
            <w:tcW w:w="1120" w:type="dxa"/>
            <w:vAlign w:val="bottom"/>
            <w:gridSpan w:val="8"/>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4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120" w:type="dxa"/>
            <w:vAlign w:val="bottom"/>
            <w:gridSpan w:val="8"/>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4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5"/>
            <w:shd w:val="clear" w:color="auto" w:fill="CCEEFF"/>
          </w:tcPr>
          <w:p>
            <w:pPr>
              <w:jc w:val="center"/>
              <w:ind w:left="251"/>
              <w:spacing w:after="0" w:line="176" w:lineRule="exact"/>
              <w:rPr>
                <w:rFonts w:ascii="Times New Roman" w:cs="Times New Roman" w:eastAsia="Times New Roman" w:hAnsi="Times New Roman"/>
                <w:sz w:val="18"/>
                <w:szCs w:val="18"/>
                <w:color w:val="0000EE"/>
                <w:w w:val="97"/>
              </w:rPr>
            </w:pPr>
            <w:hyperlink r:id="rId95">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Certificate of Incorporation as amended July 9, 1986, April 9, 1990,</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16, 1995, November 13, 1997, April 15, 2002 and June 20, 2005</w:t>
            </w: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80" w:type="dxa"/>
            <w:vAlign w:val="bottom"/>
            <w:gridSpan w:val="5"/>
            <w:shd w:val="clear" w:color="auto" w:fill="CCEEFF"/>
          </w:tcPr>
          <w:p>
            <w:pPr>
              <w:jc w:val="center"/>
              <w:ind w:left="251"/>
              <w:spacing w:after="0" w:line="176" w:lineRule="exact"/>
              <w:rPr>
                <w:rFonts w:ascii="Times New Roman" w:cs="Times New Roman" w:eastAsia="Times New Roman" w:hAnsi="Times New Roman"/>
                <w:sz w:val="18"/>
                <w:szCs w:val="18"/>
                <w:color w:val="0000EE"/>
                <w:w w:val="97"/>
              </w:rPr>
            </w:pPr>
            <w:hyperlink r:id="rId9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By-laws of the Company dated as of September</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9/13/2016</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7, 2016</w:t>
            </w: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5"/>
            <w:shd w:val="clear" w:color="auto" w:fill="CCEEFF"/>
          </w:tcPr>
          <w:p>
            <w:pPr>
              <w:jc w:val="center"/>
              <w:ind w:left="251"/>
              <w:spacing w:after="0" w:line="176"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Description of Securities of the Company</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80" w:type="dxa"/>
            <w:vAlign w:val="bottom"/>
            <w:gridSpan w:val="5"/>
            <w:shd w:val="clear" w:color="auto" w:fill="CCEEFF"/>
          </w:tcPr>
          <w:p>
            <w:pPr>
              <w:jc w:val="center"/>
              <w:ind w:left="251"/>
              <w:spacing w:after="0" w:line="176" w:lineRule="exact"/>
              <w:rPr>
                <w:rFonts w:ascii="Times New Roman" w:cs="Times New Roman" w:eastAsia="Times New Roman" w:hAnsi="Times New Roman"/>
                <w:sz w:val="18"/>
                <w:szCs w:val="18"/>
                <w:color w:val="0000EE"/>
                <w:w w:val="97"/>
              </w:rPr>
            </w:pPr>
            <w:hyperlink r:id="rId9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Certificate of Amendment with Respect to Series A Preferred Stock,</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9/24/2019</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dated September 24, 2019</w:t>
            </w: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Company’s 1992 Employee Stock Purchase Plan</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 March 24,</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1/6/2017</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4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2004</w:t>
            </w:r>
            <w:r>
              <w:rPr>
                <w:rFonts w:ascii="Times New Roman" w:cs="Times New Roman" w:eastAsia="Times New Roman" w:hAnsi="Times New Roman"/>
                <w:sz w:val="27"/>
                <w:szCs w:val="27"/>
                <w:color w:val="auto"/>
                <w:vertAlign w:val="superscript"/>
              </w:rPr>
              <w:t>+</w:t>
            </w: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Amendment to the Employee Stock Purchase Plan as of April 8, 2010</w:t>
            </w:r>
            <w:r>
              <w:rPr>
                <w:rFonts w:ascii="Times New Roman" w:cs="Times New Roman" w:eastAsia="Times New Roman" w:hAnsi="Times New Roman"/>
                <w:sz w:val="20"/>
                <w:szCs w:val="20"/>
                <w:color w:val="auto"/>
                <w:vertAlign w:val="superscript"/>
              </w:rPr>
              <w:t>+</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1/7/2016</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Employee Stock Purchase Plan as of March 28,</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10.4</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4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2012</w:t>
            </w:r>
            <w:r>
              <w:rPr>
                <w:rFonts w:ascii="Times New Roman" w:cs="Times New Roman" w:eastAsia="Times New Roman" w:hAnsi="Times New Roman"/>
                <w:sz w:val="27"/>
                <w:szCs w:val="27"/>
                <w:color w:val="auto"/>
                <w:vertAlign w:val="superscript"/>
              </w:rPr>
              <w:t>+</w:t>
            </w: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Amendment to the Employee Stock Plan as of December 18, 2019</w:t>
            </w:r>
            <w:r>
              <w:rPr>
                <w:rFonts w:ascii="Times New Roman" w:cs="Times New Roman" w:eastAsia="Times New Roman" w:hAnsi="Times New Roman"/>
                <w:sz w:val="20"/>
                <w:szCs w:val="20"/>
                <w:color w:val="auto"/>
                <w:vertAlign w:val="superscript"/>
              </w:rPr>
              <w:t>+</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10.5</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2016 Equity Incentive Compensation Plan</w:t>
            </w:r>
            <w:r>
              <w:rPr>
                <w:rFonts w:ascii="Times New Roman" w:cs="Times New Roman" w:eastAsia="Times New Roman" w:hAnsi="Times New Roman"/>
                <w:sz w:val="20"/>
                <w:szCs w:val="20"/>
                <w:color w:val="auto"/>
                <w:vertAlign w:val="superscript"/>
              </w:rPr>
              <w:t>+</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DEF 14A</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2/29/2016</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2016 Equity Incentive Compensation Plan</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3/21/2023</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The Company’s 2007 Long-Term Equity Incentive Plan</w:t>
            </w:r>
            <w:r>
              <w:rPr>
                <w:rFonts w:ascii="Times New Roman" w:cs="Times New Roman" w:eastAsia="Times New Roman" w:hAnsi="Times New Roman"/>
                <w:sz w:val="20"/>
                <w:szCs w:val="20"/>
                <w:color w:val="auto"/>
                <w:vertAlign w:val="superscript"/>
              </w:rPr>
              <w:t>+</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1/16/2009</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2007 Long-Term Equity Incentive Plan as of April 8,</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1/14/2011</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4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2010</w:t>
            </w:r>
            <w:r>
              <w:rPr>
                <w:rFonts w:ascii="Times New Roman" w:cs="Times New Roman" w:eastAsia="Times New Roman" w:hAnsi="Times New Roman"/>
                <w:sz w:val="27"/>
                <w:szCs w:val="27"/>
                <w:color w:val="auto"/>
                <w:vertAlign w:val="superscript"/>
              </w:rPr>
              <w:t>+</w:t>
            </w: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spacing w:after="0" w:line="17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10</w:t>
              </w:r>
            </w:hyperlink>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Amendment to the 2007 Long Term Equity Incentive Plan as of April</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4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11, 2014</w:t>
            </w:r>
            <w:r>
              <w:rPr>
                <w:rFonts w:ascii="Times New Roman" w:cs="Times New Roman" w:eastAsia="Times New Roman" w:hAnsi="Times New Roman"/>
                <w:sz w:val="27"/>
                <w:szCs w:val="27"/>
                <w:color w:val="auto"/>
                <w:vertAlign w:val="superscript"/>
              </w:rPr>
              <w:t>+</w:t>
            </w: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0" w:type="dxa"/>
            <w:vAlign w:val="bottom"/>
            <w:gridSpan w:val="6"/>
            <w:shd w:val="clear" w:color="auto" w:fill="CCEEFF"/>
          </w:tcPr>
          <w:p>
            <w:pPr>
              <w:jc w:val="center"/>
              <w:ind w:left="231"/>
              <w:spacing w:after="0" w:line="17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11</w:t>
              </w:r>
            </w:hyperlink>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2011 Executive Incentive Compensation Plan effective as of November</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4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1, 2010</w:t>
            </w:r>
            <w:r>
              <w:rPr>
                <w:rFonts w:ascii="Times New Roman" w:cs="Times New Roman" w:eastAsia="Times New Roman" w:hAnsi="Times New Roman"/>
                <w:sz w:val="27"/>
                <w:szCs w:val="27"/>
                <w:color w:val="auto"/>
                <w:vertAlign w:val="superscript"/>
              </w:rPr>
              <w:t>+</w:t>
            </w:r>
          </w:p>
        </w:tc>
        <w:tc>
          <w:tcPr>
            <w:tcW w:w="2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gridSpan w:val="7"/>
            <w:shd w:val="clear" w:color="auto" w:fill="CCEEFF"/>
          </w:tcPr>
          <w:p>
            <w:pPr>
              <w:jc w:val="center"/>
              <w:spacing w:after="0" w:line="176" w:lineRule="exact"/>
              <w:rPr>
                <w:rFonts w:ascii="Times New Roman" w:cs="Times New Roman" w:eastAsia="Times New Roman" w:hAnsi="Times New Roman"/>
                <w:sz w:val="18"/>
                <w:szCs w:val="18"/>
                <w:color w:val="0000EE"/>
                <w:w w:val="98"/>
              </w:rPr>
            </w:pPr>
            <w:hyperlink r:id="rId11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12</w:t>
              </w:r>
            </w:hyperlink>
          </w:p>
        </w:tc>
        <w:tc>
          <w:tcPr>
            <w:tcW w:w="100" w:type="dxa"/>
            <w:vAlign w:val="bottom"/>
            <w:shd w:val="clear" w:color="auto" w:fill="CCEEFF"/>
          </w:tcPr>
          <w:p>
            <w:pPr>
              <w:spacing w:after="0"/>
              <w:rPr>
                <w:sz w:val="17"/>
                <w:szCs w:val="17"/>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Restricted Stock Award Agreement</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12/26/2023</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spacing w:after="0" w:line="17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13</w:t>
              </w:r>
            </w:hyperlink>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Joint Venture Operating Agreement dated November 20, 2013, between</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 and Dai Nippon Printing Co., Ltd.</w:t>
            </w: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spacing w:after="0" w:line="17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14</w:t>
              </w:r>
            </w:hyperlink>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Outsourcing Agreement dated November 20, 2013, among the</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Dai Nippon Printing Co., Ltd and Photronics Semiconductor</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Mask Corporation</w:t>
            </w: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gridSpan w:val="7"/>
            <w:shd w:val="clear" w:color="auto" w:fill="CCEEFF"/>
          </w:tcPr>
          <w:p>
            <w:pPr>
              <w:jc w:val="center"/>
              <w:spacing w:after="0" w:line="176" w:lineRule="exact"/>
              <w:rPr>
                <w:rFonts w:ascii="Times New Roman" w:cs="Times New Roman" w:eastAsia="Times New Roman" w:hAnsi="Times New Roman"/>
                <w:sz w:val="18"/>
                <w:szCs w:val="18"/>
                <w:color w:val="0000EE"/>
                <w:w w:val="98"/>
              </w:rPr>
            </w:pPr>
            <w:hyperlink r:id="rId11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15</w:t>
              </w:r>
            </w:hyperlink>
          </w:p>
        </w:tc>
        <w:tc>
          <w:tcPr>
            <w:tcW w:w="10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License Agreement dated November 20, 2013, between the Company</w:t>
            </w:r>
          </w:p>
        </w:tc>
        <w:tc>
          <w:tcPr>
            <w:tcW w:w="8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1/6/2015</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60" w:type="dxa"/>
            <w:vAlign w:val="bottom"/>
            <w:tcBorders>
              <w:top w:val="single" w:sz="8" w:color="CCEEFF"/>
            </w:tcBorders>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and Photronics Semiconductor Mask Corporation</w:t>
            </w:r>
            <w:r>
              <w:rPr>
                <w:rFonts w:ascii="Times New Roman" w:cs="Times New Roman" w:eastAsia="Times New Roman" w:hAnsi="Times New Roman"/>
                <w:sz w:val="27"/>
                <w:szCs w:val="27"/>
                <w:color w:val="auto"/>
                <w:vertAlign w:val="superscript"/>
              </w:rPr>
              <w:t>#</w:t>
            </w:r>
          </w:p>
        </w:tc>
        <w:tc>
          <w:tcPr>
            <w:tcW w:w="8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32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tcPr>
          <w:p>
            <w:pPr>
              <w:ind w:left="4440"/>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3"/>
            <w:shd w:val="clear" w:color="auto" w:fill="CCEEFF"/>
          </w:tcPr>
          <w:p>
            <w:pPr>
              <w:jc w:val="right"/>
              <w:ind w:right="200"/>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Employment Agreement between the Company and</w:t>
            </w:r>
          </w:p>
        </w:tc>
        <w:tc>
          <w:tcPr>
            <w:tcW w:w="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10.18</w:t>
            </w:r>
          </w:p>
        </w:tc>
        <w:tc>
          <w:tcPr>
            <w:tcW w:w="2960" w:type="dxa"/>
            <w:vAlign w:val="bottom"/>
            <w:shd w:val="clear" w:color="auto" w:fill="CCEEFF"/>
          </w:tcPr>
          <w:p>
            <w:pPr>
              <w:jc w:val="center"/>
              <w:ind w:right="1490"/>
              <w:spacing w:after="0"/>
              <w:rPr>
                <w:sz w:val="20"/>
                <w:szCs w:val="20"/>
                <w:color w:val="auto"/>
              </w:rPr>
            </w:pPr>
            <w:r>
              <w:rPr>
                <w:rFonts w:ascii="Times New Roman" w:cs="Times New Roman" w:eastAsia="Times New Roman" w:hAnsi="Times New Roman"/>
                <w:sz w:val="18"/>
                <w:szCs w:val="18"/>
                <w:color w:val="auto"/>
                <w:w w:val="99"/>
              </w:rPr>
              <w:t>12/23/2019</w:t>
            </w:r>
          </w:p>
        </w:tc>
      </w:tr>
      <w:tr>
        <w:trPr>
          <w:trHeight w:val="20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Christopher J. Progler, Vice President, Chief Technology Officer dated</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44"/>
        </w:trPr>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4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17"/>
                <w:szCs w:val="17"/>
                <w:color w:val="auto"/>
              </w:rPr>
              <w:t>September 10, 2007</w:t>
            </w:r>
            <w:r>
              <w:rPr>
                <w:rFonts w:ascii="Times New Roman" w:cs="Times New Roman" w:eastAsia="Times New Roman" w:hAnsi="Times New Roman"/>
                <w:sz w:val="28"/>
                <w:szCs w:val="28"/>
                <w:color w:val="auto"/>
                <w:vertAlign w:val="superscript"/>
              </w:rPr>
              <w:t>+</w:t>
            </w:r>
          </w:p>
        </w:tc>
        <w:tc>
          <w:tcPr>
            <w:tcW w:w="8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 and Richelle</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9"/>
              </w:rPr>
              <w:t>1/7/2016</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40" w:type="dxa"/>
            <w:vAlign w:val="bottom"/>
            <w:tcBorders>
              <w:top w:val="single" w:sz="8" w:color="CCEEFF"/>
            </w:tcBorders>
            <w:shd w:val="clear" w:color="auto" w:fill="CCEEFF"/>
          </w:tcPr>
          <w:p>
            <w:pPr>
              <w:ind w:left="200"/>
              <w:spacing w:after="0" w:line="236" w:lineRule="exact"/>
              <w:rPr>
                <w:sz w:val="20"/>
                <w:szCs w:val="20"/>
                <w:color w:val="auto"/>
              </w:rPr>
            </w:pPr>
            <w:r>
              <w:rPr>
                <w:rFonts w:ascii="Times New Roman" w:cs="Times New Roman" w:eastAsia="Times New Roman" w:hAnsi="Times New Roman"/>
                <w:sz w:val="17"/>
                <w:szCs w:val="17"/>
                <w:color w:val="auto"/>
              </w:rPr>
              <w:t>E. Burr dated May 21, 2010</w:t>
            </w:r>
            <w:r>
              <w:rPr>
                <w:rFonts w:ascii="Times New Roman" w:cs="Times New Roman" w:eastAsia="Times New Roman" w:hAnsi="Times New Roman"/>
                <w:sz w:val="27"/>
                <w:szCs w:val="27"/>
                <w:color w:val="auto"/>
                <w:vertAlign w:val="superscript"/>
              </w:rPr>
              <w:t>+</w:t>
            </w:r>
          </w:p>
        </w:tc>
        <w:tc>
          <w:tcPr>
            <w:tcW w:w="8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 and John P.</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40" w:type="dxa"/>
            <w:vAlign w:val="bottom"/>
            <w:tcBorders>
              <w:top w:val="single" w:sz="8" w:color="CCEEFF"/>
            </w:tcBorders>
            <w:shd w:val="clear" w:color="auto" w:fill="CCEEFF"/>
          </w:tcPr>
          <w:p>
            <w:pPr>
              <w:ind w:left="200"/>
              <w:spacing w:after="0" w:line="236" w:lineRule="exact"/>
              <w:rPr>
                <w:sz w:val="20"/>
                <w:szCs w:val="20"/>
                <w:color w:val="auto"/>
              </w:rPr>
            </w:pPr>
            <w:r>
              <w:rPr>
                <w:rFonts w:ascii="Times New Roman" w:cs="Times New Roman" w:eastAsia="Times New Roman" w:hAnsi="Times New Roman"/>
                <w:sz w:val="17"/>
                <w:szCs w:val="17"/>
                <w:color w:val="auto"/>
              </w:rPr>
              <w:t>Jordan dated September 5, 2017</w:t>
            </w:r>
            <w:r>
              <w:rPr>
                <w:rFonts w:ascii="Times New Roman" w:cs="Times New Roman" w:eastAsia="Times New Roman" w:hAnsi="Times New Roman"/>
                <w:sz w:val="27"/>
                <w:szCs w:val="27"/>
                <w:color w:val="auto"/>
                <w:vertAlign w:val="superscript"/>
              </w:rPr>
              <w:t>+</w:t>
            </w:r>
          </w:p>
        </w:tc>
        <w:tc>
          <w:tcPr>
            <w:tcW w:w="8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Employment Agreement dated March 9, 2020, between Photronics Dai</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3/11/2020</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Nippon Mask Corporation, Photronics and Frank Lee</w:t>
            </w:r>
          </w:p>
        </w:tc>
        <w:tc>
          <w:tcPr>
            <w:tcW w:w="8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Form of Amendment to Executive Employment Agreement dated March</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16, 2012+</w:t>
            </w:r>
          </w:p>
        </w:tc>
        <w:tc>
          <w:tcPr>
            <w:tcW w:w="80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Fourth Amended and Restated Credit Agreement dated as of September</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27, 2018, among Photronics, Inc. the Foreign Subsidiary Borrower Party</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Thereto, the Lender Party Thereto, JPMorgan Chase Bank, N.A. as</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Administrative and Collateral Agent and Bank of America, N.A. as</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syndication agent</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Third Amended and Restated Security Agreement entered into as of</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September 27, 2018, by and among Photronics, Inc., the subsidiaries of</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Company and JPMorgan Chase Bank N.A</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23</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Fixed Asset Loan Agreement between Photronics DNP Mask</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Corporation Xiamen and Industrial and Commercial Bank China</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Limited Xiamen Xiang’an Branch</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24</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Working Capital Loan Agreement between Industrial and Commercial</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12/21/2018</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Bureau China Limited Xiamen Xiang’an Branch and Photronics DNP</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Mask Corporation Xiamen effective as of November 7, 2018</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26</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Investment Agreement between Xiamen Torch Hi-Tech Industrial</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9"/>
              </w:rPr>
              <w:t>9/2/2016</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Development Zone Management Committee and Photronics Singapore</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Pte. Ltd.</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27</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Amendment No. 1 to the Investment Agreement between Xiamen Torch</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12/23/2019</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Hi-Tech Industrial Development Zone Management Committee and</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Photronics Singapore Pte, Ltd. #</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28</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Amendment No. 2 to the Investment Agreement between Xiamen Torch</w:t>
            </w:r>
          </w:p>
        </w:tc>
        <w:tc>
          <w:tcPr>
            <w:tcW w:w="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92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3/10/2022</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Hi-Tech Industrial Development Zone, People’s Government of</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Xiang’an Xiamen, Photronics Singapore Pte. Ltd., DNP Asia Pacific Pte</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Xiamen American Japan Photronics Mask Co., Ltd. #</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3"/>
            <w:shd w:val="clear" w:color="auto" w:fill="CCEEFF"/>
          </w:tcPr>
          <w:p>
            <w:pPr>
              <w:jc w:val="right"/>
              <w:ind w:right="200"/>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29</w:t>
              </w:r>
            </w:hyperlink>
          </w:p>
        </w:tc>
        <w:tc>
          <w:tcPr>
            <w:tcW w:w="564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Amendment No. 3 to the Investment Agreement between Xiamen Torch</w:t>
            </w:r>
          </w:p>
        </w:tc>
        <w:tc>
          <w:tcPr>
            <w:tcW w:w="8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920" w:type="dxa"/>
            <w:vAlign w:val="bottom"/>
            <w:shd w:val="clear" w:color="auto" w:fill="CCEEFF"/>
          </w:tcPr>
          <w:p>
            <w:pPr>
              <w:jc w:val="right"/>
              <w:ind w:right="230"/>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3/10/2022</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Hi-Tech Industrial Development Zone, People’s Government of</w:t>
            </w:r>
          </w:p>
        </w:tc>
        <w:tc>
          <w:tcPr>
            <w:tcW w:w="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Xiang’an Xiamen, Photronics Singapore Pte. Ltd., DNP Asia Pacific Pte</w:t>
            </w: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Xiamen American Japan Photronics Mask Co., Ltd. #</w:t>
            </w:r>
          </w:p>
        </w:tc>
        <w:tc>
          <w:tcPr>
            <w:tcW w:w="8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570"/>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40" w:type="dxa"/>
            <w:vAlign w:val="bottom"/>
          </w:tcPr>
          <w:p>
            <w:pPr>
              <w:ind w:left="4640"/>
              <w:spacing w:after="0"/>
              <w:rPr>
                <w:sz w:val="20"/>
                <w:szCs w:val="20"/>
                <w:color w:val="auto"/>
              </w:rPr>
            </w:pPr>
            <w:r>
              <w:rPr>
                <w:rFonts w:ascii="Times New Roman" w:cs="Times New Roman" w:eastAsia="Times New Roman" w:hAnsi="Times New Roman"/>
                <w:sz w:val="14"/>
                <w:szCs w:val="14"/>
                <w:color w:val="auto"/>
              </w:rPr>
              <w:t>78</w:t>
            </w: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gridSpan w:val="7"/>
            <w:shd w:val="clear" w:color="auto" w:fill="CCEEFF"/>
          </w:tcPr>
          <w:p>
            <w:pPr>
              <w:jc w:val="center"/>
              <w:ind w:left="30"/>
              <w:spacing w:after="0"/>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30</w:t>
              </w:r>
            </w:hyperlink>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Joint Venture Operating Agreement dated May 16, 2017, among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10-Q/A</w:t>
            </w:r>
          </w:p>
        </w:tc>
        <w:tc>
          <w:tcPr>
            <w:tcW w:w="86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10.27</w:t>
            </w:r>
          </w:p>
        </w:tc>
        <w:tc>
          <w:tcPr>
            <w:tcW w:w="2960" w:type="dxa"/>
            <w:vAlign w:val="bottom"/>
            <w:shd w:val="clear" w:color="auto" w:fill="CCEEFF"/>
          </w:tcPr>
          <w:p>
            <w:pPr>
              <w:jc w:val="center"/>
              <w:ind w:right="1490"/>
              <w:spacing w:after="0"/>
              <w:rPr>
                <w:sz w:val="20"/>
                <w:szCs w:val="20"/>
                <w:color w:val="auto"/>
              </w:rPr>
            </w:pPr>
            <w:r>
              <w:rPr>
                <w:rFonts w:ascii="Times New Roman" w:cs="Times New Roman" w:eastAsia="Times New Roman" w:hAnsi="Times New Roman"/>
                <w:sz w:val="18"/>
                <w:szCs w:val="18"/>
                <w:color w:val="auto"/>
                <w:w w:val="99"/>
              </w:rPr>
              <w:t>12/19/2017</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Photronics, Photronics Singapore, DNP, and DNP Asia Pacific</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31</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Outsourcing Agreement dated May 16, 2017, among Photronics, DNP,</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9"/>
              </w:rPr>
              <w:t>6/8/2017</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Photronics DNP Photomask Corporation (“PDMC”) and PDMCX</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32</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Amended and Restated License Agreement dated May 16, 2017</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10-Q/A</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12/19/2017</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between DNP and PDMC#</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33</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Investment Cooperation Agreement between Hefei State Hi-tech</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12/20/2017</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Industry Development Zone and Photronics UK, Ltd.</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34</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Master Lease Agreement dated October 12, 2020, between TD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1/15/2021</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Equipment Finance and the Company</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35</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Master Lease Agreement Dated September 5, 2019 between Bank of</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9"/>
              </w:rPr>
              <w:t>9/5/2019</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America and the Company</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3">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36</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Fixed Asset Loan Contract dated October 1, 2020, between Hefei</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1/15/2021</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Photronics Mask Corporation and China Construction Bank Corporation</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4">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37</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Maximum Mortgage Contract dated October 1, 2020 between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1/15/2021</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Photronics Mask Corporation Hefei and China Construction Bank</w:t>
            </w:r>
          </w:p>
        </w:tc>
        <w:tc>
          <w:tcPr>
            <w:tcW w:w="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Corporation Hefei Shushan Branch</w:t>
            </w: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38</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Separation Agreement and General Release between Photronics, Inc.</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1/23/2024</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John Jordan dated February 23, 2024</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6"/>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39</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Separation Agreement, General Release, and Consulting Agreement,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10/4/2024</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dated September 30, 2024 between Photronics Inc, and Richelle Burr</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40</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Employment Agreement between Photronics, Inc. and George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4/17/2025</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Macricostas dated April 11, 2025 +</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96"/>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41</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Photronics, Inc. 2025 Equity Incentive Compensation Plan +</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4/25/2025</w:t>
            </w: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r>
      <w:tr>
        <w:trPr>
          <w:trHeight w:val="175"/>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42</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Employment Agreement between Photronics, Inc. and Eric Rivera dated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9"/>
              </w:rPr>
              <w:t>5/2/2025</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April 30, 2025 +</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96"/>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43</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Form of Directors Indemnification Agreement +</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8"/>
              </w:rPr>
              <w:t>6/11/2025</w:t>
            </w: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r>
      <w:tr>
        <w:trPr>
          <w:trHeight w:val="175"/>
        </w:trPr>
        <w:tc>
          <w:tcPr>
            <w:tcW w:w="920" w:type="dxa"/>
            <w:vAlign w:val="bottom"/>
            <w:gridSpan w:val="7"/>
            <w:shd w:val="clear" w:color="auto" w:fill="CCEEFF"/>
          </w:tcPr>
          <w:p>
            <w:pPr>
              <w:jc w:val="center"/>
              <w:ind w:left="30"/>
              <w:spacing w:after="0" w:line="17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44</w:t>
              </w:r>
            </w:hyperlink>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Amended Employment Agreement between Photronics, Inc. and George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10.1</w:t>
            </w:r>
          </w:p>
        </w:tc>
        <w:tc>
          <w:tcPr>
            <w:tcW w:w="2960" w:type="dxa"/>
            <w:vAlign w:val="bottom"/>
            <w:shd w:val="clear" w:color="auto" w:fill="CCEEFF"/>
          </w:tcPr>
          <w:p>
            <w:pPr>
              <w:jc w:val="center"/>
              <w:ind w:right="1470"/>
              <w:spacing w:after="0" w:line="176" w:lineRule="exact"/>
              <w:rPr>
                <w:sz w:val="20"/>
                <w:szCs w:val="20"/>
                <w:color w:val="auto"/>
              </w:rPr>
            </w:pPr>
            <w:r>
              <w:rPr>
                <w:rFonts w:ascii="Times New Roman" w:cs="Times New Roman" w:eastAsia="Times New Roman" w:hAnsi="Times New Roman"/>
                <w:sz w:val="18"/>
                <w:szCs w:val="18"/>
                <w:color w:val="auto"/>
                <w:w w:val="99"/>
              </w:rPr>
              <w:t>7/2/2025</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Macricostas dated June 27, 2025 +</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96"/>
        </w:trPr>
        <w:tc>
          <w:tcPr>
            <w:tcW w:w="680" w:type="dxa"/>
            <w:vAlign w:val="bottom"/>
            <w:gridSpan w:val="5"/>
            <w:shd w:val="clear" w:color="auto" w:fill="CCEEFF"/>
          </w:tcPr>
          <w:p>
            <w:pPr>
              <w:jc w:val="center"/>
              <w:ind w:left="250"/>
              <w:spacing w:after="0" w:line="17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19</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Insider Trading Policy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12/26/2023</w:t>
            </w: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5"/>
            <w:shd w:val="clear" w:color="auto" w:fill="CCEEFF"/>
          </w:tcPr>
          <w:p>
            <w:pPr>
              <w:jc w:val="center"/>
              <w:ind w:left="250"/>
              <w:spacing w:after="0" w:line="17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21</w:t>
              </w:r>
            </w:hyperlink>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List of Subsidiaries of the Company</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2960" w:type="dxa"/>
            <w:vAlign w:val="bottom"/>
            <w:shd w:val="clear" w:color="auto" w:fill="CCEEFF"/>
          </w:tcPr>
          <w:p>
            <w:pPr>
              <w:jc w:val="center"/>
              <w:ind w:right="1490"/>
              <w:spacing w:after="0" w:line="176" w:lineRule="exact"/>
              <w:rPr>
                <w:sz w:val="20"/>
                <w:szCs w:val="20"/>
                <w:color w:val="auto"/>
              </w:rPr>
            </w:pPr>
            <w:r>
              <w:rPr>
                <w:rFonts w:ascii="Times New Roman" w:cs="Times New Roman" w:eastAsia="Times New Roman" w:hAnsi="Times New Roman"/>
                <w:sz w:val="18"/>
                <w:szCs w:val="18"/>
                <w:color w:val="auto"/>
                <w:w w:val="99"/>
              </w:rPr>
              <w:t>12/19/2024</w:t>
            </w: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r>
      <w:tr>
        <w:trPr>
          <w:trHeight w:val="175"/>
        </w:trPr>
        <w:tc>
          <w:tcPr>
            <w:tcW w:w="720" w:type="dxa"/>
            <w:vAlign w:val="bottom"/>
            <w:gridSpan w:val="6"/>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200" w:type="dxa"/>
            <w:vAlign w:val="bottom"/>
            <w:shd w:val="clear" w:color="auto" w:fill="CCEEFF"/>
          </w:tcPr>
          <w:p>
            <w:pPr>
              <w:spacing w:after="0"/>
              <w:rPr>
                <w:sz w:val="15"/>
                <w:szCs w:val="15"/>
                <w:color w:val="auto"/>
              </w:rPr>
            </w:pPr>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Consent of Deloitte &amp; Touche LLP, Independent Registered Public</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23.1</w:t>
            </w:r>
          </w:p>
        </w:tc>
        <w:tc>
          <w:tcPr>
            <w:tcW w:w="296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Accounting Firm</w:t>
            </w:r>
          </w:p>
        </w:tc>
        <w:tc>
          <w:tcPr>
            <w:tcW w:w="9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175"/>
        </w:trPr>
        <w:tc>
          <w:tcPr>
            <w:tcW w:w="720" w:type="dxa"/>
            <w:vAlign w:val="bottom"/>
            <w:gridSpan w:val="6"/>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00" w:type="dxa"/>
            <w:vAlign w:val="bottom"/>
            <w:shd w:val="clear" w:color="auto" w:fill="CCEEFF"/>
          </w:tcPr>
          <w:p>
            <w:pPr>
              <w:spacing w:after="0"/>
              <w:rPr>
                <w:sz w:val="15"/>
                <w:szCs w:val="15"/>
                <w:color w:val="auto"/>
              </w:rPr>
            </w:pPr>
          </w:p>
        </w:tc>
        <w:tc>
          <w:tcPr>
            <w:tcW w:w="5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860" w:type="dxa"/>
            <w:vAlign w:val="bottom"/>
            <w:shd w:val="clear" w:color="auto" w:fill="CCEEFF"/>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5"/>
              </w:rPr>
              <w:t>31.1</w:t>
            </w:r>
          </w:p>
        </w:tc>
        <w:tc>
          <w:tcPr>
            <w:tcW w:w="2960" w:type="dxa"/>
            <w:vAlign w:val="bottom"/>
            <w:shd w:val="clear" w:color="auto" w:fill="CCEEFF"/>
          </w:tcPr>
          <w:p>
            <w:pPr>
              <w:ind w:left="152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8"/>
        </w:trPr>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14(a) of the Exchange Act, as adopted pursuant to Section 302 of the</w:t>
            </w:r>
          </w:p>
        </w:tc>
        <w:tc>
          <w:tcPr>
            <w:tcW w:w="9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18"/>
                <w:szCs w:val="18"/>
                <w:color w:val="auto"/>
              </w:rPr>
            </w:pPr>
          </w:p>
        </w:tc>
      </w:tr>
      <w:tr>
        <w:trPr>
          <w:trHeight w:val="234"/>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9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r>
      <w:tr>
        <w:trPr>
          <w:trHeight w:val="570"/>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ind w:left="4640"/>
              <w:spacing w:after="0"/>
              <w:rPr>
                <w:sz w:val="20"/>
                <w:szCs w:val="20"/>
                <w:color w:val="auto"/>
              </w:rPr>
            </w:pPr>
            <w:r>
              <w:rPr>
                <w:rFonts w:ascii="Times New Roman" w:cs="Times New Roman" w:eastAsia="Times New Roman" w:hAnsi="Times New Roman"/>
                <w:sz w:val="14"/>
                <w:szCs w:val="14"/>
                <w:color w:val="auto"/>
              </w:rPr>
              <w:t>79</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32.2</w:t>
            </w:r>
          </w:p>
        </w:tc>
        <w:tc>
          <w:tcPr>
            <w:tcW w:w="2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X</w:t>
            </w:r>
          </w:p>
        </w:tc>
      </w:tr>
      <w:tr>
        <w:trPr>
          <w:trHeight w:val="218"/>
        </w:trPr>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14(a) of the Exchange Act, as adopted pursuant to Section 302 of the</w:t>
            </w:r>
          </w:p>
        </w:tc>
        <w:tc>
          <w:tcPr>
            <w:tcW w:w="7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r>
      <w:tr>
        <w:trPr>
          <w:trHeight w:val="234"/>
        </w:trPr>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176"/>
        </w:trPr>
        <w:tc>
          <w:tcPr>
            <w:tcW w:w="900" w:type="dxa"/>
            <w:vAlign w:val="bottom"/>
            <w:gridSpan w:val="5"/>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p>
        </w:tc>
        <w:tc>
          <w:tcPr>
            <w:tcW w:w="56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w:t>
            </w:r>
          </w:p>
        </w:tc>
        <w:tc>
          <w:tcPr>
            <w:tcW w:w="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920" w:type="dxa"/>
            <w:vAlign w:val="bottom"/>
            <w:shd w:val="clear" w:color="auto" w:fill="CCEEFF"/>
          </w:tcPr>
          <w:p>
            <w:pPr>
              <w:ind w:left="14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8"/>
        </w:trPr>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w:t>
            </w:r>
          </w:p>
        </w:tc>
        <w:tc>
          <w:tcPr>
            <w:tcW w:w="7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r>
      <w:tr>
        <w:trPr>
          <w:trHeight w:val="234"/>
        </w:trPr>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2002</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175"/>
        </w:trPr>
        <w:tc>
          <w:tcPr>
            <w:tcW w:w="900" w:type="dxa"/>
            <w:vAlign w:val="bottom"/>
            <w:gridSpan w:val="5"/>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p>
        </w:tc>
        <w:tc>
          <w:tcPr>
            <w:tcW w:w="56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w:t>
            </w:r>
          </w:p>
        </w:tc>
        <w:tc>
          <w:tcPr>
            <w:tcW w:w="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2920" w:type="dxa"/>
            <w:vAlign w:val="bottom"/>
            <w:shd w:val="clear" w:color="auto" w:fill="CCEEFF"/>
          </w:tcPr>
          <w:p>
            <w:pPr>
              <w:ind w:left="148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18"/>
        </w:trPr>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w:t>
            </w:r>
          </w:p>
        </w:tc>
        <w:tc>
          <w:tcPr>
            <w:tcW w:w="7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18"/>
                <w:szCs w:val="18"/>
                <w:color w:val="auto"/>
              </w:rPr>
            </w:pPr>
          </w:p>
        </w:tc>
      </w:tr>
      <w:tr>
        <w:trPr>
          <w:trHeight w:val="234"/>
        </w:trPr>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2002</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196"/>
        </w:trPr>
        <w:tc>
          <w:tcPr>
            <w:tcW w:w="660" w:type="dxa"/>
            <w:vAlign w:val="bottom"/>
            <w:gridSpan w:val="4"/>
            <w:shd w:val="clear" w:color="auto" w:fill="CCEEFF"/>
          </w:tcPr>
          <w:p>
            <w:pPr>
              <w:jc w:val="center"/>
              <w:ind w:left="270"/>
              <w:spacing w:after="0" w:line="17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97</w:t>
              </w:r>
            </w:hyperlink>
          </w:p>
        </w:tc>
        <w:tc>
          <w:tcPr>
            <w:tcW w:w="240" w:type="dxa"/>
            <w:vAlign w:val="bottom"/>
            <w:shd w:val="clear" w:color="auto" w:fill="CCEEFF"/>
          </w:tcPr>
          <w:p>
            <w:pPr>
              <w:spacing w:after="0"/>
              <w:rPr>
                <w:sz w:val="17"/>
                <w:szCs w:val="17"/>
                <w:color w:val="auto"/>
              </w:rPr>
            </w:pPr>
          </w:p>
        </w:tc>
        <w:tc>
          <w:tcPr>
            <w:tcW w:w="56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Compensation Recovery Policy effective October 2, 2023</w:t>
            </w:r>
          </w:p>
        </w:tc>
        <w:tc>
          <w:tcPr>
            <w:tcW w:w="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c>
          <w:tcPr>
            <w:tcW w:w="29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12/26/2023</w:t>
            </w:r>
          </w:p>
        </w:tc>
      </w:tr>
      <w:tr>
        <w:trPr>
          <w:trHeight w:val="216"/>
        </w:trPr>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r>
      <w:tr>
        <w:trPr>
          <w:trHeight w:val="198"/>
        </w:trPr>
        <w:tc>
          <w:tcPr>
            <w:tcW w:w="90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56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w:t>
            </w:r>
          </w:p>
        </w:tc>
        <w:tc>
          <w:tcPr>
            <w:tcW w:w="7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9"/>
              </w:rPr>
              <w:t>101.INS</w:t>
            </w:r>
          </w:p>
        </w:tc>
        <w:tc>
          <w:tcPr>
            <w:tcW w:w="2920" w:type="dxa"/>
            <w:vAlign w:val="bottom"/>
            <w:shd w:val="clear" w:color="auto" w:fill="CCEEFF"/>
          </w:tcPr>
          <w:p>
            <w:pPr>
              <w:ind w:left="148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16"/>
        </w:trPr>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 embedded</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34"/>
        </w:trPr>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2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101.CAL</w:t>
            </w:r>
          </w:p>
        </w:tc>
        <w:tc>
          <w:tcPr>
            <w:tcW w:w="2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29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101.LAB</w:t>
            </w:r>
          </w:p>
        </w:tc>
        <w:tc>
          <w:tcPr>
            <w:tcW w:w="2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9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101.PRE</w:t>
            </w:r>
          </w:p>
        </w:tc>
        <w:tc>
          <w:tcPr>
            <w:tcW w:w="29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198"/>
        </w:trPr>
        <w:tc>
          <w:tcPr>
            <w:tcW w:w="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920" w:type="dxa"/>
            <w:vAlign w:val="bottom"/>
            <w:shd w:val="clear" w:color="auto" w:fill="CCEEFF"/>
          </w:tcPr>
          <w:p>
            <w:pPr>
              <w:ind w:left="1480"/>
              <w:spacing w:after="0" w:line="198"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contained in, Exhibit 101)</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management contract or compensatory plan or arrangement.</w:t>
      </w:r>
    </w:p>
    <w:p>
      <w:pPr>
        <w:spacing w:after="0" w:line="225"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a request for confidential treatment filed with the Securities and Exchange Commission.</w:t>
      </w:r>
    </w:p>
    <w:p>
      <w:pPr>
        <w:spacing w:after="0" w:line="22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Company will provide a copy of any exhibit upon receipt of a written request for the particular exhibit or exhibits desired. All requests should be addressed to the Company’s Vice President, General Counsel and Corporate Secretary at the address of the Company’s principal executive offices.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26035</wp:posOffset>
            </wp:positionV>
            <wp:extent cx="3068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C. Macricostas</w:t>
            </w:r>
          </w:p>
        </w:tc>
        <w:tc>
          <w:tcPr>
            <w:tcW w:w="380" w:type="dxa"/>
            <w:vAlign w:val="bottom"/>
            <w:tcBorders>
              <w:bottom w:val="single" w:sz="8" w:color="auto"/>
            </w:tcBorders>
          </w:tcPr>
          <w:p>
            <w:pPr>
              <w:spacing w:after="0"/>
              <w:rPr>
                <w:sz w:val="22"/>
                <w:szCs w:val="22"/>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George C. Macricostas</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c>
          <w:tcPr>
            <w:tcW w:w="3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Rivera</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Eric Rivera</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3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Frank Lee</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Frank Lee</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Lewis</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Adam Lewis</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A. Garcia</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David A. Garcia</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Liao</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Liao</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Constantine S. Macricostas</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Constantine S. Macricostas</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3"/>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Paladino</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Mary Paladino</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45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Mitchell G. Tyson</w:t>
            </w:r>
          </w:p>
        </w:tc>
        <w:tc>
          <w:tcPr>
            <w:tcW w:w="380" w:type="dxa"/>
            <w:vAlign w:val="bottom"/>
            <w:tcBorders>
              <w:bottom w:val="single" w:sz="8" w:color="auto"/>
            </w:tcBorders>
          </w:tcPr>
          <w:p>
            <w:pPr>
              <w:spacing w:after="0"/>
              <w:rPr>
                <w:sz w:val="24"/>
                <w:szCs w:val="24"/>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17, 2025</w:t>
            </w:r>
          </w:p>
        </w:tc>
      </w:tr>
      <w:tr>
        <w:trPr>
          <w:trHeight w:val="198"/>
        </w:trPr>
        <w:tc>
          <w:tcPr>
            <w:tcW w:w="34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Mitchell G. Tyson</w:t>
            </w:r>
          </w:p>
        </w:tc>
        <w:tc>
          <w:tcPr>
            <w:tcW w:w="380" w:type="dxa"/>
            <w:vAlign w:val="bottom"/>
          </w:tcPr>
          <w:p>
            <w:pPr>
              <w:spacing w:after="0"/>
              <w:rPr>
                <w:sz w:val="17"/>
                <w:szCs w:val="17"/>
                <w:color w:val="auto"/>
              </w:rPr>
            </w:pPr>
          </w:p>
        </w:tc>
        <w:tc>
          <w:tcPr>
            <w:tcW w:w="560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598"/>
        </w:trPr>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980" w:type="dxa"/>
            <w:vAlign w:val="bottom"/>
            <w:gridSpan w:val="2"/>
          </w:tcPr>
          <w:p>
            <w:pPr>
              <w:jc w:val="right"/>
              <w:ind w:right="5450"/>
              <w:spacing w:after="0"/>
              <w:rPr>
                <w:sz w:val="20"/>
                <w:szCs w:val="20"/>
                <w:color w:val="auto"/>
              </w:rPr>
            </w:pPr>
            <w:r>
              <w:rPr>
                <w:rFonts w:ascii="Times New Roman" w:cs="Times New Roman" w:eastAsia="Times New Roman" w:hAnsi="Times New Roman"/>
                <w:sz w:val="14"/>
                <w:szCs w:val="14"/>
                <w:color w:val="auto"/>
              </w:rPr>
              <w:t>81</w:t>
            </w:r>
          </w:p>
        </w:tc>
      </w:tr>
      <w:tr>
        <w:trPr>
          <w:trHeight w:val="84"/>
        </w:trPr>
        <w:tc>
          <w:tcPr>
            <w:tcW w:w="340" w:type="dxa"/>
            <w:vAlign w:val="bottom"/>
            <w:tcBorders>
              <w:bottom w:val="single" w:sz="8" w:color="auto"/>
            </w:tcBorders>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333-286766, 333-252486, 333-217676, and 333-276268 on Form S-8 of our report dated December 17, 2025, relating to the consolidated financial statements of Photronics, Inc., and the effectiveness of Photronics, Inc.’s internal control over financial reporting appearing in this Annual Report on Form 10-K for the year ended October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certify that:</w:t>
      </w:r>
    </w:p>
    <w:p>
      <w:pPr>
        <w:spacing w:after="0" w:line="225"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Photronics,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486"/>
        <w:spacing w:after="0" w:line="282"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Photronics,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20" w:hanging="486"/>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Chief Executive Officer of Photronics, Inc. (the “Company”), certify, to my knowledge,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207" w:lineRule="exact"/>
        <w:rPr>
          <w:sz w:val="20"/>
          <w:szCs w:val="20"/>
          <w:color w:val="auto"/>
        </w:rPr>
      </w:pPr>
    </w:p>
    <w:p>
      <w:pPr>
        <w:ind w:left="500" w:hanging="492"/>
        <w:spacing w:after="0" w:line="282"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October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Eric Rivera, Chief Financial Officer of Photronics, Inc. (the “Company”), certify, to my knowledge, pursuant to Section 906 of the Sarbanes-Oxley Act of 2002, 18 U.S.C. Section 1350, that:</w:t>
      </w:r>
    </w:p>
    <w:p>
      <w:pPr>
        <w:spacing w:after="0" w:line="162" w:lineRule="exact"/>
        <w:rPr>
          <w:sz w:val="20"/>
          <w:szCs w:val="20"/>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October 31,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543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2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o"/>
      <w:numFmt w:val="bullet"/>
      <w:start w:val="1"/>
    </w:lvl>
  </w:abstractNum>
  <w:abstractNum w:abstractNumId="10">
    <w:nsid w:val="519B500D"/>
    <w:multiLevelType w:val="hybridMultilevel"/>
    <w:lvl w:ilvl="0">
      <w:lvlJc w:val="left"/>
      <w:lvlText w:val="o"/>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95" Type="http://schemas.openxmlformats.org/officeDocument/2006/relationships/hyperlink" Target="https://www.sec.gov/Archives/edgar/data/810136/000114036119023041/ex3_1.htm" TargetMode="External"/><Relationship Id="rId96" Type="http://schemas.openxmlformats.org/officeDocument/2006/relationships/hyperlink" Target="https://www.sec.gov/Archives/edgar/data/810136/000114036116079692/ex3_2.htm" TargetMode="External"/><Relationship Id="rId97" Type="http://schemas.openxmlformats.org/officeDocument/2006/relationships/hyperlink" Target="https://www.sec.gov/Archives/edgar/data/810136/000114036119023041/ex4_1.htm" TargetMode="External"/><Relationship Id="rId98" Type="http://schemas.openxmlformats.org/officeDocument/2006/relationships/hyperlink" Target="https://www.sec.gov/Archives/edgar/data/810136/000114036119017162/ex3_1.htm" TargetMode="External"/><Relationship Id="rId99" Type="http://schemas.openxmlformats.org/officeDocument/2006/relationships/hyperlink" Target="https://www.sec.gov/Archives/edgar/data/810136/000114036117046903/ex10_1.htm" TargetMode="External"/><Relationship Id="rId100" Type="http://schemas.openxmlformats.org/officeDocument/2006/relationships/hyperlink" Target="https://www.sec.gov/Archives/edgar/data/810136/000114036117000934/ex10_2.htm" TargetMode="External"/><Relationship Id="rId101" Type="http://schemas.openxmlformats.org/officeDocument/2006/relationships/hyperlink" Target="https://www.sec.gov/Archives/edgar/data/810136/000114036116047150/ex10_4.htm" TargetMode="External"/><Relationship Id="rId102" Type="http://schemas.openxmlformats.org/officeDocument/2006/relationships/hyperlink" Target="https://www.sec.gov/Archives/edgar/data/810136/000114036118045611/s002591x1_ex10-4.htm" TargetMode="External"/><Relationship Id="rId103" Type="http://schemas.openxmlformats.org/officeDocument/2006/relationships/hyperlink" Target="https://www.sec.gov/Archives/edgar/data/810136/000114036119023041/ex10_5.htm" TargetMode="External"/><Relationship Id="rId104" Type="http://schemas.openxmlformats.org/officeDocument/2006/relationships/hyperlink" Target="https://www.sec.gov/Archives/edgar/data/810136/000114036116055498/formdef14a.htm" TargetMode="External"/><Relationship Id="rId105" Type="http://schemas.openxmlformats.org/officeDocument/2006/relationships/hyperlink" Target="https://www.sec.gov/Archives/edgar/data/810136/000114036123012836/brhc10049907_ex10-1.htm" TargetMode="External"/><Relationship Id="rId106" Type="http://schemas.openxmlformats.org/officeDocument/2006/relationships/hyperlink" Target="https://www.sec.gov/Archives/edgar/data/810136/000114036119023041/ex10_7.htm" TargetMode="External"/><Relationship Id="rId107" Type="http://schemas.openxmlformats.org/officeDocument/2006/relationships/hyperlink" Target="https://www.sec.gov/Archives/edgar/data/810136/000114036116047150/ex10_7.htm" TargetMode="External"/><Relationship Id="rId108" Type="http://schemas.openxmlformats.org/officeDocument/2006/relationships/hyperlink" Target="https://www.sec.gov/Archives/edgar/data/810136/000114036115000753/ex10_8.htm" TargetMode="External"/><Relationship Id="rId109" Type="http://schemas.openxmlformats.org/officeDocument/2006/relationships/hyperlink" Target="https://www.sec.gov/Archives/edgar/data/810136/000114036115000753/ex10_9.htm" TargetMode="External"/><Relationship Id="rId110" Type="http://schemas.openxmlformats.org/officeDocument/2006/relationships/hyperlink" Target="https://www.sec.gov/Archives/edgar/data/810136/000114036123059254/ef20012464_ex10-12.htm" TargetMode="External"/><Relationship Id="rId111" Type="http://schemas.openxmlformats.org/officeDocument/2006/relationships/hyperlink" Target="https://www.sec.gov/Archives/edgar/data/810136/000114036115027000/ex10_20.htm" TargetMode="External"/><Relationship Id="rId112" Type="http://schemas.openxmlformats.org/officeDocument/2006/relationships/hyperlink" Target="https://www.sec.gov/Archives/edgar/data/810136/000114036115027000/ex10_21.htm" TargetMode="External"/><Relationship Id="rId113" Type="http://schemas.openxmlformats.org/officeDocument/2006/relationships/hyperlink" Target="https://www.sec.gov/Archives/edgar/data/810136/000114036115027000/ex10_22.htm" TargetMode="External"/><Relationship Id="rId114" Type="http://schemas.openxmlformats.org/officeDocument/2006/relationships/hyperlink" Target="https://www.sec.gov/Archives/edgar/data/810136/000114036119023041/ex10_18.htm" TargetMode="External"/><Relationship Id="rId115" Type="http://schemas.openxmlformats.org/officeDocument/2006/relationships/hyperlink" Target="https://www.sec.gov/Archives/edgar/data/810136/000114036116047150/ex10_30.htm" TargetMode="External"/><Relationship Id="rId116" Type="http://schemas.openxmlformats.org/officeDocument/2006/relationships/hyperlink" Target="https://www.sec.gov/Archives/edgar/data/810136/000114036117046903/ex10_31.htm" TargetMode="External"/><Relationship Id="rId117" Type="http://schemas.openxmlformats.org/officeDocument/2006/relationships/hyperlink" Target="https://www.sec.gov/Archives/edgar/data/810136/000114036120005521/ex10_36.htm" TargetMode="External"/><Relationship Id="rId118" Type="http://schemas.openxmlformats.org/officeDocument/2006/relationships/hyperlink" Target="https://www.sec.gov/Archives/edgar/data/810136/000114036119023041/ex10_23.htm" TargetMode="External"/><Relationship Id="rId119" Type="http://schemas.openxmlformats.org/officeDocument/2006/relationships/hyperlink" Target="https://www.sec.gov/Archives/edgar/data/810136/000114036118045611/s002591x1_ex10-24.htm" TargetMode="External"/><Relationship Id="rId120" Type="http://schemas.openxmlformats.org/officeDocument/2006/relationships/hyperlink" Target="https://www.sec.gov/Archives/edgar/data/810136/000114036118045611/s002591x1_ex10-25.htm" TargetMode="External"/><Relationship Id="rId121" Type="http://schemas.openxmlformats.org/officeDocument/2006/relationships/hyperlink" Target="https://www.sec.gov/Archives/edgar/data/810136/000114036118045611/s002591x1_ex10-26.htm" TargetMode="External"/><Relationship Id="rId122" Type="http://schemas.openxmlformats.org/officeDocument/2006/relationships/hyperlink" Target="https://www.sec.gov/Archives/edgar/data/810136/000114036118045611/s002591x1_ex10-27.htm" TargetMode="External"/><Relationship Id="rId123" Type="http://schemas.openxmlformats.org/officeDocument/2006/relationships/hyperlink" Target="https://www.sec.gov/Archives/edgar/data/810136/000114036116078718/ex10_35.htm" TargetMode="External"/><Relationship Id="rId124" Type="http://schemas.openxmlformats.org/officeDocument/2006/relationships/hyperlink" Target="https://www.sec.gov/Archives/edgar/data/810136/000114036119023041/ex10_29.htm" TargetMode="External"/><Relationship Id="rId125" Type="http://schemas.openxmlformats.org/officeDocument/2006/relationships/hyperlink" Target="https://www.sec.gov/Archives/edgar/data/810136/000114036122008662/brhc10034862_ex10-41.htm" TargetMode="External"/><Relationship Id="rId126" Type="http://schemas.openxmlformats.org/officeDocument/2006/relationships/hyperlink" Target="https://www.sec.gov/Archives/edgar/data/810136/000114036122008662/brhc10034862_ex10-42.htm" TargetMode="External"/><Relationship Id="rId127" Type="http://schemas.openxmlformats.org/officeDocument/2006/relationships/hyperlink" Target="https://www.sec.gov/Archives/edgar/data/810136/000114036117046677/ex10_27.htm" TargetMode="External"/><Relationship Id="rId128" Type="http://schemas.openxmlformats.org/officeDocument/2006/relationships/hyperlink" Target="https://www.sec.gov/Archives/edgar/data/810136/000114036117046677/ex10_28.htm" TargetMode="External"/><Relationship Id="rId129" Type="http://schemas.openxmlformats.org/officeDocument/2006/relationships/hyperlink" Target="https://www.sec.gov/Archives/edgar/data/810136/000114036117046677/ex10_29.htm" TargetMode="External"/><Relationship Id="rId130" Type="http://schemas.openxmlformats.org/officeDocument/2006/relationships/hyperlink" Target="https://www.sec.gov/Archives/edgar/data/810136/000114036117046903/ex10_42.htm" TargetMode="External"/><Relationship Id="rId131" Type="http://schemas.openxmlformats.org/officeDocument/2006/relationships/hyperlink" Target="https://www.sec.gov/Archives/edgar/data/810136/000114036121001225/brhc10018426_ex10-38.htm" TargetMode="External"/><Relationship Id="rId132" Type="http://schemas.openxmlformats.org/officeDocument/2006/relationships/hyperlink" Target="https://www.sec.gov/Archives/edgar/data/810136/000114036119016110/ex10_28.htm" TargetMode="External"/><Relationship Id="rId133" Type="http://schemas.openxmlformats.org/officeDocument/2006/relationships/hyperlink" Target="https://www.sec.gov/Archives/edgar/data/810136/000114036121001225/brhc10018426_ex10-39.htm" TargetMode="External"/><Relationship Id="rId134" Type="http://schemas.openxmlformats.org/officeDocument/2006/relationships/hyperlink" Target="https://www.sec.gov/Archives/edgar/data/810136/000114036121001225/brhc10018426_ex10-40.htm" TargetMode="External"/><Relationship Id="rId135" Type="http://schemas.openxmlformats.org/officeDocument/2006/relationships/hyperlink" Target="https://www.sec.gov/ix?doc=/Archives/edgar/data/810136/000114036124003315/ef20019466_8k.htm" TargetMode="External"/><Relationship Id="rId136" Type="http://schemas.openxmlformats.org/officeDocument/2006/relationships/hyperlink" Target="https://www.sec.gov/ix?doc=/Archives/edgar/data/810136/000114036124042827/ef20036709_8k.htm" TargetMode="External"/><Relationship Id="rId137" Type="http://schemas.openxmlformats.org/officeDocument/2006/relationships/hyperlink" Target="https://www.sec.gov/Archives/edgar/data/810136/000114036125014404/ef20047534_ex10-1.htm" TargetMode="External"/><Relationship Id="rId138" Type="http://schemas.openxmlformats.org/officeDocument/2006/relationships/hyperlink" Target="https://www.sec.gov/Archives/edgar/data/810136/000114036125015776/ef20047929_ex4-3.htm" TargetMode="External"/><Relationship Id="rId139" Type="http://schemas.openxmlformats.org/officeDocument/2006/relationships/hyperlink" Target="https://www.sec.gov/Archives/edgar/data/810136/000114036125017153/ef20048414_10-1.htm" TargetMode="External"/><Relationship Id="rId140" Type="http://schemas.openxmlformats.org/officeDocument/2006/relationships/hyperlink" Target="https://www.sec.gov/Archives/edgar/data/810136/000114036125022208/ef20047578_ex10-1.htm" TargetMode="External"/><Relationship Id="rId141" Type="http://schemas.openxmlformats.org/officeDocument/2006/relationships/hyperlink" Target="https://www.sec.gov/Archives/edgar/data/810136/000114036125024672/ef20051532_ex10-1.htm" TargetMode="External"/><Relationship Id="rId142" Type="http://schemas.openxmlformats.org/officeDocument/2006/relationships/hyperlink" Target="https://www.sec.gov/Archives/edgar/data/810136/000114036123059254/ef20012464_ex19.htm" TargetMode="External"/><Relationship Id="rId143" Type="http://schemas.openxmlformats.org/officeDocument/2006/relationships/hyperlink" Target="https://www.sec.gov/Archives/edgar/data/810136/000114036124049881/ef20035608_ex21.htm" TargetMode="External"/><Relationship Id="rId144" Type="http://schemas.openxmlformats.org/officeDocument/2006/relationships/hyperlink" Target="https://www.sec.gov/Archives/edgar/data/810136/000114036123059254/ef20012464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2025-12-17T13:31:09Z</dcterms:created>
  <dcterms:modified xsi:type="dcterms:W3CDTF">2025-12-17T13:31:09Z</dcterms:modified>
</cp:coreProperties>
</file>