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281940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Washington, D.C. 20549</w:t>
      </w: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4140" w:right="2400" w:hanging="4132"/>
        <w:spacing w:after="0" w:line="299" w:lineRule="auto"/>
        <w:tabs>
          <w:tab w:leader="none" w:pos="374"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May 1, 2011</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OR</w:t>
      </w:r>
    </w:p>
    <w:p>
      <w:pPr>
        <w:spacing w:after="0" w:line="279" w:lineRule="exact"/>
        <w:rPr>
          <w:sz w:val="24"/>
          <w:szCs w:val="24"/>
          <w:color w:val="auto"/>
        </w:rPr>
      </w:pPr>
    </w:p>
    <w:p>
      <w:pPr>
        <w:ind w:left="4240" w:right="2380" w:hanging="4232"/>
        <w:spacing w:after="0" w:line="299" w:lineRule="auto"/>
        <w:tabs>
          <w:tab w:leader="none" w:pos="382"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_____ to _____</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3178175</wp:posOffset>
            </wp:positionH>
            <wp:positionV relativeFrom="paragraph">
              <wp:posOffset>173990</wp:posOffset>
            </wp:positionV>
            <wp:extent cx="900430" cy="951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0430" cy="951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580" w:type="dxa"/>
            <w:vAlign w:val="bottom"/>
          </w:tcPr>
          <w:p>
            <w:pPr>
              <w:spacing w:after="0"/>
              <w:rPr>
                <w:sz w:val="19"/>
                <w:szCs w:val="19"/>
                <w:color w:val="auto"/>
              </w:rPr>
            </w:pPr>
          </w:p>
        </w:tc>
        <w:tc>
          <w:tcPr>
            <w:tcW w:w="8800" w:type="dxa"/>
            <w:vAlign w:val="bottom"/>
          </w:tcPr>
          <w:p>
            <w:pPr>
              <w:jc w:val="center"/>
              <w:ind w:right="2498"/>
              <w:spacing w:after="0"/>
              <w:rPr>
                <w:sz w:val="20"/>
                <w:szCs w:val="20"/>
                <w:color w:val="auto"/>
              </w:rPr>
            </w:pPr>
            <w:r>
              <w:rPr>
                <w:rFonts w:ascii="Arial" w:cs="Arial" w:eastAsia="Arial" w:hAnsi="Arial"/>
                <w:sz w:val="18"/>
                <w:szCs w:val="18"/>
                <w:b w:val="1"/>
                <w:bCs w:val="1"/>
                <w:color w:val="auto"/>
                <w:w w:val="97"/>
              </w:rPr>
              <w:t>PHOTRONICS, INC.</w:t>
            </w:r>
          </w:p>
        </w:tc>
      </w:tr>
      <w:tr>
        <w:trPr>
          <w:trHeight w:val="172"/>
        </w:trPr>
        <w:tc>
          <w:tcPr>
            <w:tcW w:w="2580" w:type="dxa"/>
            <w:vAlign w:val="bottom"/>
          </w:tcPr>
          <w:p>
            <w:pPr>
              <w:spacing w:after="0"/>
              <w:rPr>
                <w:sz w:val="14"/>
                <w:szCs w:val="14"/>
                <w:color w:val="auto"/>
              </w:rPr>
            </w:pPr>
          </w:p>
        </w:tc>
        <w:tc>
          <w:tcPr>
            <w:tcW w:w="8800" w:type="dxa"/>
            <w:vAlign w:val="bottom"/>
          </w:tcPr>
          <w:p>
            <w:pPr>
              <w:jc w:val="center"/>
              <w:ind w:right="2458"/>
              <w:spacing w:after="0"/>
              <w:rPr>
                <w:sz w:val="20"/>
                <w:szCs w:val="20"/>
                <w:color w:val="auto"/>
              </w:rPr>
            </w:pPr>
            <w:r>
              <w:rPr>
                <w:rFonts w:ascii="Arial" w:cs="Arial" w:eastAsia="Arial" w:hAnsi="Arial"/>
                <w:sz w:val="14"/>
                <w:szCs w:val="14"/>
                <w:i w:val="1"/>
                <w:iCs w:val="1"/>
                <w:color w:val="auto"/>
                <w:w w:val="88"/>
              </w:rPr>
              <w:t>(Exact name of registrant as specified in its charter)</w:t>
            </w:r>
          </w:p>
        </w:tc>
      </w:tr>
      <w:tr>
        <w:trPr>
          <w:trHeight w:val="458"/>
        </w:trPr>
        <w:tc>
          <w:tcPr>
            <w:tcW w:w="258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Connecticut</w:t>
            </w:r>
          </w:p>
        </w:tc>
        <w:tc>
          <w:tcPr>
            <w:tcW w:w="8800" w:type="dxa"/>
            <w:vAlign w:val="bottom"/>
          </w:tcPr>
          <w:p>
            <w:pPr>
              <w:jc w:val="center"/>
              <w:ind w:left="7098"/>
              <w:spacing w:after="0"/>
              <w:rPr>
                <w:sz w:val="20"/>
                <w:szCs w:val="20"/>
                <w:color w:val="auto"/>
              </w:rPr>
            </w:pPr>
            <w:r>
              <w:rPr>
                <w:rFonts w:ascii="Arial" w:cs="Arial" w:eastAsia="Arial" w:hAnsi="Arial"/>
                <w:sz w:val="18"/>
                <w:szCs w:val="18"/>
                <w:b w:val="1"/>
                <w:bCs w:val="1"/>
                <w:color w:val="auto"/>
                <w:w w:val="89"/>
              </w:rPr>
              <w:t>06-0854886</w:t>
            </w:r>
          </w:p>
        </w:tc>
      </w:tr>
      <w:tr>
        <w:trPr>
          <w:trHeight w:val="243"/>
        </w:trPr>
        <w:tc>
          <w:tcPr>
            <w:tcW w:w="2580" w:type="dxa"/>
            <w:vAlign w:val="bottom"/>
          </w:tcPr>
          <w:p>
            <w:pPr>
              <w:jc w:val="center"/>
              <w:ind w:right="132"/>
              <w:spacing w:after="0"/>
              <w:rPr>
                <w:sz w:val="20"/>
                <w:szCs w:val="20"/>
                <w:color w:val="auto"/>
              </w:rPr>
            </w:pPr>
            <w:r>
              <w:rPr>
                <w:rFonts w:ascii="Arial" w:cs="Arial" w:eastAsia="Arial" w:hAnsi="Arial"/>
                <w:sz w:val="18"/>
                <w:szCs w:val="18"/>
                <w:i w:val="1"/>
                <w:iCs w:val="1"/>
                <w:color w:val="auto"/>
                <w:w w:val="91"/>
              </w:rPr>
              <w:t>(State or other jurisdiction</w:t>
            </w:r>
          </w:p>
        </w:tc>
        <w:tc>
          <w:tcPr>
            <w:tcW w:w="8800" w:type="dxa"/>
            <w:vAlign w:val="bottom"/>
          </w:tcPr>
          <w:p>
            <w:pPr>
              <w:jc w:val="center"/>
              <w:ind w:left="7098"/>
              <w:spacing w:after="0"/>
              <w:rPr>
                <w:sz w:val="20"/>
                <w:szCs w:val="20"/>
                <w:color w:val="auto"/>
              </w:rPr>
            </w:pPr>
            <w:r>
              <w:rPr>
                <w:rFonts w:ascii="Arial" w:cs="Arial" w:eastAsia="Arial" w:hAnsi="Arial"/>
                <w:sz w:val="18"/>
                <w:szCs w:val="18"/>
                <w:i w:val="1"/>
                <w:iCs w:val="1"/>
                <w:color w:val="auto"/>
                <w:w w:val="87"/>
              </w:rPr>
              <w:t>(IRS Employer</w:t>
            </w:r>
          </w:p>
        </w:tc>
      </w:tr>
      <w:tr>
        <w:trPr>
          <w:trHeight w:val="243"/>
        </w:trPr>
        <w:tc>
          <w:tcPr>
            <w:tcW w:w="2580" w:type="dxa"/>
            <w:vAlign w:val="bottom"/>
          </w:tcPr>
          <w:p>
            <w:pPr>
              <w:jc w:val="center"/>
              <w:ind w:right="132"/>
              <w:spacing w:after="0"/>
              <w:rPr>
                <w:sz w:val="20"/>
                <w:szCs w:val="20"/>
                <w:color w:val="auto"/>
              </w:rPr>
            </w:pPr>
            <w:r>
              <w:rPr>
                <w:rFonts w:ascii="Arial" w:cs="Arial" w:eastAsia="Arial" w:hAnsi="Arial"/>
                <w:sz w:val="18"/>
                <w:szCs w:val="18"/>
                <w:i w:val="1"/>
                <w:iCs w:val="1"/>
                <w:color w:val="auto"/>
                <w:w w:val="92"/>
              </w:rPr>
              <w:t>of incorporation or organization)</w:t>
            </w:r>
          </w:p>
        </w:tc>
        <w:tc>
          <w:tcPr>
            <w:tcW w:w="8800" w:type="dxa"/>
            <w:vAlign w:val="bottom"/>
          </w:tcPr>
          <w:p>
            <w:pPr>
              <w:jc w:val="center"/>
              <w:ind w:left="7098"/>
              <w:spacing w:after="0"/>
              <w:rPr>
                <w:sz w:val="20"/>
                <w:szCs w:val="20"/>
                <w:color w:val="auto"/>
              </w:rPr>
            </w:pPr>
            <w:r>
              <w:rPr>
                <w:rFonts w:ascii="Arial" w:cs="Arial" w:eastAsia="Arial" w:hAnsi="Arial"/>
                <w:sz w:val="18"/>
                <w:szCs w:val="18"/>
                <w:i w:val="1"/>
                <w:iCs w:val="1"/>
                <w:color w:val="auto"/>
                <w:w w:val="91"/>
              </w:rPr>
              <w:t>Identification Number)</w:t>
            </w:r>
          </w:p>
        </w:tc>
      </w:tr>
      <w:tr>
        <w:trPr>
          <w:trHeight w:val="464"/>
        </w:trPr>
        <w:tc>
          <w:tcPr>
            <w:tcW w:w="2580" w:type="dxa"/>
            <w:vAlign w:val="bottom"/>
          </w:tcPr>
          <w:p>
            <w:pPr>
              <w:spacing w:after="0"/>
              <w:rPr>
                <w:sz w:val="24"/>
                <w:szCs w:val="24"/>
                <w:color w:val="auto"/>
              </w:rPr>
            </w:pPr>
          </w:p>
        </w:tc>
        <w:tc>
          <w:tcPr>
            <w:tcW w:w="8800" w:type="dxa"/>
            <w:vAlign w:val="bottom"/>
          </w:tcPr>
          <w:p>
            <w:pPr>
              <w:jc w:val="center"/>
              <w:ind w:right="2438"/>
              <w:spacing w:after="0"/>
              <w:rPr>
                <w:sz w:val="20"/>
                <w:szCs w:val="20"/>
                <w:color w:val="auto"/>
              </w:rPr>
            </w:pPr>
            <w:r>
              <w:rPr>
                <w:rFonts w:ascii="Arial" w:cs="Arial" w:eastAsia="Arial" w:hAnsi="Arial"/>
                <w:sz w:val="18"/>
                <w:szCs w:val="18"/>
                <w:b w:val="1"/>
                <w:bCs w:val="1"/>
                <w:color w:val="auto"/>
                <w:w w:val="87"/>
              </w:rPr>
              <w:t>15 Secor Road, Brookfield, Connecticut 06804</w:t>
            </w:r>
          </w:p>
        </w:tc>
      </w:tr>
      <w:tr>
        <w:trPr>
          <w:trHeight w:val="172"/>
        </w:trPr>
        <w:tc>
          <w:tcPr>
            <w:tcW w:w="2580" w:type="dxa"/>
            <w:vAlign w:val="bottom"/>
          </w:tcPr>
          <w:p>
            <w:pPr>
              <w:spacing w:after="0"/>
              <w:rPr>
                <w:sz w:val="14"/>
                <w:szCs w:val="14"/>
                <w:color w:val="auto"/>
              </w:rPr>
            </w:pPr>
          </w:p>
        </w:tc>
        <w:tc>
          <w:tcPr>
            <w:tcW w:w="8800" w:type="dxa"/>
            <w:vAlign w:val="bottom"/>
          </w:tcPr>
          <w:p>
            <w:pPr>
              <w:jc w:val="center"/>
              <w:ind w:right="2458"/>
              <w:spacing w:after="0"/>
              <w:rPr>
                <w:sz w:val="20"/>
                <w:szCs w:val="20"/>
                <w:color w:val="auto"/>
              </w:rPr>
            </w:pPr>
            <w:r>
              <w:rPr>
                <w:rFonts w:ascii="Arial" w:cs="Arial" w:eastAsia="Arial" w:hAnsi="Arial"/>
                <w:sz w:val="14"/>
                <w:szCs w:val="14"/>
                <w:i w:val="1"/>
                <w:iCs w:val="1"/>
                <w:color w:val="auto"/>
                <w:w w:val="87"/>
              </w:rPr>
              <w:t>(Address of principal executive offices and zip code)</w:t>
            </w:r>
          </w:p>
        </w:tc>
      </w:tr>
      <w:tr>
        <w:trPr>
          <w:trHeight w:val="435"/>
        </w:trPr>
        <w:tc>
          <w:tcPr>
            <w:tcW w:w="2580" w:type="dxa"/>
            <w:vAlign w:val="bottom"/>
          </w:tcPr>
          <w:p>
            <w:pPr>
              <w:spacing w:after="0"/>
              <w:rPr>
                <w:sz w:val="24"/>
                <w:szCs w:val="24"/>
                <w:color w:val="auto"/>
              </w:rPr>
            </w:pPr>
          </w:p>
        </w:tc>
        <w:tc>
          <w:tcPr>
            <w:tcW w:w="8800" w:type="dxa"/>
            <w:vAlign w:val="bottom"/>
          </w:tcPr>
          <w:p>
            <w:pPr>
              <w:jc w:val="right"/>
              <w:ind w:right="5058"/>
              <w:spacing w:after="0"/>
              <w:rPr>
                <w:sz w:val="20"/>
                <w:szCs w:val="20"/>
                <w:color w:val="auto"/>
              </w:rPr>
            </w:pPr>
            <w:r>
              <w:rPr>
                <w:rFonts w:ascii="Arial" w:cs="Arial" w:eastAsia="Arial" w:hAnsi="Arial"/>
                <w:sz w:val="18"/>
                <w:szCs w:val="18"/>
                <w:b w:val="1"/>
                <w:bCs w:val="1"/>
                <w:color w:val="auto"/>
              </w:rPr>
              <w:t>(203) 775-9000</w:t>
            </w:r>
          </w:p>
        </w:tc>
      </w:tr>
      <w:tr>
        <w:trPr>
          <w:trHeight w:val="172"/>
        </w:trPr>
        <w:tc>
          <w:tcPr>
            <w:tcW w:w="2580" w:type="dxa"/>
            <w:vAlign w:val="bottom"/>
          </w:tcPr>
          <w:p>
            <w:pPr>
              <w:spacing w:after="0"/>
              <w:rPr>
                <w:sz w:val="14"/>
                <w:szCs w:val="14"/>
                <w:color w:val="auto"/>
              </w:rPr>
            </w:pPr>
          </w:p>
        </w:tc>
        <w:tc>
          <w:tcPr>
            <w:tcW w:w="8800" w:type="dxa"/>
            <w:vAlign w:val="bottom"/>
          </w:tcPr>
          <w:p>
            <w:pPr>
              <w:jc w:val="center"/>
              <w:ind w:right="2458"/>
              <w:spacing w:after="0"/>
              <w:rPr>
                <w:sz w:val="20"/>
                <w:szCs w:val="20"/>
                <w:color w:val="auto"/>
              </w:rPr>
            </w:pPr>
            <w:r>
              <w:rPr>
                <w:rFonts w:ascii="Arial" w:cs="Arial" w:eastAsia="Arial" w:hAnsi="Arial"/>
                <w:sz w:val="14"/>
                <w:szCs w:val="14"/>
                <w:i w:val="1"/>
                <w:iCs w:val="1"/>
                <w:color w:val="auto"/>
                <w:w w:val="86"/>
              </w:rPr>
              <w:t>(Registrant's telephone number, including area code)</w:t>
            </w:r>
          </w:p>
        </w:tc>
      </w:tr>
      <w:tr>
        <w:trPr>
          <w:trHeight w:val="438"/>
        </w:trPr>
        <w:tc>
          <w:tcPr>
            <w:tcW w:w="2580" w:type="dxa"/>
            <w:vAlign w:val="bottom"/>
          </w:tcPr>
          <w:p>
            <w:pPr>
              <w:spacing w:after="0"/>
              <w:rPr>
                <w:sz w:val="24"/>
                <w:szCs w:val="24"/>
                <w:color w:val="auto"/>
              </w:rPr>
            </w:pPr>
          </w:p>
        </w:tc>
        <w:tc>
          <w:tcPr>
            <w:tcW w:w="8800" w:type="dxa"/>
            <w:vAlign w:val="bottom"/>
          </w:tcPr>
          <w:p>
            <w:pPr>
              <w:jc w:val="center"/>
              <w:ind w:right="2458"/>
              <w:spacing w:after="0"/>
              <w:rPr>
                <w:sz w:val="20"/>
                <w:szCs w:val="20"/>
                <w:color w:val="auto"/>
              </w:rPr>
            </w:pPr>
            <w:r>
              <w:rPr>
                <w:rFonts w:ascii="Arial" w:cs="Arial" w:eastAsia="Arial" w:hAnsi="Arial"/>
                <w:sz w:val="18"/>
                <w:szCs w:val="18"/>
                <w:b w:val="1"/>
                <w:bCs w:val="1"/>
                <w:color w:val="auto"/>
                <w:w w:val="84"/>
              </w:rPr>
              <w:t>None</w:t>
            </w:r>
          </w:p>
        </w:tc>
      </w:tr>
      <w:tr>
        <w:trPr>
          <w:trHeight w:val="222"/>
        </w:trPr>
        <w:tc>
          <w:tcPr>
            <w:tcW w:w="2580" w:type="dxa"/>
            <w:vAlign w:val="bottom"/>
          </w:tcPr>
          <w:p>
            <w:pPr>
              <w:spacing w:after="0"/>
              <w:rPr>
                <w:sz w:val="19"/>
                <w:szCs w:val="19"/>
                <w:color w:val="auto"/>
              </w:rPr>
            </w:pPr>
          </w:p>
        </w:tc>
        <w:tc>
          <w:tcPr>
            <w:tcW w:w="8800" w:type="dxa"/>
            <w:vAlign w:val="bottom"/>
          </w:tcPr>
          <w:p>
            <w:pPr>
              <w:jc w:val="center"/>
              <w:ind w:right="2458"/>
              <w:spacing w:after="0"/>
              <w:rPr>
                <w:sz w:val="20"/>
                <w:szCs w:val="20"/>
                <w:color w:val="auto"/>
              </w:rPr>
            </w:pPr>
            <w:r>
              <w:rPr>
                <w:rFonts w:ascii="Arial" w:cs="Arial" w:eastAsia="Arial" w:hAnsi="Arial"/>
                <w:sz w:val="18"/>
                <w:szCs w:val="18"/>
                <w:i w:val="1"/>
                <w:iCs w:val="1"/>
                <w:color w:val="auto"/>
                <w:w w:val="89"/>
              </w:rPr>
              <w:t>(Former name, former address and formal fiscal year, if changed since last report)</w:t>
            </w:r>
          </w:p>
        </w:tc>
      </w:tr>
    </w:tbl>
    <w:p>
      <w:pPr>
        <w:spacing w:after="0" w:line="237"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x No o</w:t>
      </w:r>
    </w:p>
    <w:p>
      <w:pPr>
        <w:spacing w:after="0" w:line="246" w:lineRule="exact"/>
        <w:rPr>
          <w:sz w:val="24"/>
          <w:szCs w:val="24"/>
          <w:color w:val="auto"/>
        </w:rPr>
      </w:pPr>
    </w:p>
    <w:p>
      <w:pPr>
        <w:ind w:right="16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o No o</w:t>
      </w:r>
    </w:p>
    <w:p>
      <w:pPr>
        <w:spacing w:after="0" w:line="219"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Accelerated Filer </w:t>
      </w:r>
      <w:r>
        <w:rPr>
          <w:rFonts w:ascii="Arial" w:cs="Arial" w:eastAsia="Arial" w:hAnsi="Arial"/>
          <w:sz w:val="18"/>
          <w:szCs w:val="18"/>
          <w:b w:val="1"/>
          <w:bCs w:val="1"/>
          <w:color w:val="auto"/>
        </w:rPr>
        <w:t>x</w:t>
      </w:r>
      <w:r>
        <w:rPr>
          <w:rFonts w:ascii="Arial" w:cs="Arial" w:eastAsia="Arial" w:hAnsi="Arial"/>
          <w:sz w:val="18"/>
          <w:szCs w:val="18"/>
          <w:color w:val="auto"/>
        </w:rPr>
        <w:t xml:space="preserve"> Non-Accelerated Filer </w:t>
      </w:r>
      <w:r>
        <w:rPr>
          <w:rFonts w:ascii="Arial" w:cs="Arial" w:eastAsia="Arial" w:hAnsi="Arial"/>
          <w:sz w:val="18"/>
          <w:szCs w:val="18"/>
          <w:b w:val="1"/>
          <w:bCs w:val="1"/>
          <w:color w:val="auto"/>
        </w:rPr>
        <w:t>o</w:t>
      </w:r>
      <w:r>
        <w:rPr>
          <w:rFonts w:ascii="Arial" w:cs="Arial" w:eastAsia="Arial" w:hAnsi="Arial"/>
          <w:sz w:val="18"/>
          <w:szCs w:val="18"/>
          <w:color w:val="auto"/>
        </w:rPr>
        <w:t xml:space="preserve"> Smaller Reporting Company </w:t>
      </w:r>
      <w:r>
        <w:rPr>
          <w:rFonts w:ascii="Arial" w:cs="Arial" w:eastAsia="Arial" w:hAnsi="Arial"/>
          <w:sz w:val="18"/>
          <w:szCs w:val="18"/>
          <w:b w:val="1"/>
          <w:bCs w:val="1"/>
          <w:color w:val="auto"/>
        </w:rPr>
        <w:t>o</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840" w:type="dxa"/>
            <w:vAlign w:val="bottom"/>
          </w:tcPr>
          <w:p>
            <w:pPr>
              <w:jc w:val="center"/>
              <w:ind w:right="3332"/>
              <w:spacing w:after="0"/>
              <w:rPr>
                <w:sz w:val="20"/>
                <w:szCs w:val="20"/>
                <w:color w:val="auto"/>
              </w:rPr>
            </w:pPr>
            <w:r>
              <w:rPr>
                <w:rFonts w:ascii="Arial" w:cs="Arial" w:eastAsia="Arial" w:hAnsi="Arial"/>
                <w:sz w:val="18"/>
                <w:szCs w:val="18"/>
                <w:color w:val="auto"/>
                <w:w w:val="84"/>
              </w:rPr>
              <w:t>Class</w:t>
            </w:r>
          </w:p>
        </w:tc>
        <w:tc>
          <w:tcPr>
            <w:tcW w:w="5580" w:type="dxa"/>
            <w:vAlign w:val="bottom"/>
          </w:tcPr>
          <w:p>
            <w:pPr>
              <w:jc w:val="center"/>
              <w:ind w:left="3212"/>
              <w:spacing w:after="0"/>
              <w:rPr>
                <w:sz w:val="20"/>
                <w:szCs w:val="20"/>
                <w:color w:val="auto"/>
              </w:rPr>
            </w:pPr>
            <w:r>
              <w:rPr>
                <w:rFonts w:ascii="Arial" w:cs="Arial" w:eastAsia="Arial" w:hAnsi="Arial"/>
                <w:sz w:val="18"/>
                <w:szCs w:val="18"/>
                <w:color w:val="auto"/>
                <w:w w:val="86"/>
              </w:rPr>
              <w:t>Outstanding at June 1, 2011</w:t>
            </w:r>
          </w:p>
        </w:tc>
        <w:tc>
          <w:tcPr>
            <w:tcW w:w="20" w:type="dxa"/>
            <w:vAlign w:val="bottom"/>
          </w:tcPr>
          <w:p>
            <w:pPr>
              <w:spacing w:after="0"/>
              <w:rPr>
                <w:sz w:val="19"/>
                <w:szCs w:val="19"/>
                <w:color w:val="auto"/>
              </w:rPr>
            </w:pPr>
          </w:p>
        </w:tc>
      </w:tr>
      <w:tr>
        <w:trPr>
          <w:trHeight w:val="243"/>
        </w:trPr>
        <w:tc>
          <w:tcPr>
            <w:tcW w:w="5840" w:type="dxa"/>
            <w:vAlign w:val="bottom"/>
          </w:tcPr>
          <w:p>
            <w:pPr>
              <w:jc w:val="center"/>
              <w:ind w:right="3352"/>
              <w:spacing w:after="0"/>
              <w:rPr>
                <w:sz w:val="20"/>
                <w:szCs w:val="20"/>
                <w:color w:val="auto"/>
              </w:rPr>
            </w:pPr>
            <w:r>
              <w:rPr>
                <w:rFonts w:ascii="Arial" w:cs="Arial" w:eastAsia="Arial" w:hAnsi="Arial"/>
                <w:sz w:val="18"/>
                <w:szCs w:val="18"/>
                <w:b w:val="1"/>
                <w:bCs w:val="1"/>
                <w:color w:val="auto"/>
                <w:w w:val="88"/>
              </w:rPr>
              <w:t>Common Stock, $0.01 par value</w:t>
            </w:r>
          </w:p>
        </w:tc>
        <w:tc>
          <w:tcPr>
            <w:tcW w:w="5580" w:type="dxa"/>
            <w:vAlign w:val="bottom"/>
          </w:tcPr>
          <w:p>
            <w:pPr>
              <w:jc w:val="center"/>
              <w:ind w:left="3192"/>
              <w:spacing w:after="0"/>
              <w:rPr>
                <w:sz w:val="20"/>
                <w:szCs w:val="20"/>
                <w:color w:val="auto"/>
              </w:rPr>
            </w:pPr>
            <w:r>
              <w:rPr>
                <w:rFonts w:ascii="Arial" w:cs="Arial" w:eastAsia="Arial" w:hAnsi="Arial"/>
                <w:sz w:val="18"/>
                <w:szCs w:val="18"/>
                <w:b w:val="1"/>
                <w:bCs w:val="1"/>
                <w:color w:val="auto"/>
                <w:w w:val="86"/>
              </w:rPr>
              <w:t>58,785,077 Shares</w:t>
            </w:r>
          </w:p>
        </w:tc>
        <w:tc>
          <w:tcPr>
            <w:tcW w:w="20" w:type="dxa"/>
            <w:vAlign w:val="bottom"/>
          </w:tcPr>
          <w:p>
            <w:pPr>
              <w:spacing w:after="0"/>
              <w:rPr>
                <w:sz w:val="21"/>
                <w:szCs w:val="21"/>
                <w:color w:val="auto"/>
              </w:rPr>
            </w:pPr>
          </w:p>
        </w:tc>
      </w:tr>
      <w:tr>
        <w:trPr>
          <w:trHeight w:val="232"/>
        </w:trPr>
        <w:tc>
          <w:tcPr>
            <w:tcW w:w="5840" w:type="dxa"/>
            <w:vAlign w:val="bottom"/>
            <w:tcBorders>
              <w:bottom w:val="single" w:sz="8" w:color="9A9A9A"/>
            </w:tcBorders>
          </w:tcPr>
          <w:p>
            <w:pPr>
              <w:spacing w:after="0"/>
              <w:rPr>
                <w:sz w:val="20"/>
                <w:szCs w:val="20"/>
                <w:color w:val="auto"/>
              </w:rPr>
            </w:pPr>
          </w:p>
        </w:tc>
        <w:tc>
          <w:tcPr>
            <w:tcW w:w="5580" w:type="dxa"/>
            <w:vAlign w:val="bottom"/>
            <w:tcBorders>
              <w:bottom w:val="single" w:sz="8" w:color="9A9A9A"/>
            </w:tcBorders>
          </w:tcPr>
          <w:p>
            <w:pPr>
              <w:spacing w:after="0"/>
              <w:rPr>
                <w:sz w:val="20"/>
                <w:szCs w:val="20"/>
                <w:color w:val="auto"/>
              </w:rPr>
            </w:pPr>
          </w:p>
        </w:tc>
        <w:tc>
          <w:tcPr>
            <w:tcW w:w="20" w:type="dxa"/>
            <w:vAlign w:val="bottom"/>
          </w:tcPr>
          <w:p>
            <w:pPr>
              <w:spacing w:after="0"/>
              <w:rPr>
                <w:sz w:val="20"/>
                <w:szCs w:val="20"/>
                <w:color w:val="auto"/>
              </w:rPr>
            </w:pPr>
          </w:p>
        </w:tc>
      </w:tr>
      <w:tr>
        <w:trPr>
          <w:trHeight w:val="21"/>
        </w:trPr>
        <w:tc>
          <w:tcPr>
            <w:tcW w:w="5840" w:type="dxa"/>
            <w:vAlign w:val="bottom"/>
            <w:tcBorders>
              <w:bottom w:val="single" w:sz="8" w:color="EEEEEE"/>
            </w:tcBorders>
          </w:tcPr>
          <w:p>
            <w:pPr>
              <w:spacing w:after="0" w:line="20" w:lineRule="exact"/>
              <w:rPr>
                <w:sz w:val="1"/>
                <w:szCs w:val="1"/>
                <w:color w:val="auto"/>
              </w:rPr>
            </w:pPr>
          </w:p>
        </w:tc>
        <w:tc>
          <w:tcPr>
            <w:tcW w:w="55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2"/>
        </w:trPr>
        <w:tc>
          <w:tcPr>
            <w:tcW w:w="5840" w:type="dxa"/>
            <w:vAlign w:val="bottom"/>
            <w:tcBorders>
              <w:bottom w:val="single" w:sz="8" w:color="808080"/>
            </w:tcBorders>
          </w:tcPr>
          <w:p>
            <w:pPr>
              <w:spacing w:after="0"/>
              <w:rPr>
                <w:sz w:val="9"/>
                <w:szCs w:val="9"/>
                <w:color w:val="auto"/>
              </w:rPr>
            </w:pPr>
          </w:p>
        </w:tc>
        <w:tc>
          <w:tcPr>
            <w:tcW w:w="55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-133985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-133985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28" w:right="219" w:bottom="87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ind w:firstLine="270"/>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expressed or implied by such forward-looking statements.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place new equipment in service on a timely basis; obtain additional financing; achieve anticipated synergies and other cost savings in connection with acquisitions and productivity programs; fully utilize its tools; achieve desired yields, pricing, product mix, and market acceptance of its products; and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100" w:type="dxa"/>
            <w:vAlign w:val="bottom"/>
          </w:tcPr>
          <w:p>
            <w:pPr>
              <w:jc w:val="center"/>
              <w:ind w:right="492"/>
              <w:spacing w:after="0"/>
              <w:rPr>
                <w:sz w:val="20"/>
                <w:szCs w:val="20"/>
                <w:color w:val="auto"/>
              </w:rPr>
            </w:pPr>
            <w:r>
              <w:rPr>
                <w:rFonts w:ascii="Arial" w:cs="Arial" w:eastAsia="Arial" w:hAnsi="Arial"/>
                <w:sz w:val="18"/>
                <w:szCs w:val="18"/>
                <w:b w:val="1"/>
                <w:bCs w:val="1"/>
                <w:color w:val="auto"/>
                <w:w w:val="98"/>
              </w:rPr>
              <w:t>PHOTRONICS, INC.</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100" w:type="dxa"/>
            <w:vAlign w:val="bottom"/>
          </w:tcPr>
          <w:p>
            <w:pPr>
              <w:jc w:val="center"/>
              <w:ind w:right="512"/>
              <w:spacing w:after="0"/>
              <w:rPr>
                <w:sz w:val="20"/>
                <w:szCs w:val="20"/>
                <w:color w:val="auto"/>
              </w:rPr>
            </w:pPr>
            <w:r>
              <w:rPr>
                <w:rFonts w:ascii="Arial" w:cs="Arial" w:eastAsia="Arial" w:hAnsi="Arial"/>
                <w:sz w:val="18"/>
                <w:szCs w:val="18"/>
                <w:b w:val="1"/>
                <w:bCs w:val="1"/>
                <w:color w:val="auto"/>
                <w:w w:val="96"/>
              </w:rPr>
              <w:t>AND SUBSIDIARIES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100" w:type="dxa"/>
            <w:vAlign w:val="bottom"/>
          </w:tcPr>
          <w:p>
            <w:pPr>
              <w:jc w:val="center"/>
              <w:ind w:right="492"/>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PART I.</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8"/>
              </w:rPr>
              <w:t>Page</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color w:val="auto"/>
              </w:rPr>
              <w:t>Item 1.</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Condensed Consolidated Financial Statements</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0C0C0"/>
          </w:tcPr>
          <w:p>
            <w:pPr>
              <w:spacing w:after="0"/>
              <w:rPr>
                <w:sz w:val="19"/>
                <w:szCs w:val="19"/>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Condensed Consolidated Balance Sheets at</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May 1, 2011 and October 31, 2010</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0C0C0"/>
          </w:tcPr>
          <w:p>
            <w:pPr>
              <w:spacing w:after="0"/>
              <w:rPr>
                <w:sz w:val="19"/>
                <w:szCs w:val="19"/>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Condensed Consolidated Statements of Operations</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for the Three and Six Months Ended</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May 1, 2011 and May 2, 2010</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0C0C0"/>
          </w:tcPr>
          <w:p>
            <w:pPr>
              <w:spacing w:after="0"/>
              <w:rPr>
                <w:sz w:val="19"/>
                <w:szCs w:val="19"/>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Condensed Consolidated Statements of Cash Flows</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for the Six Months Ended</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May 1, 2011 and May 2, 2010</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Notes to Condensed Consolidated Financial Statements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color w:val="auto"/>
              </w:rPr>
              <w:t>Item 2.</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Management's Discussion and Analysis</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940" w:type="dxa"/>
            <w:vAlign w:val="bottom"/>
            <w:shd w:val="clear" w:color="auto" w:fill="C0C0C0"/>
          </w:tcPr>
          <w:p>
            <w:pPr>
              <w:spacing w:after="0"/>
              <w:rPr>
                <w:sz w:val="22"/>
                <w:szCs w:val="22"/>
                <w:color w:val="auto"/>
              </w:rPr>
            </w:pP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of Financial Condition and Results of Operations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color w:val="auto"/>
              </w:rPr>
              <w:t>Item 3.</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color w:val="auto"/>
              </w:rPr>
              <w:t>Item 4.</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4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PART II.</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color w:val="auto"/>
              </w:rPr>
              <w:t>Item 1A.</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shd w:val="clear" w:color="auto" w:fill="C0C0C0"/>
          </w:tcPr>
          <w:p>
            <w:pPr>
              <w:spacing w:after="0"/>
              <w:rPr>
                <w:sz w:val="20"/>
                <w:szCs w:val="20"/>
                <w:color w:val="auto"/>
              </w:rPr>
            </w:pPr>
            <w:r>
              <w:rPr>
                <w:rFonts w:ascii="Arial" w:cs="Arial" w:eastAsia="Arial" w:hAnsi="Arial"/>
                <w:sz w:val="18"/>
                <w:szCs w:val="18"/>
                <w:color w:val="auto"/>
              </w:rPr>
              <w:t>Item 6.</w:t>
            </w:r>
          </w:p>
        </w:tc>
        <w:tc>
          <w:tcPr>
            <w:tcW w:w="101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100" w:type="dxa"/>
            <w:vAlign w:val="bottom"/>
          </w:tcPr>
          <w:p>
            <w:pPr>
              <w:jc w:val="center"/>
              <w:ind w:right="492"/>
              <w:spacing w:after="0"/>
              <w:rPr>
                <w:sz w:val="20"/>
                <w:szCs w:val="20"/>
                <w:color w:val="auto"/>
              </w:rPr>
            </w:pPr>
            <w:r>
              <w:rPr>
                <w:rFonts w:ascii="Arial" w:cs="Arial" w:eastAsia="Arial" w:hAnsi="Arial"/>
                <w:sz w:val="18"/>
                <w:szCs w:val="18"/>
                <w:color w:val="auto"/>
                <w:w w:val="79"/>
              </w:rPr>
              <w:t>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b w:val="1"/>
                <w:bCs w:val="1"/>
                <w:color w:val="auto"/>
                <w:w w:val="97"/>
              </w:rPr>
              <w:t>PHOTRONICS, INC. AND SUBSIDIARIES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color w:val="auto"/>
                <w:w w:val="85"/>
              </w:rPr>
              <w:t>Condensed Consolidated Balance Sheets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i w:val="1"/>
                <w:iCs w:val="1"/>
                <w:color w:val="auto"/>
                <w:w w:val="90"/>
              </w:rPr>
              <w:t>(unaudited)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1,</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8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186,112</w:t>
            </w:r>
          </w:p>
        </w:tc>
        <w:tc>
          <w:tcPr>
            <w:tcW w:w="26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98,945</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Accounts receivable, net of allowance of $4,249 in 2011</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60" w:type="dxa"/>
            <w:vAlign w:val="bottom"/>
            <w:shd w:val="clear" w:color="auto" w:fill="C0C0C0"/>
          </w:tcPr>
          <w:p>
            <w:pPr>
              <w:ind w:left="600"/>
              <w:spacing w:after="0"/>
              <w:rPr>
                <w:sz w:val="20"/>
                <w:szCs w:val="20"/>
                <w:color w:val="auto"/>
              </w:rPr>
            </w:pPr>
            <w:r>
              <w:rPr>
                <w:rFonts w:ascii="Arial" w:cs="Arial" w:eastAsia="Arial" w:hAnsi="Arial"/>
                <w:sz w:val="18"/>
                <w:szCs w:val="18"/>
                <w:color w:val="auto"/>
              </w:rPr>
              <w:t>and $4,235 in 2010</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98,510</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82,951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27,904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1,238</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6,159</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319,923</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205,802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403,413</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369,814</w:t>
            </w: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72,001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61,127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44,951</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47,748</w:t>
            </w: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22,263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19,388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6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862,551</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703,879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860" w:type="dxa"/>
            <w:vAlign w:val="bottom"/>
            <w:tcBorders>
              <w:top w:val="single" w:sz="8" w:color="C0C0C0"/>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Current portion of long-term borrowings</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5,827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100,496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77,630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34,128</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140,451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119,229</w:t>
            </w:r>
          </w:p>
        </w:tc>
        <w:tc>
          <w:tcPr>
            <w:tcW w:w="0" w:type="dxa"/>
            <w:vAlign w:val="bottom"/>
          </w:tcPr>
          <w:p>
            <w:pPr>
              <w:spacing w:after="0"/>
              <w:rPr>
                <w:sz w:val="1"/>
                <w:szCs w:val="1"/>
                <w:color w:val="auto"/>
              </w:rPr>
            </w:pPr>
          </w:p>
        </w:tc>
      </w:tr>
      <w:tr>
        <w:trPr>
          <w:trHeight w:val="259"/>
        </w:trPr>
        <w:tc>
          <w:tcPr>
            <w:tcW w:w="888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159,558</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78,852</w:t>
            </w:r>
          </w:p>
        </w:tc>
        <w:tc>
          <w:tcPr>
            <w:tcW w:w="0" w:type="dxa"/>
            <w:vAlign w:val="bottom"/>
          </w:tcPr>
          <w:p>
            <w:pPr>
              <w:spacing w:after="0"/>
              <w:rPr>
                <w:sz w:val="1"/>
                <w:szCs w:val="1"/>
                <w:color w:val="auto"/>
              </w:rPr>
            </w:pPr>
          </w:p>
        </w:tc>
      </w:tr>
      <w:tr>
        <w:trPr>
          <w:trHeight w:val="235"/>
        </w:trPr>
        <w:tc>
          <w:tcPr>
            <w:tcW w:w="88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9,394</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309,936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207,936</w:t>
            </w:r>
          </w:p>
        </w:tc>
        <w:tc>
          <w:tcPr>
            <w:tcW w:w="0" w:type="dxa"/>
            <w:vAlign w:val="bottom"/>
          </w:tcPr>
          <w:p>
            <w:pPr>
              <w:spacing w:after="0"/>
              <w:rPr>
                <w:sz w:val="1"/>
                <w:szCs w:val="1"/>
                <w:color w:val="auto"/>
              </w:rPr>
            </w:pPr>
          </w:p>
        </w:tc>
      </w:tr>
      <w:tr>
        <w:trPr>
          <w:trHeight w:val="259"/>
        </w:trPr>
        <w:tc>
          <w:tcPr>
            <w:tcW w:w="888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Preferred stock, $0.01 par value,</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tcPr>
          <w:p>
            <w:pPr>
              <w:ind w:left="600"/>
              <w:spacing w:after="0"/>
              <w:rPr>
                <w:sz w:val="20"/>
                <w:szCs w:val="20"/>
                <w:color w:val="auto"/>
              </w:rPr>
            </w:pPr>
            <w:r>
              <w:rPr>
                <w:rFonts w:ascii="Arial" w:cs="Arial" w:eastAsia="Arial" w:hAnsi="Arial"/>
                <w:sz w:val="18"/>
                <w:szCs w:val="18"/>
                <w:color w:val="auto"/>
              </w:rPr>
              <w:t>2,000 shares authorized, none issued and outstanding</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Common stock, $0.01 par value,</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ind w:left="600"/>
              <w:spacing w:after="0"/>
              <w:rPr>
                <w:sz w:val="20"/>
                <w:szCs w:val="20"/>
                <w:color w:val="auto"/>
              </w:rPr>
            </w:pPr>
            <w:r>
              <w:rPr>
                <w:rFonts w:ascii="Arial" w:cs="Arial" w:eastAsia="Arial" w:hAnsi="Arial"/>
                <w:sz w:val="18"/>
                <w:szCs w:val="18"/>
                <w:color w:val="auto"/>
              </w:rPr>
              <w:t>150,000 shares authorized, 58,539 shares issued and outstanding</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60" w:type="dxa"/>
            <w:vAlign w:val="bottom"/>
            <w:shd w:val="clear" w:color="auto" w:fill="C0C0C0"/>
          </w:tcPr>
          <w:p>
            <w:pPr>
              <w:ind w:left="600"/>
              <w:spacing w:after="0"/>
              <w:rPr>
                <w:sz w:val="20"/>
                <w:szCs w:val="20"/>
                <w:color w:val="auto"/>
              </w:rPr>
            </w:pPr>
            <w:r>
              <w:rPr>
                <w:rFonts w:ascii="Arial" w:cs="Arial" w:eastAsia="Arial" w:hAnsi="Arial"/>
                <w:sz w:val="18"/>
                <w:szCs w:val="18"/>
                <w:color w:val="auto"/>
              </w:rPr>
              <w:t>at May 1, 2011 and 53,779 at October 31, 2010</w:t>
            </w: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585</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478,009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436,825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(6,951)</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23,991</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60" w:type="dxa"/>
            <w:vAlign w:val="bottom"/>
            <w:shd w:val="clear" w:color="auto" w:fill="C0C0C0"/>
          </w:tcPr>
          <w:p>
            <w:pPr>
              <w:ind w:left="300"/>
              <w:spacing w:after="0"/>
              <w:rPr>
                <w:sz w:val="20"/>
                <w:szCs w:val="20"/>
                <w:color w:val="auto"/>
              </w:rPr>
            </w:pPr>
            <w:r>
              <w:rPr>
                <w:rFonts w:ascii="Arial" w:cs="Arial" w:eastAsia="Arial" w:hAnsi="Arial"/>
                <w:sz w:val="18"/>
                <w:szCs w:val="18"/>
                <w:color w:val="auto"/>
              </w:rPr>
              <w:t>Total Photronics, Inc. shareholders' equity</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495,634</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441,801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Borders>
              <w:bottom w:val="single" w:sz="8" w:color="C0C0C0"/>
            </w:tcBorders>
          </w:tcPr>
          <w:p>
            <w:pPr>
              <w:ind w:left="30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56,981</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54,142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shd w:val="clear" w:color="auto" w:fill="C0C0C0"/>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0C0C0"/>
          </w:tcPr>
          <w:p>
            <w:pPr>
              <w:spacing w:after="0"/>
              <w:rPr>
                <w:sz w:val="20"/>
                <w:szCs w:val="20"/>
                <w:color w:val="auto"/>
              </w:rPr>
            </w:pPr>
          </w:p>
        </w:tc>
        <w:tc>
          <w:tcPr>
            <w:tcW w:w="160" w:type="dxa"/>
            <w:vAlign w:val="bottom"/>
            <w:tcBorders>
              <w:bottom w:val="single" w:sz="8" w:color="auto"/>
            </w:tcBorders>
            <w:shd w:val="clear" w:color="auto" w:fill="C0C0C0"/>
          </w:tcPr>
          <w:p>
            <w:pPr>
              <w:spacing w:after="0"/>
              <w:rPr>
                <w:sz w:val="20"/>
                <w:szCs w:val="20"/>
                <w:color w:val="auto"/>
              </w:rPr>
            </w:pPr>
          </w:p>
        </w:tc>
        <w:tc>
          <w:tcPr>
            <w:tcW w:w="8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552,615</w:t>
            </w:r>
          </w:p>
        </w:tc>
        <w:tc>
          <w:tcPr>
            <w:tcW w:w="2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495,943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862,551</w:t>
            </w:r>
          </w:p>
        </w:tc>
        <w:tc>
          <w:tcPr>
            <w:tcW w:w="26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703,879</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2220" w:type="dxa"/>
            <w:vAlign w:val="bottom"/>
            <w:gridSpan w:val="2"/>
          </w:tcPr>
          <w:p>
            <w:pPr>
              <w:jc w:val="right"/>
              <w:ind w:right="600"/>
              <w:spacing w:after="0"/>
              <w:rPr>
                <w:sz w:val="20"/>
                <w:szCs w:val="20"/>
                <w:color w:val="auto"/>
              </w:rPr>
            </w:pPr>
            <w:r>
              <w:rPr>
                <w:rFonts w:ascii="Arial" w:cs="Arial" w:eastAsia="Arial" w:hAnsi="Arial"/>
                <w:sz w:val="18"/>
                <w:szCs w:val="18"/>
                <w:i w:val="1"/>
                <w:iCs w:val="1"/>
                <w:color w:val="auto"/>
              </w:rPr>
              <w:t>(unaudited)</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48"/>
        </w:trPr>
        <w:tc>
          <w:tcPr>
            <w:tcW w:w="4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8"/>
                <w:szCs w:val="18"/>
                <w:b w:val="1"/>
                <w:bCs w:val="1"/>
                <w:color w:val="auto"/>
                <w:w w:val="97"/>
              </w:rPr>
              <w:t>Three Months Ended</w:t>
            </w: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4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May 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52"/>
              <w:spacing w:after="0"/>
              <w:rPr>
                <w:sz w:val="20"/>
                <w:szCs w:val="20"/>
                <w:color w:val="auto"/>
              </w:rPr>
            </w:pPr>
            <w:r>
              <w:rPr>
                <w:rFonts w:ascii="Arial" w:cs="Arial" w:eastAsia="Arial" w:hAnsi="Arial"/>
                <w:sz w:val="18"/>
                <w:szCs w:val="18"/>
                <w:b w:val="1"/>
                <w:bCs w:val="1"/>
                <w:color w:val="auto"/>
              </w:rPr>
              <w:t>May 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May 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May 2,</w:t>
            </w:r>
          </w:p>
        </w:tc>
      </w:tr>
      <w:tr>
        <w:trPr>
          <w:trHeight w:val="251"/>
        </w:trPr>
        <w:tc>
          <w:tcPr>
            <w:tcW w:w="4500" w:type="dxa"/>
            <w:vAlign w:val="bottom"/>
            <w:tcBorders>
              <w:bottom w:val="single" w:sz="8" w:color="C0C0C0"/>
            </w:tcBorders>
          </w:tcPr>
          <w:p>
            <w:pPr>
              <w:spacing w:after="0"/>
              <w:rPr>
                <w:sz w:val="21"/>
                <w:szCs w:val="21"/>
                <w:color w:val="auto"/>
              </w:rPr>
            </w:pPr>
          </w:p>
        </w:tc>
        <w:tc>
          <w:tcPr>
            <w:tcW w:w="20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r>
      <w:tr>
        <w:trPr>
          <w:trHeight w:val="243"/>
        </w:trPr>
        <w:tc>
          <w:tcPr>
            <w:tcW w:w="450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22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133,103</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105,070</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253,926</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203,267</w:t>
            </w: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500" w:type="dxa"/>
            <w:vAlign w:val="bottom"/>
            <w:shd w:val="clear" w:color="auto" w:fill="C0C0C0"/>
          </w:tcPr>
          <w:p>
            <w:pPr>
              <w:spacing w:after="0"/>
              <w:rPr>
                <w:sz w:val="20"/>
                <w:szCs w:val="20"/>
                <w:color w:val="auto"/>
              </w:rPr>
            </w:pPr>
            <w:r>
              <w:rPr>
                <w:rFonts w:ascii="Arial" w:cs="Arial" w:eastAsia="Arial" w:hAnsi="Arial"/>
                <w:sz w:val="18"/>
                <w:szCs w:val="18"/>
                <w:color w:val="auto"/>
              </w:rPr>
              <w:t>Costs and expenses:</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Cost of sales</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(96,617)</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(82,980)</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(186,845)</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(163,000)</w:t>
            </w: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(11,448)</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(10,870)</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(22,162)</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(21,018)</w:t>
            </w: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Research and development</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(3,940)</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(3,601)</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(7,711)</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(7,556)</w:t>
            </w:r>
          </w:p>
        </w:tc>
      </w:tr>
      <w:tr>
        <w:trPr>
          <w:trHeight w:val="493"/>
        </w:trPr>
        <w:tc>
          <w:tcPr>
            <w:tcW w:w="45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Consolidation, restructuring and related credits</w:t>
            </w:r>
          </w:p>
        </w:tc>
        <w:tc>
          <w:tcPr>
            <w:tcW w:w="2060" w:type="dxa"/>
            <w:vAlign w:val="bottom"/>
            <w:tcBorders>
              <w:bottom w:val="single" w:sz="8" w:color="C0C0C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5,029</w:t>
            </w:r>
          </w:p>
        </w:tc>
        <w:tc>
          <w:tcPr>
            <w:tcW w:w="280" w:type="dxa"/>
            <w:vAlign w:val="bottom"/>
            <w:tcBorders>
              <w:bottom w:val="single" w:sz="8" w:color="C0C0C0"/>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4,836</w:t>
            </w:r>
          </w:p>
        </w:tc>
      </w:tr>
      <w:tr>
        <w:trPr>
          <w:trHeight w:val="243"/>
        </w:trPr>
        <w:tc>
          <w:tcPr>
            <w:tcW w:w="4500" w:type="dxa"/>
            <w:vAlign w:val="bottom"/>
            <w:shd w:val="clear" w:color="auto" w:fill="C0C0C0"/>
          </w:tcPr>
          <w:p>
            <w:pPr>
              <w:spacing w:after="0"/>
              <w:rPr>
                <w:sz w:val="20"/>
                <w:szCs w:val="20"/>
                <w:color w:val="auto"/>
              </w:rPr>
            </w:pPr>
            <w:r>
              <w:rPr>
                <w:rFonts w:ascii="Arial" w:cs="Arial" w:eastAsia="Arial" w:hAnsi="Arial"/>
                <w:sz w:val="18"/>
                <w:szCs w:val="18"/>
                <w:color w:val="auto"/>
              </w:rPr>
              <w:t>Operating income</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21,098</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12,648</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37,208</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16,529</w:t>
            </w: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50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r>
      <w:tr>
        <w:trPr>
          <w:trHeight w:val="235"/>
        </w:trPr>
        <w:tc>
          <w:tcPr>
            <w:tcW w:w="4500" w:type="dxa"/>
            <w:vAlign w:val="bottom"/>
          </w:tcPr>
          <w:p>
            <w:pPr>
              <w:ind w:left="620"/>
              <w:spacing w:after="0"/>
              <w:rPr>
                <w:sz w:val="20"/>
                <w:szCs w:val="20"/>
                <w:color w:val="auto"/>
              </w:rPr>
            </w:pPr>
            <w:r>
              <w:rPr>
                <w:rFonts w:ascii="Arial" w:cs="Arial" w:eastAsia="Arial" w:hAnsi="Arial"/>
                <w:sz w:val="18"/>
                <w:szCs w:val="18"/>
                <w:color w:val="auto"/>
              </w:rPr>
              <w:t>Debt extinguishment loss</w:t>
            </w: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(30,286)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(30,286)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45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(3,059)</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(3,592)</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(5,981)</w:t>
            </w:r>
          </w:p>
        </w:tc>
      </w:tr>
      <w:tr>
        <w:trPr>
          <w:trHeight w:val="237"/>
        </w:trPr>
        <w:tc>
          <w:tcPr>
            <w:tcW w:w="4500" w:type="dxa"/>
            <w:vAlign w:val="bottom"/>
            <w:tcBorders>
              <w:bottom w:val="single" w:sz="8" w:color="C0C0C0"/>
            </w:tcBorders>
          </w:tcPr>
          <w:p>
            <w:pPr>
              <w:ind w:left="620"/>
              <w:spacing w:after="0"/>
              <w:rPr>
                <w:sz w:val="20"/>
                <w:szCs w:val="20"/>
                <w:color w:val="auto"/>
              </w:rPr>
            </w:pPr>
            <w:r>
              <w:rPr>
                <w:rFonts w:ascii="Arial" w:cs="Arial" w:eastAsia="Arial" w:hAnsi="Arial"/>
                <w:sz w:val="18"/>
                <w:szCs w:val="18"/>
                <w:color w:val="auto"/>
              </w:rPr>
              <w:t>Investment and other income (expense), net</w:t>
            </w:r>
          </w:p>
        </w:tc>
        <w:tc>
          <w:tcPr>
            <w:tcW w:w="20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876</w:t>
            </w:r>
          </w:p>
        </w:tc>
        <w:tc>
          <w:tcPr>
            <w:tcW w:w="28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28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1,345</w:t>
            </w:r>
          </w:p>
        </w:tc>
      </w:tr>
      <w:tr>
        <w:trPr>
          <w:trHeight w:val="243"/>
        </w:trPr>
        <w:tc>
          <w:tcPr>
            <w:tcW w:w="45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Income (loss) before income taxes</w:t>
            </w:r>
          </w:p>
        </w:tc>
        <w:tc>
          <w:tcPr>
            <w:tcW w:w="20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(11,773)</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10,465</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5,293</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11,893</w:t>
            </w: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50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w:t>
            </w:r>
          </w:p>
        </w:tc>
        <w:tc>
          <w:tcPr>
            <w:tcW w:w="20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(3,260)</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(6,742)</w:t>
            </w:r>
          </w:p>
        </w:tc>
        <w:tc>
          <w:tcPr>
            <w:tcW w:w="28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(2,880)</w:t>
            </w:r>
          </w:p>
        </w:tc>
      </w:tr>
      <w:tr>
        <w:trPr>
          <w:trHeight w:val="221"/>
        </w:trPr>
        <w:tc>
          <w:tcPr>
            <w:tcW w:w="4500" w:type="dxa"/>
            <w:vAlign w:val="bottom"/>
          </w:tcPr>
          <w:p>
            <w:pPr>
              <w:ind w:left="620"/>
              <w:spacing w:after="0"/>
              <w:rPr>
                <w:sz w:val="20"/>
                <w:szCs w:val="20"/>
                <w:color w:val="auto"/>
              </w:rPr>
            </w:pPr>
            <w:r>
              <w:rPr>
                <w:rFonts w:ascii="Arial" w:cs="Arial" w:eastAsia="Arial" w:hAnsi="Arial"/>
                <w:sz w:val="18"/>
                <w:szCs w:val="18"/>
                <w:color w:val="auto"/>
              </w:rPr>
              <w:t>Net income (loss)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8,605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9,013</w:t>
            </w:r>
          </w:p>
        </w:tc>
      </w:tr>
      <w:tr>
        <w:trPr>
          <w:trHeight w:val="259"/>
        </w:trPr>
        <w:tc>
          <w:tcPr>
            <w:tcW w:w="45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8"/>
        </w:trPr>
        <w:tc>
          <w:tcPr>
            <w:tcW w:w="4500" w:type="dxa"/>
            <w:vAlign w:val="bottom"/>
            <w:shd w:val="clear" w:color="auto" w:fill="C0C0C0"/>
          </w:tcPr>
          <w:p>
            <w:pPr>
              <w:spacing w:after="0"/>
              <w:rPr>
                <w:sz w:val="20"/>
                <w:szCs w:val="20"/>
                <w:color w:val="auto"/>
              </w:rPr>
            </w:pPr>
            <w:r>
              <w:rPr>
                <w:rFonts w:ascii="Arial" w:cs="Arial" w:eastAsia="Arial" w:hAnsi="Arial"/>
                <w:sz w:val="18"/>
                <w:szCs w:val="18"/>
                <w:color w:val="auto"/>
              </w:rPr>
              <w:t>Net income attributable to</w:t>
            </w:r>
          </w:p>
        </w:tc>
        <w:tc>
          <w:tcPr>
            <w:tcW w:w="20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60" w:type="dxa"/>
            <w:vAlign w:val="bottom"/>
            <w:shd w:val="clear" w:color="auto" w:fill="C0C0C0"/>
          </w:tcPr>
          <w:p>
            <w:pPr>
              <w:spacing w:after="0"/>
              <w:rPr>
                <w:sz w:val="19"/>
                <w:szCs w:val="19"/>
                <w:color w:val="auto"/>
              </w:rPr>
            </w:pPr>
          </w:p>
        </w:tc>
      </w:tr>
      <w:tr>
        <w:trPr>
          <w:trHeight w:val="259"/>
        </w:trPr>
        <w:tc>
          <w:tcPr>
            <w:tcW w:w="4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noncontrolling interests</w:t>
            </w:r>
          </w:p>
        </w:tc>
        <w:tc>
          <w:tcPr>
            <w:tcW w:w="2060" w:type="dxa"/>
            <w:vAlign w:val="bottom"/>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(1,405)</w:t>
            </w:r>
          </w:p>
        </w:tc>
        <w:tc>
          <w:tcPr>
            <w:tcW w:w="280" w:type="dxa"/>
            <w:vAlign w:val="bottom"/>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(2,878)</w:t>
            </w:r>
          </w:p>
        </w:tc>
        <w:tc>
          <w:tcPr>
            <w:tcW w:w="280" w:type="dxa"/>
            <w:vAlign w:val="bottom"/>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(927)</w:t>
            </w:r>
          </w:p>
        </w:tc>
      </w:tr>
      <w:tr>
        <w:trPr>
          <w:trHeight w:val="221"/>
        </w:trPr>
        <w:tc>
          <w:tcPr>
            <w:tcW w:w="450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6"/>
        </w:trPr>
        <w:tc>
          <w:tcPr>
            <w:tcW w:w="4500" w:type="dxa"/>
            <w:vAlign w:val="bottom"/>
          </w:tcPr>
          <w:p>
            <w:pPr>
              <w:ind w:left="320"/>
              <w:spacing w:after="0"/>
              <w:rPr>
                <w:sz w:val="20"/>
                <w:szCs w:val="20"/>
                <w:color w:val="auto"/>
              </w:rPr>
            </w:pPr>
            <w:r>
              <w:rPr>
                <w:rFonts w:ascii="Arial" w:cs="Arial" w:eastAsia="Arial" w:hAnsi="Arial"/>
                <w:sz w:val="18"/>
                <w:szCs w:val="18"/>
                <w:color w:val="auto"/>
              </w:rPr>
              <w:t>Photronics, Inc.</w:t>
            </w:r>
          </w:p>
        </w:tc>
        <w:tc>
          <w:tcPr>
            <w:tcW w:w="2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(16,438)</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7,873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(4,327)</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8,086</w:t>
            </w:r>
          </w:p>
        </w:tc>
      </w:tr>
      <w:tr>
        <w:trPr>
          <w:trHeight w:val="243"/>
        </w:trPr>
        <w:tc>
          <w:tcPr>
            <w:tcW w:w="45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Earnings (loss) per share:</w:t>
            </w:r>
          </w:p>
        </w:tc>
        <w:tc>
          <w:tcPr>
            <w:tcW w:w="206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82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180" w:type="dxa"/>
            <w:vAlign w:val="bottom"/>
            <w:tcBorders>
              <w:top w:val="single" w:sz="8" w:color="auto"/>
            </w:tcBorders>
            <w:shd w:val="clear" w:color="auto" w:fill="C0C0C0"/>
          </w:tcPr>
          <w:p>
            <w:pPr>
              <w:spacing w:after="0"/>
              <w:rPr>
                <w:sz w:val="21"/>
                <w:szCs w:val="21"/>
                <w:color w:val="auto"/>
              </w:rPr>
            </w:pPr>
          </w:p>
        </w:tc>
        <w:tc>
          <w:tcPr>
            <w:tcW w:w="860" w:type="dxa"/>
            <w:vAlign w:val="bottom"/>
            <w:tcBorders>
              <w:top w:val="single" w:sz="8" w:color="auto"/>
            </w:tcBorders>
            <w:shd w:val="clear" w:color="auto" w:fill="C0C0C0"/>
          </w:tcPr>
          <w:p>
            <w:pPr>
              <w:spacing w:after="0"/>
              <w:rPr>
                <w:sz w:val="21"/>
                <w:szCs w:val="21"/>
                <w:color w:val="auto"/>
              </w:rPr>
            </w:pP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2"/>
        </w:trPr>
        <w:tc>
          <w:tcPr>
            <w:tcW w:w="45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Basic</w:t>
            </w:r>
          </w:p>
        </w:tc>
        <w:tc>
          <w:tcPr>
            <w:tcW w:w="22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(0.30)</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0.15</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0.15</w:t>
            </w:r>
          </w:p>
        </w:tc>
      </w:tr>
      <w:tr>
        <w:trPr>
          <w:trHeight w:val="28"/>
        </w:trPr>
        <w:tc>
          <w:tcPr>
            <w:tcW w:w="4500" w:type="dxa"/>
            <w:vAlign w:val="bottom"/>
            <w:shd w:val="clear" w:color="auto" w:fill="C0C0C0"/>
          </w:tcPr>
          <w:p>
            <w:pPr>
              <w:spacing w:after="0"/>
              <w:rPr>
                <w:sz w:val="2"/>
                <w:szCs w:val="2"/>
                <w:color w:val="auto"/>
              </w:rPr>
            </w:pPr>
          </w:p>
        </w:tc>
        <w:tc>
          <w:tcPr>
            <w:tcW w:w="206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250"/>
        </w:trPr>
        <w:tc>
          <w:tcPr>
            <w:tcW w:w="4500" w:type="dxa"/>
            <w:vAlign w:val="bottom"/>
          </w:tcPr>
          <w:p>
            <w:pPr>
              <w:ind w:left="620"/>
              <w:spacing w:after="0"/>
              <w:rPr>
                <w:sz w:val="20"/>
                <w:szCs w:val="20"/>
                <w:color w:val="auto"/>
              </w:rPr>
            </w:pPr>
            <w:r>
              <w:rPr>
                <w:rFonts w:ascii="Arial" w:cs="Arial" w:eastAsia="Arial" w:hAnsi="Arial"/>
                <w:sz w:val="18"/>
                <w:szCs w:val="18"/>
                <w:color w:val="auto"/>
              </w:rPr>
              <w:t>Diluted</w:t>
            </w:r>
          </w:p>
        </w:tc>
        <w:tc>
          <w:tcPr>
            <w:tcW w:w="2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0.14</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0.15</w:t>
            </w:r>
          </w:p>
        </w:tc>
      </w:tr>
      <w:tr>
        <w:trPr>
          <w:trHeight w:val="228"/>
        </w:trPr>
        <w:tc>
          <w:tcPr>
            <w:tcW w:w="45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Weighted-average number of common shares</w:t>
            </w:r>
          </w:p>
        </w:tc>
        <w:tc>
          <w:tcPr>
            <w:tcW w:w="206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6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80" w:type="dxa"/>
            <w:vAlign w:val="bottom"/>
            <w:tcBorders>
              <w:top w:val="single" w:sz="8" w:color="auto"/>
            </w:tcBorders>
            <w:shd w:val="clear" w:color="auto" w:fill="C0C0C0"/>
          </w:tcPr>
          <w:p>
            <w:pPr>
              <w:spacing w:after="0"/>
              <w:rPr>
                <w:sz w:val="19"/>
                <w:szCs w:val="19"/>
                <w:color w:val="auto"/>
              </w:rPr>
            </w:pPr>
          </w:p>
        </w:tc>
        <w:tc>
          <w:tcPr>
            <w:tcW w:w="860" w:type="dxa"/>
            <w:vAlign w:val="bottom"/>
            <w:tcBorders>
              <w:top w:val="single" w:sz="8" w:color="auto"/>
            </w:tcBorders>
            <w:shd w:val="clear" w:color="auto" w:fill="C0C0C0"/>
          </w:tcPr>
          <w:p>
            <w:pPr>
              <w:spacing w:after="0"/>
              <w:rPr>
                <w:sz w:val="19"/>
                <w:szCs w:val="19"/>
                <w:color w:val="auto"/>
              </w:rPr>
            </w:pPr>
          </w:p>
        </w:tc>
      </w:tr>
      <w:tr>
        <w:trPr>
          <w:trHeight w:val="259"/>
        </w:trPr>
        <w:tc>
          <w:tcPr>
            <w:tcW w:w="45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outstanding:</w:t>
            </w:r>
          </w:p>
        </w:tc>
        <w:tc>
          <w:tcPr>
            <w:tcW w:w="20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860" w:type="dxa"/>
            <w:vAlign w:val="bottom"/>
            <w:shd w:val="clear" w:color="auto" w:fill="C0C0C0"/>
          </w:tcPr>
          <w:p>
            <w:pPr>
              <w:spacing w:after="0"/>
              <w:rPr>
                <w:sz w:val="22"/>
                <w:szCs w:val="22"/>
                <w:color w:val="auto"/>
              </w:rPr>
            </w:pPr>
          </w:p>
        </w:tc>
      </w:tr>
      <w:tr>
        <w:trPr>
          <w:trHeight w:val="243"/>
        </w:trPr>
        <w:tc>
          <w:tcPr>
            <w:tcW w:w="4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0"/>
        </w:trPr>
        <w:tc>
          <w:tcPr>
            <w:tcW w:w="4500" w:type="dxa"/>
            <w:vAlign w:val="bottom"/>
            <w:tcBorders>
              <w:bottom w:val="single" w:sz="8" w:color="C0C0C0"/>
            </w:tcBorders>
            <w:shd w:val="clear" w:color="auto" w:fill="C0C0C0"/>
          </w:tcPr>
          <w:p>
            <w:pPr>
              <w:ind w:left="620"/>
              <w:spacing w:after="0"/>
              <w:rPr>
                <w:sz w:val="20"/>
                <w:szCs w:val="20"/>
                <w:color w:val="auto"/>
              </w:rPr>
            </w:pPr>
            <w:r>
              <w:rPr>
                <w:rFonts w:ascii="Arial" w:cs="Arial" w:eastAsia="Arial" w:hAnsi="Arial"/>
                <w:sz w:val="18"/>
                <w:szCs w:val="18"/>
                <w:color w:val="auto"/>
              </w:rPr>
              <w:t>Basic</w:t>
            </w:r>
          </w:p>
        </w:tc>
        <w:tc>
          <w:tcPr>
            <w:tcW w:w="206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55,685</w:t>
            </w:r>
          </w:p>
        </w:tc>
        <w:tc>
          <w:tcPr>
            <w:tcW w:w="28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53,405</w:t>
            </w:r>
          </w:p>
        </w:tc>
        <w:tc>
          <w:tcPr>
            <w:tcW w:w="280" w:type="dxa"/>
            <w:vAlign w:val="bottom"/>
            <w:tcBorders>
              <w:bottom w:val="single" w:sz="8" w:color="C0C0C0"/>
            </w:tcBorders>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54,751</w:t>
            </w:r>
          </w:p>
        </w:tc>
        <w:tc>
          <w:tcPr>
            <w:tcW w:w="28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53,253</w:t>
            </w:r>
          </w:p>
        </w:tc>
      </w:tr>
      <w:tr>
        <w:trPr>
          <w:trHeight w:val="250"/>
        </w:trPr>
        <w:tc>
          <w:tcPr>
            <w:tcW w:w="4500" w:type="dxa"/>
            <w:vAlign w:val="bottom"/>
          </w:tcPr>
          <w:p>
            <w:pPr>
              <w:ind w:left="620"/>
              <w:spacing w:after="0"/>
              <w:rPr>
                <w:sz w:val="20"/>
                <w:szCs w:val="20"/>
                <w:color w:val="auto"/>
              </w:rPr>
            </w:pPr>
            <w:r>
              <w:rPr>
                <w:rFonts w:ascii="Arial" w:cs="Arial" w:eastAsia="Arial" w:hAnsi="Arial"/>
                <w:sz w:val="18"/>
                <w:szCs w:val="18"/>
                <w:color w:val="auto"/>
              </w:rPr>
              <w:t>Diluted</w:t>
            </w:r>
          </w:p>
        </w:tc>
        <w:tc>
          <w:tcPr>
            <w:tcW w:w="20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55,685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65,780</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54,291</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40" w:type="dxa"/>
            <w:vAlign w:val="bottom"/>
          </w:tcPr>
          <w:p>
            <w:pPr>
              <w:spacing w:after="0"/>
              <w:rPr>
                <w:sz w:val="19"/>
                <w:szCs w:val="19"/>
                <w:color w:val="auto"/>
              </w:rPr>
            </w:pPr>
          </w:p>
        </w:tc>
        <w:tc>
          <w:tcPr>
            <w:tcW w:w="4420" w:type="dxa"/>
            <w:vAlign w:val="bottom"/>
            <w:gridSpan w:val="2"/>
          </w:tcPr>
          <w:p>
            <w:pPr>
              <w:jc w:val="right"/>
              <w:ind w:right="3240"/>
              <w:spacing w:after="0"/>
              <w:rPr>
                <w:sz w:val="20"/>
                <w:szCs w:val="20"/>
                <w:color w:val="auto"/>
              </w:rPr>
            </w:pPr>
            <w:r>
              <w:rPr>
                <w:rFonts w:ascii="Arial" w:cs="Arial" w:eastAsia="Arial" w:hAnsi="Arial"/>
                <w:sz w:val="18"/>
                <w:szCs w:val="18"/>
                <w:i w:val="1"/>
                <w:iCs w:val="1"/>
                <w:color w:val="auto"/>
              </w:rPr>
              <w:t>(unaudited)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48"/>
        </w:trPr>
        <w:tc>
          <w:tcPr>
            <w:tcW w:w="49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494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May 1,</w:t>
            </w:r>
          </w:p>
        </w:tc>
        <w:tc>
          <w:tcPr>
            <w:tcW w:w="1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b w:val="1"/>
                <w:bCs w:val="1"/>
                <w:color w:val="auto"/>
              </w:rPr>
              <w:t>May 2,</w:t>
            </w:r>
          </w:p>
        </w:tc>
      </w:tr>
      <w:tr>
        <w:trPr>
          <w:trHeight w:val="251"/>
        </w:trPr>
        <w:tc>
          <w:tcPr>
            <w:tcW w:w="4940" w:type="dxa"/>
            <w:vAlign w:val="bottom"/>
            <w:tcBorders>
              <w:bottom w:val="single" w:sz="8" w:color="C0C0C0"/>
            </w:tcBorders>
          </w:tcPr>
          <w:p>
            <w:pPr>
              <w:spacing w:after="0"/>
              <w:rPr>
                <w:sz w:val="21"/>
                <w:szCs w:val="21"/>
                <w:color w:val="auto"/>
              </w:rPr>
            </w:pPr>
          </w:p>
        </w:tc>
        <w:tc>
          <w:tcPr>
            <w:tcW w:w="4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94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4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9,013</w:t>
            </w:r>
          </w:p>
        </w:tc>
      </w:tr>
      <w:tr>
        <w:trPr>
          <w:trHeight w:val="235"/>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Adjustments to reconcile net income (loss)</w:t>
            </w:r>
          </w:p>
        </w:tc>
        <w:tc>
          <w:tcPr>
            <w:tcW w:w="4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59"/>
        </w:trPr>
        <w:tc>
          <w:tcPr>
            <w:tcW w:w="49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 net cash provided by operating activities:</w:t>
            </w:r>
          </w:p>
        </w:tc>
        <w:tc>
          <w:tcPr>
            <w:tcW w:w="42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7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r>
      <w:tr>
        <w:trPr>
          <w:trHeight w:val="235"/>
        </w:trPr>
        <w:tc>
          <w:tcPr>
            <w:tcW w:w="4940" w:type="dxa"/>
            <w:vAlign w:val="bottom"/>
          </w:tcPr>
          <w:p>
            <w:pPr>
              <w:ind w:left="920"/>
              <w:spacing w:after="0"/>
              <w:rPr>
                <w:sz w:val="20"/>
                <w:szCs w:val="20"/>
                <w:color w:val="auto"/>
              </w:rPr>
            </w:pPr>
            <w:r>
              <w:rPr>
                <w:rFonts w:ascii="Arial" w:cs="Arial" w:eastAsia="Arial" w:hAnsi="Arial"/>
                <w:sz w:val="18"/>
                <w:szCs w:val="18"/>
                <w:color w:val="auto"/>
              </w:rPr>
              <w:t>Depreciation and amortization</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45,863</w:t>
            </w:r>
          </w:p>
        </w:tc>
      </w:tr>
      <w:tr>
        <w:trPr>
          <w:trHeight w:val="251"/>
        </w:trPr>
        <w:tc>
          <w:tcPr>
            <w:tcW w:w="4940" w:type="dxa"/>
            <w:vAlign w:val="bottom"/>
            <w:shd w:val="clear" w:color="auto" w:fill="C0C0C0"/>
          </w:tcPr>
          <w:p>
            <w:pPr>
              <w:ind w:left="920"/>
              <w:spacing w:after="0"/>
              <w:rPr>
                <w:sz w:val="20"/>
                <w:szCs w:val="20"/>
                <w:color w:val="auto"/>
              </w:rPr>
            </w:pPr>
            <w:r>
              <w:rPr>
                <w:rFonts w:ascii="Arial" w:cs="Arial" w:eastAsia="Arial" w:hAnsi="Arial"/>
                <w:sz w:val="18"/>
                <w:szCs w:val="18"/>
                <w:color w:val="auto"/>
              </w:rPr>
              <w:t>Debt extinguishment loss</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23,504</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4940" w:type="dxa"/>
            <w:vAlign w:val="bottom"/>
          </w:tcPr>
          <w:p>
            <w:pPr>
              <w:ind w:left="920"/>
              <w:spacing w:after="0"/>
              <w:rPr>
                <w:sz w:val="20"/>
                <w:szCs w:val="20"/>
                <w:color w:val="auto"/>
              </w:rPr>
            </w:pPr>
            <w:r>
              <w:rPr>
                <w:rFonts w:ascii="Arial" w:cs="Arial" w:eastAsia="Arial" w:hAnsi="Arial"/>
                <w:sz w:val="18"/>
                <w:szCs w:val="18"/>
                <w:color w:val="auto"/>
              </w:rPr>
              <w:t>Consolidation, restructuring and related credits</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(5,059)</w:t>
            </w:r>
          </w:p>
        </w:tc>
      </w:tr>
      <w:tr>
        <w:trPr>
          <w:trHeight w:val="251"/>
        </w:trPr>
        <w:tc>
          <w:tcPr>
            <w:tcW w:w="4940" w:type="dxa"/>
            <w:vAlign w:val="bottom"/>
            <w:shd w:val="clear" w:color="auto" w:fill="C0C0C0"/>
          </w:tcPr>
          <w:p>
            <w:pPr>
              <w:ind w:left="920"/>
              <w:spacing w:after="0"/>
              <w:rPr>
                <w:sz w:val="20"/>
                <w:szCs w:val="20"/>
                <w:color w:val="auto"/>
              </w:rPr>
            </w:pPr>
            <w:r>
              <w:rPr>
                <w:rFonts w:ascii="Arial" w:cs="Arial" w:eastAsia="Arial" w:hAnsi="Arial"/>
                <w:sz w:val="18"/>
                <w:szCs w:val="18"/>
                <w:color w:val="auto"/>
              </w:rPr>
              <w:t>Changes in assets and liabilities:</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940" w:type="dxa"/>
            <w:vAlign w:val="bottom"/>
          </w:tcPr>
          <w:p>
            <w:pPr>
              <w:ind w:left="1240"/>
              <w:spacing w:after="0"/>
              <w:rPr>
                <w:sz w:val="20"/>
                <w:szCs w:val="20"/>
                <w:color w:val="auto"/>
              </w:rPr>
            </w:pPr>
            <w:r>
              <w:rPr>
                <w:rFonts w:ascii="Arial" w:cs="Arial" w:eastAsia="Arial" w:hAnsi="Arial"/>
                <w:sz w:val="18"/>
                <w:szCs w:val="18"/>
                <w:color w:val="auto"/>
              </w:rPr>
              <w:t>Accounts receivable</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(11,380)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(12,918)</w:t>
            </w:r>
          </w:p>
        </w:tc>
      </w:tr>
      <w:tr>
        <w:trPr>
          <w:trHeight w:val="251"/>
        </w:trPr>
        <w:tc>
          <w:tcPr>
            <w:tcW w:w="4940" w:type="dxa"/>
            <w:vAlign w:val="bottom"/>
            <w:shd w:val="clear" w:color="auto" w:fill="C0C0C0"/>
          </w:tcPr>
          <w:p>
            <w:pPr>
              <w:ind w:left="1240"/>
              <w:spacing w:after="0"/>
              <w:rPr>
                <w:sz w:val="20"/>
                <w:szCs w:val="20"/>
                <w:color w:val="auto"/>
              </w:rPr>
            </w:pPr>
            <w:r>
              <w:rPr>
                <w:rFonts w:ascii="Arial" w:cs="Arial" w:eastAsia="Arial" w:hAnsi="Arial"/>
                <w:sz w:val="18"/>
                <w:szCs w:val="18"/>
                <w:color w:val="auto"/>
              </w:rPr>
              <w:t>Inventories</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(11,450)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(592)</w:t>
            </w:r>
          </w:p>
        </w:tc>
      </w:tr>
      <w:tr>
        <w:trPr>
          <w:trHeight w:val="235"/>
        </w:trPr>
        <w:tc>
          <w:tcPr>
            <w:tcW w:w="4940" w:type="dxa"/>
            <w:vAlign w:val="bottom"/>
          </w:tcPr>
          <w:p>
            <w:pPr>
              <w:ind w:left="1240"/>
              <w:spacing w:after="0"/>
              <w:rPr>
                <w:sz w:val="20"/>
                <w:szCs w:val="20"/>
                <w:color w:val="auto"/>
              </w:rPr>
            </w:pPr>
            <w:r>
              <w:rPr>
                <w:rFonts w:ascii="Arial" w:cs="Arial" w:eastAsia="Arial" w:hAnsi="Arial"/>
                <w:sz w:val="18"/>
                <w:szCs w:val="18"/>
                <w:color w:val="auto"/>
              </w:rPr>
              <w:t>Other current assets</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1,199</w:t>
            </w:r>
          </w:p>
        </w:tc>
      </w:tr>
      <w:tr>
        <w:trPr>
          <w:trHeight w:val="251"/>
        </w:trPr>
        <w:tc>
          <w:tcPr>
            <w:tcW w:w="4940" w:type="dxa"/>
            <w:vAlign w:val="bottom"/>
            <w:shd w:val="clear" w:color="auto" w:fill="C0C0C0"/>
          </w:tcPr>
          <w:p>
            <w:pPr>
              <w:ind w:left="1240"/>
              <w:spacing w:after="0"/>
              <w:rPr>
                <w:sz w:val="20"/>
                <w:szCs w:val="20"/>
                <w:color w:val="auto"/>
              </w:rPr>
            </w:pPr>
            <w:r>
              <w:rPr>
                <w:rFonts w:ascii="Arial" w:cs="Arial" w:eastAsia="Arial" w:hAnsi="Arial"/>
                <w:sz w:val="18"/>
                <w:szCs w:val="18"/>
                <w:color w:val="auto"/>
                <w:w w:val="98"/>
              </w:rPr>
              <w:t>Accounts payable, accrued liabilities, and other</w:t>
            </w:r>
          </w:p>
        </w:tc>
        <w:tc>
          <w:tcPr>
            <w:tcW w:w="4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16,798</w:t>
            </w:r>
          </w:p>
        </w:tc>
        <w:tc>
          <w:tcPr>
            <w:tcW w:w="120" w:type="dxa"/>
            <w:vAlign w:val="bottom"/>
            <w:tcBorders>
              <w:bottom w:val="single" w:sz="8" w:color="auto"/>
            </w:tcBorders>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(3,743)</w:t>
            </w:r>
          </w:p>
        </w:tc>
      </w:tr>
      <w:tr>
        <w:trPr>
          <w:trHeight w:val="230"/>
        </w:trPr>
        <w:tc>
          <w:tcPr>
            <w:tcW w:w="4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63,990</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33,763</w:t>
            </w: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494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(39,254)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(31,003)</w:t>
            </w:r>
          </w:p>
        </w:tc>
      </w:tr>
      <w:tr>
        <w:trPr>
          <w:trHeight w:val="251"/>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Investment in joint venture</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(8,498)</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4940" w:type="dxa"/>
            <w:vAlign w:val="bottom"/>
          </w:tcPr>
          <w:p>
            <w:pPr>
              <w:ind w:left="320"/>
              <w:spacing w:after="0"/>
              <w:rPr>
                <w:sz w:val="20"/>
                <w:szCs w:val="20"/>
                <w:color w:val="auto"/>
              </w:rPr>
            </w:pPr>
            <w:r>
              <w:rPr>
                <w:rFonts w:ascii="Arial" w:cs="Arial" w:eastAsia="Arial" w:hAnsi="Arial"/>
                <w:sz w:val="18"/>
                <w:szCs w:val="18"/>
                <w:color w:val="auto"/>
              </w:rPr>
              <w:t>Proceeds from sale of facility</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12,880</w:t>
            </w:r>
          </w:p>
        </w:tc>
      </w:tr>
      <w:tr>
        <w:trPr>
          <w:trHeight w:val="251"/>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Increase in restricted cash</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(1,250)</w:t>
            </w:r>
          </w:p>
        </w:tc>
      </w:tr>
      <w:tr>
        <w:trPr>
          <w:trHeight w:val="237"/>
        </w:trPr>
        <w:tc>
          <w:tcPr>
            <w:tcW w:w="49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255</w:t>
            </w: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investing activities</w:t>
            </w:r>
          </w:p>
        </w:tc>
        <w:tc>
          <w:tcPr>
            <w:tcW w:w="4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(48,002)</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(19,118)</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1"/>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Proceeds from issuance of convertible debt</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4940" w:type="dxa"/>
            <w:vAlign w:val="bottom"/>
          </w:tcPr>
          <w:p>
            <w:pPr>
              <w:ind w:left="320"/>
              <w:spacing w:after="0"/>
              <w:rPr>
                <w:sz w:val="20"/>
                <w:szCs w:val="20"/>
                <w:color w:val="auto"/>
              </w:rPr>
            </w:pPr>
            <w:r>
              <w:rPr>
                <w:rFonts w:ascii="Arial" w:cs="Arial" w:eastAsia="Arial" w:hAnsi="Arial"/>
                <w:sz w:val="18"/>
                <w:szCs w:val="18"/>
                <w:color w:val="auto"/>
              </w:rPr>
              <w:t>Proceeds from long-term borrowings</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26,622</w:t>
            </w:r>
          </w:p>
        </w:tc>
      </w:tr>
      <w:tr>
        <w:trPr>
          <w:trHeight w:val="251"/>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Repayments of long-term borrowings</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(60,303)</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(40,302)</w:t>
            </w:r>
          </w:p>
        </w:tc>
      </w:tr>
      <w:tr>
        <w:trPr>
          <w:trHeight w:val="235"/>
        </w:trPr>
        <w:tc>
          <w:tcPr>
            <w:tcW w:w="4940" w:type="dxa"/>
            <w:vAlign w:val="bottom"/>
          </w:tcPr>
          <w:p>
            <w:pPr>
              <w:ind w:left="320"/>
              <w:spacing w:after="0"/>
              <w:rPr>
                <w:sz w:val="20"/>
                <w:szCs w:val="20"/>
                <w:color w:val="auto"/>
              </w:rPr>
            </w:pPr>
            <w:r>
              <w:rPr>
                <w:rFonts w:ascii="Arial" w:cs="Arial" w:eastAsia="Arial" w:hAnsi="Arial"/>
                <w:sz w:val="18"/>
                <w:szCs w:val="18"/>
                <w:color w:val="auto"/>
              </w:rPr>
              <w:t>Payments of deferred financing fees</w:t>
            </w: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(4,145)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51"/>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Repurchase of common stock by subsidiary</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(3,294)</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Proceeds from exercise of share-based arrangements</w:t>
            </w:r>
          </w:p>
        </w:tc>
        <w:tc>
          <w:tcPr>
            <w:tcW w:w="4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(used in) financing activities</w:t>
            </w:r>
          </w:p>
        </w:tc>
        <w:tc>
          <w:tcPr>
            <w:tcW w:w="4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64,614</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(14,665)</w:t>
            </w:r>
          </w:p>
        </w:tc>
      </w:tr>
      <w:tr>
        <w:trPr>
          <w:trHeight w:val="230"/>
        </w:trPr>
        <w:tc>
          <w:tcPr>
            <w:tcW w:w="4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Effect of exchange rate changes on cash</w:t>
            </w:r>
          </w:p>
        </w:tc>
        <w:tc>
          <w:tcPr>
            <w:tcW w:w="4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w:t>
            </w:r>
          </w:p>
        </w:tc>
        <w:tc>
          <w:tcPr>
            <w:tcW w:w="1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2,891</w:t>
            </w: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Net increase in cash and cash equivalents</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87,167</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2,871</w:t>
            </w:r>
          </w:p>
        </w:tc>
      </w:tr>
      <w:tr>
        <w:trPr>
          <w:trHeight w:val="237"/>
        </w:trPr>
        <w:tc>
          <w:tcPr>
            <w:tcW w:w="4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98,945</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88,539</w:t>
            </w:r>
          </w:p>
        </w:tc>
      </w:tr>
      <w:tr>
        <w:trPr>
          <w:trHeight w:val="250"/>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44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186,112</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91,410</w:t>
            </w:r>
          </w:p>
        </w:tc>
      </w:tr>
      <w:tr>
        <w:trPr>
          <w:trHeight w:val="230"/>
        </w:trPr>
        <w:tc>
          <w:tcPr>
            <w:tcW w:w="4940" w:type="dxa"/>
            <w:vAlign w:val="bottom"/>
            <w:tcBorders>
              <w:top w:val="single" w:sz="8" w:color="C0C0C0"/>
            </w:tcBorders>
          </w:tcPr>
          <w:p>
            <w:pPr>
              <w:spacing w:after="0"/>
              <w:rPr>
                <w:sz w:val="19"/>
                <w:szCs w:val="19"/>
                <w:color w:val="auto"/>
              </w:rPr>
            </w:pPr>
          </w:p>
        </w:tc>
        <w:tc>
          <w:tcPr>
            <w:tcW w:w="426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43"/>
        </w:trPr>
        <w:tc>
          <w:tcPr>
            <w:tcW w:w="4940" w:type="dxa"/>
            <w:vAlign w:val="bottom"/>
            <w:shd w:val="clear" w:color="auto" w:fill="C0C0C0"/>
          </w:tcPr>
          <w:p>
            <w:pPr>
              <w:spacing w:after="0"/>
              <w:rPr>
                <w:sz w:val="20"/>
                <w:szCs w:val="20"/>
                <w:color w:val="auto"/>
              </w:rPr>
            </w:pPr>
            <w:r>
              <w:rPr>
                <w:rFonts w:ascii="Arial" w:cs="Arial" w:eastAsia="Arial" w:hAnsi="Arial"/>
                <w:sz w:val="18"/>
                <w:szCs w:val="18"/>
                <w:color w:val="auto"/>
              </w:rPr>
              <w:t>Supplemental disclosure of cash flow information:</w:t>
            </w:r>
          </w:p>
        </w:tc>
        <w:tc>
          <w:tcPr>
            <w:tcW w:w="4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43"/>
        </w:trPr>
        <w:tc>
          <w:tcPr>
            <w:tcW w:w="494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Capital lease obligation for purchase of equipment</w:t>
            </w:r>
          </w:p>
        </w:tc>
        <w:tc>
          <w:tcPr>
            <w:tcW w:w="44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21,248</w:t>
            </w:r>
          </w:p>
        </w:tc>
        <w:tc>
          <w:tcPr>
            <w:tcW w:w="1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4940" w:type="dxa"/>
            <w:vAlign w:val="bottom"/>
          </w:tcPr>
          <w:p>
            <w:pPr>
              <w:ind w:left="320"/>
              <w:spacing w:after="0"/>
              <w:rPr>
                <w:sz w:val="20"/>
                <w:szCs w:val="20"/>
                <w:color w:val="auto"/>
              </w:rPr>
            </w:pPr>
            <w:r>
              <w:rPr>
                <w:rFonts w:ascii="Arial" w:cs="Arial" w:eastAsia="Arial" w:hAnsi="Arial"/>
                <w:sz w:val="18"/>
                <w:szCs w:val="18"/>
                <w:color w:val="auto"/>
              </w:rPr>
              <w:t>Common stock issued to extinguish debt</w:t>
            </w:r>
          </w:p>
        </w:tc>
        <w:tc>
          <w:tcPr>
            <w:tcW w:w="4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17,390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4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Change in accrual for purchases of property, plant</w:t>
            </w:r>
          </w:p>
        </w:tc>
        <w:tc>
          <w:tcPr>
            <w:tcW w:w="4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59"/>
        </w:trPr>
        <w:tc>
          <w:tcPr>
            <w:tcW w:w="49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and equipment</w:t>
            </w:r>
          </w:p>
        </w:tc>
        <w:tc>
          <w:tcPr>
            <w:tcW w:w="442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19,521</w:t>
            </w:r>
          </w:p>
        </w:tc>
      </w:tr>
      <w:tr>
        <w:trPr>
          <w:trHeight w:val="228"/>
        </w:trPr>
        <w:tc>
          <w:tcPr>
            <w:tcW w:w="4940" w:type="dxa"/>
            <w:vAlign w:val="bottom"/>
          </w:tcPr>
          <w:p>
            <w:pPr>
              <w:ind w:left="320"/>
              <w:spacing w:after="0"/>
              <w:rPr>
                <w:sz w:val="20"/>
                <w:szCs w:val="20"/>
                <w:color w:val="auto"/>
              </w:rPr>
            </w:pPr>
            <w:r>
              <w:rPr>
                <w:rFonts w:ascii="Arial" w:cs="Arial" w:eastAsia="Arial" w:hAnsi="Arial"/>
                <w:sz w:val="18"/>
                <w:szCs w:val="18"/>
                <w:color w:val="auto"/>
              </w:rPr>
              <w:t>Investment in joint venture</w:t>
            </w:r>
          </w:p>
        </w:tc>
        <w:tc>
          <w:tcPr>
            <w:tcW w:w="4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May 1, 2011 and May 2,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 thousands, except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SIGNIFICANT ACCOUNTING POLICIES</w:t>
      </w:r>
    </w:p>
    <w:p>
      <w:pPr>
        <w:spacing w:after="0" w:line="246"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in Korea, one in Singapore, and three in the United States.</w:t>
      </w:r>
    </w:p>
    <w:p>
      <w:pPr>
        <w:spacing w:after="0" w:line="197"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Operating results for the interim period are not necessarily indicative of the results that may be expected for the fiscal year ending October 30, 2011. For further information, refer to the consolidated financial statements and footnotes thereto included in the Company's Annual Report on Form 10-K for the year ended October 31, 2010.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20" w:firstLine="270"/>
        <w:spacing w:after="0" w:line="294" w:lineRule="auto"/>
        <w:rPr>
          <w:sz w:val="20"/>
          <w:szCs w:val="20"/>
          <w:color w:val="auto"/>
        </w:rPr>
      </w:pPr>
      <w:r>
        <w:rPr>
          <w:rFonts w:ascii="Arial" w:cs="Arial" w:eastAsia="Arial" w:hAnsi="Arial"/>
          <w:sz w:val="16"/>
          <w:szCs w:val="16"/>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197"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as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5"/>
          <w:szCs w:val="15"/>
          <w:u w:val="single" w:color="auto"/>
          <w:color w:val="auto"/>
        </w:rPr>
        <w:t>Sales Taxes</w:t>
      </w:r>
      <w:r>
        <w:rPr>
          <w:rFonts w:ascii="Arial" w:cs="Arial" w:eastAsia="Arial" w:hAnsi="Arial"/>
          <w:sz w:val="15"/>
          <w:szCs w:val="15"/>
          <w:color w:val="auto"/>
        </w:rPr>
        <w:t xml:space="preserve"> – The Company presents its revenues in the condensed consolidated statements of operations, net of sales taxes, if any (excluded from revenues).</w:t>
      </w: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the Company’s Form 10-K for the year ended October 31, 2010 for additional significant accounting policies of the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CHANGES IN EQUITY AND COMPREHENSIVE INCOME (LOSS)</w:t>
      </w:r>
    </w:p>
    <w:p>
      <w:pPr>
        <w:spacing w:after="0" w:line="285"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The following tables set forth the Company's consolidated changes in equity and comprehensive income (net of tax) for the three and six months ended May 1, 2011 and May 2, 2010: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8"/>
          </w:tcPr>
          <w:p>
            <w:pPr>
              <w:spacing w:after="0"/>
              <w:rPr>
                <w:sz w:val="20"/>
                <w:szCs w:val="20"/>
                <w:color w:val="auto"/>
              </w:rPr>
            </w:pPr>
            <w:r>
              <w:rPr>
                <w:rFonts w:ascii="Arial" w:cs="Arial" w:eastAsia="Arial" w:hAnsi="Arial"/>
                <w:sz w:val="14"/>
                <w:szCs w:val="14"/>
                <w:b w:val="1"/>
                <w:bCs w:val="1"/>
                <w:color w:val="auto"/>
              </w:rPr>
              <w:t>Three Months Ended May 1, 2011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w w:val="84"/>
              </w:rPr>
              <w:t>Photronics, Inc. Shareholders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Accum-</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ulated</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Add'l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(Accum-</w:t>
            </w: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Compre-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ulated</w:t>
            </w: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hensive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Photronics,</w:t>
            </w:r>
          </w:p>
        </w:tc>
        <w:tc>
          <w:tcPr>
            <w:tcW w:w="160" w:type="dxa"/>
            <w:vAlign w:val="bottom"/>
          </w:tcPr>
          <w:p>
            <w:pPr>
              <w:spacing w:after="0"/>
              <w:rPr>
                <w:sz w:val="21"/>
                <w:szCs w:val="21"/>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21"/>
                <w:szCs w:val="21"/>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7"/>
                <w:szCs w:val="17"/>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Inc.</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January 31, 2011</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53,865</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539</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437,360</w:t>
            </w:r>
          </w:p>
        </w:tc>
        <w:tc>
          <w:tcPr>
            <w:tcW w:w="260" w:type="dxa"/>
            <w:vAlign w:val="bottom"/>
            <w:tcBorders>
              <w:bottom w:val="single" w:sz="8" w:color="C0C0C0"/>
            </w:tcBorders>
            <w:gridSpan w:val="2"/>
            <w:shd w:val="clear" w:color="auto" w:fill="C0C0C0"/>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9,487</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12,906</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460,292</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58,170</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518,462</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 (loss)</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(16,438)</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(16,438)</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1,405</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(15,033)</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Amortization of cash flow hedges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32</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4320" w:type="dxa"/>
            <w:vAlign w:val="bottom"/>
            <w:shd w:val="clear" w:color="auto" w:fill="C0C0C0"/>
          </w:tcPr>
          <w:p>
            <w:pPr>
              <w:ind w:left="240"/>
              <w:spacing w:after="0"/>
              <w:rPr>
                <w:sz w:val="20"/>
                <w:szCs w:val="20"/>
                <w:color w:val="auto"/>
              </w:rPr>
            </w:pPr>
            <w:r>
              <w:rPr>
                <w:rFonts w:ascii="Arial" w:cs="Arial" w:eastAsia="Arial" w:hAnsi="Arial"/>
                <w:sz w:val="14"/>
                <w:szCs w:val="14"/>
                <w:color w:val="auto"/>
              </w:rPr>
              <w:t>Foreign currency translation</w:t>
            </w: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6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r>
      <w:tr>
        <w:trPr>
          <w:trHeight w:val="298"/>
        </w:trPr>
        <w:tc>
          <w:tcPr>
            <w:tcW w:w="432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adjustments</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11,065</w:t>
            </w:r>
          </w:p>
        </w:tc>
        <w:tc>
          <w:tcPr>
            <w:tcW w:w="160" w:type="dxa"/>
            <w:vAlign w:val="bottom"/>
            <w:tcBorders>
              <w:bottom w:val="single" w:sz="8" w:color="C0C0C0"/>
            </w:tcBorders>
            <w:shd w:val="clear" w:color="auto" w:fill="C0C0C0"/>
          </w:tcPr>
          <w:p>
            <w:pPr>
              <w:spacing w:after="0"/>
              <w:rPr>
                <w:sz w:val="24"/>
                <w:szCs w:val="24"/>
                <w:color w:val="auto"/>
              </w:rPr>
            </w:pPr>
          </w:p>
        </w:tc>
        <w:tc>
          <w:tcPr>
            <w:tcW w:w="60" w:type="dxa"/>
            <w:vAlign w:val="bottom"/>
            <w:tcBorders>
              <w:bottom w:val="single" w:sz="8" w:color="C0C0C0"/>
            </w:tcBorders>
            <w:shd w:val="clear" w:color="auto" w:fill="C0C0C0"/>
          </w:tcPr>
          <w:p>
            <w:pPr>
              <w:spacing w:after="0"/>
              <w:rPr>
                <w:sz w:val="24"/>
                <w:szCs w:val="24"/>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11,065</w:t>
            </w:r>
          </w:p>
        </w:tc>
        <w:tc>
          <w:tcPr>
            <w:tcW w:w="16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355</w:t>
            </w:r>
          </w:p>
        </w:tc>
        <w:tc>
          <w:tcPr>
            <w:tcW w:w="1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11,420</w:t>
            </w:r>
          </w:p>
        </w:tc>
      </w:tr>
      <w:tr>
        <w:trPr>
          <w:trHeight w:val="196"/>
        </w:trPr>
        <w:tc>
          <w:tcPr>
            <w:tcW w:w="4320" w:type="dxa"/>
            <w:vAlign w:val="bottom"/>
          </w:tcPr>
          <w:p>
            <w:pPr>
              <w:ind w:left="240"/>
              <w:spacing w:after="0"/>
              <w:rPr>
                <w:sz w:val="20"/>
                <w:szCs w:val="20"/>
                <w:color w:val="auto"/>
              </w:rPr>
            </w:pPr>
            <w:r>
              <w:rPr>
                <w:rFonts w:ascii="Arial" w:cs="Arial" w:eastAsia="Arial" w:hAnsi="Arial"/>
                <w:sz w:val="14"/>
                <w:szCs w:val="14"/>
                <w:color w:val="auto"/>
              </w:rPr>
              <w:t>Total comprehensive income (loss)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(5,341)</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1,760</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(3,581)</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Common stock issued to extinguish debt</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4,492</w:t>
            </w:r>
          </w:p>
        </w:tc>
        <w:tc>
          <w:tcPr>
            <w:tcW w:w="38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39,123</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39,168</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39,168</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Sale of common stock through</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ind w:left="480"/>
              <w:spacing w:after="0"/>
              <w:rPr>
                <w:sz w:val="20"/>
                <w:szCs w:val="20"/>
                <w:color w:val="auto"/>
              </w:rPr>
            </w:pPr>
            <w:r>
              <w:rPr>
                <w:rFonts w:ascii="Arial" w:cs="Arial" w:eastAsia="Arial" w:hAnsi="Arial"/>
                <w:sz w:val="14"/>
                <w:szCs w:val="14"/>
                <w:color w:val="auto"/>
              </w:rPr>
              <w:t>employee stock option and</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ind w:left="720"/>
              <w:spacing w:after="0"/>
              <w:rPr>
                <w:sz w:val="20"/>
                <w:szCs w:val="20"/>
                <w:color w:val="auto"/>
              </w:rPr>
            </w:pPr>
            <w:r>
              <w:rPr>
                <w:rFonts w:ascii="Arial" w:cs="Arial" w:eastAsia="Arial" w:hAnsi="Arial"/>
                <w:sz w:val="14"/>
                <w:szCs w:val="14"/>
                <w:color w:val="auto"/>
              </w:rPr>
              <w:t>purchase plans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45</w:t>
            </w:r>
          </w:p>
        </w:tc>
        <w:tc>
          <w:tcPr>
            <w:tcW w:w="3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88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88</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Restricted stock awards vesting and expense</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15</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234</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234</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234</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375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375</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 warrants exercised</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122</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1,157</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1,158</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1,158</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Repurchase of common stock by subsidiary</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(3,289)</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1, 2011</w:t>
            </w:r>
          </w:p>
        </w:tc>
        <w:tc>
          <w:tcPr>
            <w:tcW w:w="18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58,539</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585</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478,009</w:t>
            </w:r>
          </w:p>
        </w:tc>
        <w:tc>
          <w:tcPr>
            <w:tcW w:w="260" w:type="dxa"/>
            <w:vAlign w:val="bottom"/>
            <w:tcBorders>
              <w:bottom w:val="single" w:sz="8" w:color="C0C0C0"/>
            </w:tcBorders>
            <w:gridSpan w:val="2"/>
            <w:shd w:val="clear" w:color="auto" w:fill="C0C0C0"/>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(6,951)</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23,991</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495,634</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56,981</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552,615</w:t>
            </w:r>
          </w:p>
        </w:tc>
      </w:tr>
      <w:tr>
        <w:trPr>
          <w:trHeight w:val="27"/>
        </w:trPr>
        <w:tc>
          <w:tcPr>
            <w:tcW w:w="432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r>
        <w:trPr>
          <w:trHeight w:val="445"/>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gridSpan w:val="9"/>
          </w:tcPr>
          <w:p>
            <w:pPr>
              <w:ind w:left="160"/>
              <w:spacing w:after="0"/>
              <w:rPr>
                <w:sz w:val="20"/>
                <w:szCs w:val="20"/>
                <w:color w:val="auto"/>
              </w:rPr>
            </w:pPr>
            <w:r>
              <w:rPr>
                <w:rFonts w:ascii="Arial" w:cs="Arial" w:eastAsia="Arial" w:hAnsi="Arial"/>
                <w:sz w:val="14"/>
                <w:szCs w:val="14"/>
                <w:b w:val="1"/>
                <w:bCs w:val="1"/>
                <w:color w:val="auto"/>
              </w:rPr>
              <w:t>Three Months Ended May 2, 2010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w w:val="84"/>
              </w:rPr>
              <w:t>Photronics, Inc. Shareholders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Accum-</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ulated</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Compre-</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Add'l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Accum-</w:t>
            </w: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hensive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ulated</w:t>
            </w: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Photronics,</w:t>
            </w:r>
          </w:p>
        </w:tc>
        <w:tc>
          <w:tcPr>
            <w:tcW w:w="160" w:type="dxa"/>
            <w:vAlign w:val="bottom"/>
          </w:tcPr>
          <w:p>
            <w:pPr>
              <w:spacing w:after="0"/>
              <w:rPr>
                <w:sz w:val="21"/>
                <w:szCs w:val="21"/>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21"/>
                <w:szCs w:val="21"/>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7"/>
                <w:szCs w:val="17"/>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Inc.</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February 1, 2010</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53,281</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533</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433,632</w:t>
            </w:r>
          </w:p>
        </w:tc>
        <w:tc>
          <w:tcPr>
            <w:tcW w:w="260" w:type="dxa"/>
            <w:vAlign w:val="bottom"/>
            <w:tcBorders>
              <w:bottom w:val="single" w:sz="8" w:color="C0C0C0"/>
            </w:tcBorders>
            <w:gridSpan w:val="2"/>
            <w:shd w:val="clear" w:color="auto" w:fill="C0C0C0"/>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(26,333)</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(444)</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407,388</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51,051</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458,439</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7,873</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7,873</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732</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8,605</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Unrealized holding gains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132</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33</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ind w:left="480"/>
              <w:spacing w:after="0"/>
              <w:rPr>
                <w:sz w:val="20"/>
                <w:szCs w:val="20"/>
                <w:color w:val="auto"/>
              </w:rPr>
            </w:pPr>
            <w:r>
              <w:rPr>
                <w:rFonts w:ascii="Arial" w:cs="Arial" w:eastAsia="Arial" w:hAnsi="Arial"/>
                <w:sz w:val="14"/>
                <w:szCs w:val="14"/>
                <w:color w:val="auto"/>
              </w:rPr>
              <w:t>adjustments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6,553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6,553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1,061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7,614</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7"/>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income</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20"/>
                <w:szCs w:val="20"/>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14,535</w:t>
            </w:r>
          </w:p>
        </w:tc>
        <w:tc>
          <w:tcPr>
            <w:tcW w:w="16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1,849</w:t>
            </w:r>
          </w:p>
        </w:tc>
        <w:tc>
          <w:tcPr>
            <w:tcW w:w="18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16,384</w:t>
            </w:r>
          </w:p>
        </w:tc>
      </w:tr>
      <w:tr>
        <w:trPr>
          <w:trHeight w:val="196"/>
        </w:trPr>
        <w:tc>
          <w:tcPr>
            <w:tcW w:w="4320" w:type="dxa"/>
            <w:vAlign w:val="bottom"/>
          </w:tcPr>
          <w:p>
            <w:pPr>
              <w:ind w:left="240"/>
              <w:spacing w:after="0"/>
              <w:rPr>
                <w:sz w:val="20"/>
                <w:szCs w:val="20"/>
                <w:color w:val="auto"/>
              </w:rPr>
            </w:pPr>
            <w:r>
              <w:rPr>
                <w:rFonts w:ascii="Arial" w:cs="Arial" w:eastAsia="Arial" w:hAnsi="Arial"/>
                <w:sz w:val="14"/>
                <w:szCs w:val="14"/>
                <w:color w:val="auto"/>
              </w:rPr>
              <w:t>Sale of common stock through</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43"/>
        </w:trPr>
        <w:tc>
          <w:tcPr>
            <w:tcW w:w="4320" w:type="dxa"/>
            <w:vAlign w:val="bottom"/>
          </w:tcPr>
          <w:p>
            <w:pPr>
              <w:ind w:left="480"/>
              <w:spacing w:after="0"/>
              <w:rPr>
                <w:sz w:val="20"/>
                <w:szCs w:val="20"/>
                <w:color w:val="auto"/>
              </w:rPr>
            </w:pPr>
            <w:r>
              <w:rPr>
                <w:rFonts w:ascii="Arial" w:cs="Arial" w:eastAsia="Arial" w:hAnsi="Arial"/>
                <w:sz w:val="14"/>
                <w:szCs w:val="14"/>
                <w:color w:val="auto"/>
              </w:rPr>
              <w:t>employee stock option and</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ind w:left="720"/>
              <w:spacing w:after="0"/>
              <w:rPr>
                <w:sz w:val="20"/>
                <w:szCs w:val="20"/>
                <w:color w:val="auto"/>
              </w:rPr>
            </w:pPr>
            <w:r>
              <w:rPr>
                <w:rFonts w:ascii="Arial" w:cs="Arial" w:eastAsia="Arial" w:hAnsi="Arial"/>
                <w:sz w:val="14"/>
                <w:szCs w:val="14"/>
                <w:color w:val="auto"/>
              </w:rPr>
              <w:t>purchase plans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53</w:t>
            </w:r>
          </w:p>
        </w:tc>
        <w:tc>
          <w:tcPr>
            <w:tcW w:w="3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74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75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75</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454</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454</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454</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Common stock warrants exercised</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162</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816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817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817</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2, 2010</w:t>
            </w:r>
          </w:p>
        </w:tc>
        <w:tc>
          <w:tcPr>
            <w:tcW w:w="18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53,497</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535</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434,976</w:t>
            </w:r>
          </w:p>
        </w:tc>
        <w:tc>
          <w:tcPr>
            <w:tcW w:w="260" w:type="dxa"/>
            <w:vAlign w:val="bottom"/>
            <w:tcBorders>
              <w:bottom w:val="single" w:sz="8" w:color="C0C0C0"/>
            </w:tcBorders>
            <w:gridSpan w:val="2"/>
            <w:shd w:val="clear" w:color="auto" w:fill="C0C0C0"/>
          </w:tcPr>
          <w:p>
            <w:pPr>
              <w:ind w:lef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(18,460)</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6,218</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423,269</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52,900</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476,169</w:t>
            </w:r>
          </w:p>
        </w:tc>
      </w:tr>
      <w:tr>
        <w:trPr>
          <w:trHeight w:val="27"/>
        </w:trPr>
        <w:tc>
          <w:tcPr>
            <w:tcW w:w="432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Six Months Ended May 1, 2011</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w w:val="84"/>
              </w:rPr>
              <w:t>Photronics, Inc. Shareholders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Accum-</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ulated</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Add'l</w:t>
            </w:r>
          </w:p>
        </w:tc>
        <w:tc>
          <w:tcPr>
            <w:tcW w:w="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Accum-</w:t>
            </w: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Compre-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ulated</w:t>
            </w: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hensive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Photronics,</w:t>
            </w:r>
          </w:p>
        </w:tc>
        <w:tc>
          <w:tcPr>
            <w:tcW w:w="160" w:type="dxa"/>
            <w:vAlign w:val="bottom"/>
          </w:tcPr>
          <w:p>
            <w:pPr>
              <w:spacing w:after="0"/>
              <w:rPr>
                <w:sz w:val="21"/>
                <w:szCs w:val="21"/>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21"/>
                <w:szCs w:val="21"/>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7"/>
                <w:szCs w:val="17"/>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Inc.</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1, 2010</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53,779</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538</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436,825</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(2,624)</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7,062</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441,801</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54,142</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495,943</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 (loss)</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(4,327)</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(4,327)</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2,878</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(1,449)</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Amortization of cash flow hedges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64</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2"/>
        </w:trPr>
        <w:tc>
          <w:tcPr>
            <w:tcW w:w="4320" w:type="dxa"/>
            <w:vAlign w:val="bottom"/>
            <w:shd w:val="clear" w:color="auto" w:fill="C0C0C0"/>
          </w:tcPr>
          <w:p>
            <w:pPr>
              <w:ind w:left="240"/>
              <w:spacing w:after="0"/>
              <w:rPr>
                <w:sz w:val="20"/>
                <w:szCs w:val="20"/>
                <w:color w:val="auto"/>
              </w:rPr>
            </w:pPr>
            <w:r>
              <w:rPr>
                <w:rFonts w:ascii="Arial" w:cs="Arial" w:eastAsia="Arial" w:hAnsi="Arial"/>
                <w:sz w:val="14"/>
                <w:szCs w:val="14"/>
                <w:color w:val="auto"/>
              </w:rPr>
              <w:t>Foreign currency translation</w:t>
            </w:r>
          </w:p>
        </w:tc>
        <w:tc>
          <w:tcPr>
            <w:tcW w:w="1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3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8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70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740" w:type="dxa"/>
            <w:vAlign w:val="bottom"/>
            <w:shd w:val="clear" w:color="auto" w:fill="C0C0C0"/>
          </w:tcPr>
          <w:p>
            <w:pPr>
              <w:spacing w:after="0"/>
              <w:rPr>
                <w:sz w:val="17"/>
                <w:szCs w:val="17"/>
                <w:color w:val="auto"/>
              </w:rPr>
            </w:pPr>
          </w:p>
        </w:tc>
        <w:tc>
          <w:tcPr>
            <w:tcW w:w="16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640" w:type="dxa"/>
            <w:vAlign w:val="bottom"/>
            <w:shd w:val="clear" w:color="auto" w:fill="C0C0C0"/>
          </w:tcPr>
          <w:p>
            <w:pPr>
              <w:spacing w:after="0"/>
              <w:rPr>
                <w:sz w:val="17"/>
                <w:szCs w:val="17"/>
                <w:color w:val="auto"/>
              </w:rPr>
            </w:pPr>
          </w:p>
        </w:tc>
      </w:tr>
      <w:tr>
        <w:trPr>
          <w:trHeight w:val="284"/>
        </w:trPr>
        <w:tc>
          <w:tcPr>
            <w:tcW w:w="432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adjustments</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4"/>
                <w:szCs w:val="24"/>
                <w:color w:val="auto"/>
              </w:rPr>
            </w:pPr>
          </w:p>
        </w:tc>
        <w:tc>
          <w:tcPr>
            <w:tcW w:w="60" w:type="dxa"/>
            <w:vAlign w:val="bottom"/>
            <w:tcBorders>
              <w:bottom w:val="single" w:sz="8" w:color="C0C0C0"/>
            </w:tcBorders>
            <w:shd w:val="clear" w:color="auto" w:fill="C0C0C0"/>
          </w:tcPr>
          <w:p>
            <w:pPr>
              <w:spacing w:after="0"/>
              <w:rPr>
                <w:sz w:val="24"/>
                <w:szCs w:val="24"/>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16,877</w:t>
            </w:r>
          </w:p>
        </w:tc>
        <w:tc>
          <w:tcPr>
            <w:tcW w:w="160" w:type="dxa"/>
            <w:vAlign w:val="bottom"/>
            <w:tcBorders>
              <w:bottom w:val="single" w:sz="8" w:color="C0C0C0"/>
            </w:tcBorders>
            <w:shd w:val="clear" w:color="auto" w:fill="C0C0C0"/>
          </w:tcPr>
          <w:p>
            <w:pPr>
              <w:spacing w:after="0"/>
              <w:rPr>
                <w:sz w:val="24"/>
                <w:szCs w:val="24"/>
                <w:color w:val="auto"/>
              </w:rPr>
            </w:pPr>
          </w:p>
        </w:tc>
        <w:tc>
          <w:tcPr>
            <w:tcW w:w="60" w:type="dxa"/>
            <w:vAlign w:val="bottom"/>
            <w:tcBorders>
              <w:bottom w:val="single" w:sz="8" w:color="C0C0C0"/>
            </w:tcBorders>
            <w:shd w:val="clear" w:color="auto" w:fill="C0C0C0"/>
          </w:tcPr>
          <w:p>
            <w:pPr>
              <w:spacing w:after="0"/>
              <w:rPr>
                <w:sz w:val="24"/>
                <w:szCs w:val="24"/>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16,877</w:t>
            </w:r>
          </w:p>
        </w:tc>
        <w:tc>
          <w:tcPr>
            <w:tcW w:w="16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2,910</w:t>
            </w:r>
          </w:p>
        </w:tc>
        <w:tc>
          <w:tcPr>
            <w:tcW w:w="18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19,787</w:t>
            </w:r>
          </w:p>
        </w:tc>
      </w:tr>
      <w:tr>
        <w:trPr>
          <w:trHeight w:val="196"/>
        </w:trPr>
        <w:tc>
          <w:tcPr>
            <w:tcW w:w="4320" w:type="dxa"/>
            <w:vAlign w:val="bottom"/>
          </w:tcPr>
          <w:p>
            <w:pPr>
              <w:ind w:left="240"/>
              <w:spacing w:after="0"/>
              <w:rPr>
                <w:sz w:val="20"/>
                <w:szCs w:val="20"/>
                <w:color w:val="auto"/>
              </w:rPr>
            </w:pPr>
            <w:r>
              <w:rPr>
                <w:rFonts w:ascii="Arial" w:cs="Arial" w:eastAsia="Arial" w:hAnsi="Arial"/>
                <w:sz w:val="14"/>
                <w:szCs w:val="14"/>
                <w:color w:val="auto"/>
              </w:rPr>
              <w:t>Total comprehensive income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12,614</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5,788</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18,402</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7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Common stock issued to extinguish debt</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4,492</w:t>
            </w:r>
          </w:p>
        </w:tc>
        <w:tc>
          <w:tcPr>
            <w:tcW w:w="38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39,123</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spacing w:after="0"/>
              <w:rPr>
                <w:sz w:val="18"/>
                <w:szCs w:val="18"/>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39,168</w:t>
            </w:r>
          </w:p>
        </w:tc>
        <w:tc>
          <w:tcPr>
            <w:tcW w:w="1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spacing w:after="0"/>
              <w:rPr>
                <w:sz w:val="18"/>
                <w:szCs w:val="18"/>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39,168</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Sale of common stock through</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ind w:left="480"/>
              <w:spacing w:after="0"/>
              <w:rPr>
                <w:sz w:val="20"/>
                <w:szCs w:val="20"/>
                <w:color w:val="auto"/>
              </w:rPr>
            </w:pPr>
            <w:r>
              <w:rPr>
                <w:rFonts w:ascii="Arial" w:cs="Arial" w:eastAsia="Arial" w:hAnsi="Arial"/>
                <w:sz w:val="14"/>
                <w:szCs w:val="14"/>
                <w:color w:val="auto"/>
              </w:rPr>
              <w:t>employee stock option and</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ind w:left="720"/>
              <w:spacing w:after="0"/>
              <w:rPr>
                <w:sz w:val="20"/>
                <w:szCs w:val="20"/>
                <w:color w:val="auto"/>
              </w:rPr>
            </w:pPr>
            <w:r>
              <w:rPr>
                <w:rFonts w:ascii="Arial" w:cs="Arial" w:eastAsia="Arial" w:hAnsi="Arial"/>
                <w:sz w:val="14"/>
                <w:szCs w:val="14"/>
                <w:color w:val="auto"/>
              </w:rPr>
              <w:t>purchase plans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110</w:t>
            </w:r>
          </w:p>
        </w:tc>
        <w:tc>
          <w:tcPr>
            <w:tcW w:w="3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146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147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147</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Restricted stock awards vesting and expense</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36</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422</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422</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422</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664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664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664</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Common stock warrants exercised</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122</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1,157</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1,158</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1,158</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Repurchase of common stock by subsidiary</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(3,289)</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1, 2011</w:t>
            </w:r>
          </w:p>
        </w:tc>
        <w:tc>
          <w:tcPr>
            <w:tcW w:w="18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58,539</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585</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478,009</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(6,951)</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23,991</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495,634</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56,981</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552,615</w:t>
            </w:r>
          </w:p>
        </w:tc>
      </w:tr>
      <w:tr>
        <w:trPr>
          <w:trHeight w:val="27"/>
        </w:trPr>
        <w:tc>
          <w:tcPr>
            <w:tcW w:w="432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r>
        <w:trPr>
          <w:trHeight w:val="445"/>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Six Months Ended May 2, 2010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w w:val="84"/>
              </w:rPr>
              <w:t>Photronics, Inc. Shareholders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Accum-</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ulated</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Compre-</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Add'l</w:t>
            </w:r>
          </w:p>
        </w:tc>
        <w:tc>
          <w:tcPr>
            <w:tcW w:w="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Accum-</w:t>
            </w: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hensive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21"/>
                <w:szCs w:val="21"/>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ulated</w:t>
            </w:r>
          </w:p>
        </w:tc>
        <w:tc>
          <w:tcPr>
            <w:tcW w:w="100" w:type="dxa"/>
            <w:vAlign w:val="bottom"/>
          </w:tcPr>
          <w:p>
            <w:pPr>
              <w:spacing w:after="0"/>
              <w:rPr>
                <w:sz w:val="21"/>
                <w:szCs w:val="21"/>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Photronics,</w:t>
            </w:r>
          </w:p>
        </w:tc>
        <w:tc>
          <w:tcPr>
            <w:tcW w:w="160" w:type="dxa"/>
            <w:vAlign w:val="bottom"/>
          </w:tcPr>
          <w:p>
            <w:pPr>
              <w:spacing w:after="0"/>
              <w:rPr>
                <w:sz w:val="21"/>
                <w:szCs w:val="21"/>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21"/>
                <w:szCs w:val="21"/>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196"/>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7"/>
                <w:szCs w:val="17"/>
                <w:color w:val="auto"/>
              </w:rPr>
            </w:pPr>
          </w:p>
        </w:tc>
        <w:tc>
          <w:tcPr>
            <w:tcW w:w="7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Inc.</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7"/>
                <w:szCs w:val="17"/>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Equity</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2, 2009</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53,011</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530</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432,160</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(26,546)</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(6,389)</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399,755</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49,941</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449,696</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8,086</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8,086</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927</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9,013</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Unrealized holding gains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132</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Amortization of cash flow hedges</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65</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65</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65</w:t>
            </w:r>
          </w:p>
        </w:tc>
      </w:tr>
      <w:tr>
        <w:trPr>
          <w:trHeight w:val="202"/>
        </w:trPr>
        <w:tc>
          <w:tcPr>
            <w:tcW w:w="4320" w:type="dxa"/>
            <w:vAlign w:val="bottom"/>
          </w:tcPr>
          <w:p>
            <w:pPr>
              <w:ind w:left="240"/>
              <w:spacing w:after="0"/>
              <w:rPr>
                <w:sz w:val="20"/>
                <w:szCs w:val="20"/>
                <w:color w:val="auto"/>
              </w:rPr>
            </w:pPr>
            <w:r>
              <w:rPr>
                <w:rFonts w:ascii="Arial" w:cs="Arial" w:eastAsia="Arial" w:hAnsi="Arial"/>
                <w:sz w:val="14"/>
                <w:szCs w:val="14"/>
                <w:color w:val="auto"/>
              </w:rPr>
              <w:t>Foreign currency translation</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43"/>
        </w:trPr>
        <w:tc>
          <w:tcPr>
            <w:tcW w:w="4320" w:type="dxa"/>
            <w:vAlign w:val="bottom"/>
          </w:tcPr>
          <w:p>
            <w:pPr>
              <w:ind w:left="480"/>
              <w:spacing w:after="0"/>
              <w:rPr>
                <w:sz w:val="20"/>
                <w:szCs w:val="20"/>
                <w:color w:val="auto"/>
              </w:rPr>
            </w:pPr>
            <w:r>
              <w:rPr>
                <w:rFonts w:ascii="Arial" w:cs="Arial" w:eastAsia="Arial" w:hAnsi="Arial"/>
                <w:sz w:val="14"/>
                <w:szCs w:val="14"/>
                <w:color w:val="auto"/>
              </w:rPr>
              <w:t>adjustments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12,466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12,466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1,976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14,442</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8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C0C0C0"/>
            </w:tcBorders>
          </w:tcPr>
          <w:p>
            <w:pPr>
              <w:spacing w:after="0"/>
              <w:rPr>
                <w:sz w:val="3"/>
                <w:szCs w:val="3"/>
                <w:color w:val="auto"/>
              </w:rPr>
            </w:pPr>
          </w:p>
        </w:tc>
        <w:tc>
          <w:tcPr>
            <w:tcW w:w="70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37"/>
        </w:trPr>
        <w:tc>
          <w:tcPr>
            <w:tcW w:w="43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Total comprehensive income</w:t>
            </w:r>
          </w:p>
        </w:tc>
        <w:tc>
          <w:tcPr>
            <w:tcW w:w="18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380" w:type="dxa"/>
            <w:vAlign w:val="bottom"/>
            <w:tcBorders>
              <w:bottom w:val="single" w:sz="8" w:color="C0C0C0"/>
            </w:tcBorders>
            <w:shd w:val="clear" w:color="auto" w:fill="C0C0C0"/>
          </w:tcPr>
          <w:p>
            <w:pPr>
              <w:spacing w:after="0"/>
              <w:rPr>
                <w:sz w:val="20"/>
                <w:szCs w:val="20"/>
                <w:color w:val="auto"/>
              </w:rPr>
            </w:pPr>
          </w:p>
        </w:tc>
        <w:tc>
          <w:tcPr>
            <w:tcW w:w="22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70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60" w:type="dxa"/>
            <w:vAlign w:val="bottom"/>
            <w:tcBorders>
              <w:bottom w:val="single" w:sz="8" w:color="C0C0C0"/>
            </w:tcBorders>
            <w:shd w:val="clear" w:color="auto" w:fill="C0C0C0"/>
          </w:tcPr>
          <w:p>
            <w:pPr>
              <w:spacing w:after="0"/>
              <w:rPr>
                <w:sz w:val="20"/>
                <w:szCs w:val="20"/>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20,693</w:t>
            </w:r>
          </w:p>
        </w:tc>
        <w:tc>
          <w:tcPr>
            <w:tcW w:w="160" w:type="dxa"/>
            <w:vAlign w:val="bottom"/>
            <w:tcBorders>
              <w:bottom w:val="single" w:sz="8" w:color="C0C0C0"/>
            </w:tcBorders>
            <w:shd w:val="clear" w:color="auto" w:fill="C0C0C0"/>
          </w:tcPr>
          <w:p>
            <w:pPr>
              <w:spacing w:after="0"/>
              <w:rPr>
                <w:sz w:val="20"/>
                <w:szCs w:val="20"/>
                <w:color w:val="auto"/>
              </w:rPr>
            </w:pPr>
          </w:p>
        </w:tc>
        <w:tc>
          <w:tcPr>
            <w:tcW w:w="8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2,959</w:t>
            </w:r>
          </w:p>
        </w:tc>
        <w:tc>
          <w:tcPr>
            <w:tcW w:w="180" w:type="dxa"/>
            <w:vAlign w:val="bottom"/>
            <w:tcBorders>
              <w:bottom w:val="single" w:sz="8" w:color="C0C0C0"/>
            </w:tcBorders>
            <w:shd w:val="clear" w:color="auto" w:fill="C0C0C0"/>
          </w:tcPr>
          <w:p>
            <w:pPr>
              <w:spacing w:after="0"/>
              <w:rPr>
                <w:sz w:val="20"/>
                <w:szCs w:val="20"/>
                <w:color w:val="auto"/>
              </w:rPr>
            </w:pPr>
          </w:p>
        </w:tc>
        <w:tc>
          <w:tcPr>
            <w:tcW w:w="120" w:type="dxa"/>
            <w:vAlign w:val="bottom"/>
            <w:tcBorders>
              <w:bottom w:val="single" w:sz="8" w:color="C0C0C0"/>
            </w:tcBorders>
            <w:shd w:val="clear" w:color="auto" w:fill="C0C0C0"/>
          </w:tcPr>
          <w:p>
            <w:pPr>
              <w:spacing w:after="0"/>
              <w:rPr>
                <w:sz w:val="20"/>
                <w:szCs w:val="20"/>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23,652</w:t>
            </w:r>
          </w:p>
        </w:tc>
      </w:tr>
      <w:tr>
        <w:trPr>
          <w:trHeight w:val="196"/>
        </w:trPr>
        <w:tc>
          <w:tcPr>
            <w:tcW w:w="4320" w:type="dxa"/>
            <w:vAlign w:val="bottom"/>
          </w:tcPr>
          <w:p>
            <w:pPr>
              <w:ind w:left="240"/>
              <w:spacing w:after="0"/>
              <w:rPr>
                <w:sz w:val="20"/>
                <w:szCs w:val="20"/>
                <w:color w:val="auto"/>
              </w:rPr>
            </w:pPr>
            <w:r>
              <w:rPr>
                <w:rFonts w:ascii="Arial" w:cs="Arial" w:eastAsia="Arial" w:hAnsi="Arial"/>
                <w:sz w:val="14"/>
                <w:szCs w:val="14"/>
                <w:color w:val="auto"/>
              </w:rPr>
              <w:t>Sale of common stock through</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r>
      <w:tr>
        <w:trPr>
          <w:trHeight w:val="243"/>
        </w:trPr>
        <w:tc>
          <w:tcPr>
            <w:tcW w:w="4320" w:type="dxa"/>
            <w:vAlign w:val="bottom"/>
          </w:tcPr>
          <w:p>
            <w:pPr>
              <w:ind w:left="480"/>
              <w:spacing w:after="0"/>
              <w:rPr>
                <w:sz w:val="20"/>
                <w:szCs w:val="20"/>
                <w:color w:val="auto"/>
              </w:rPr>
            </w:pPr>
            <w:r>
              <w:rPr>
                <w:rFonts w:ascii="Arial" w:cs="Arial" w:eastAsia="Arial" w:hAnsi="Arial"/>
                <w:sz w:val="14"/>
                <w:szCs w:val="14"/>
                <w:color w:val="auto"/>
              </w:rPr>
              <w:t>employee stock option and</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4320" w:type="dxa"/>
            <w:vAlign w:val="bottom"/>
          </w:tcPr>
          <w:p>
            <w:pPr>
              <w:ind w:left="720"/>
              <w:spacing w:after="0"/>
              <w:rPr>
                <w:sz w:val="20"/>
                <w:szCs w:val="20"/>
                <w:color w:val="auto"/>
              </w:rPr>
            </w:pPr>
            <w:r>
              <w:rPr>
                <w:rFonts w:ascii="Arial" w:cs="Arial" w:eastAsia="Arial" w:hAnsi="Arial"/>
                <w:sz w:val="14"/>
                <w:szCs w:val="14"/>
                <w:color w:val="auto"/>
              </w:rPr>
              <w:t>purchase plans</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93</w:t>
            </w:r>
          </w:p>
        </w:tc>
        <w:tc>
          <w:tcPr>
            <w:tcW w:w="3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105</w:t>
            </w:r>
          </w:p>
        </w:tc>
      </w:tr>
      <w:tr>
        <w:trPr>
          <w:trHeight w:val="41"/>
        </w:trPr>
        <w:tc>
          <w:tcPr>
            <w:tcW w:w="4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3"/>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940" w:type="dxa"/>
            <w:vAlign w:val="bottom"/>
            <w:tcBorders>
              <w:bottom w:val="single" w:sz="8" w:color="C0C0C0"/>
            </w:tcBorders>
            <w:gridSpan w:val="3"/>
            <w:shd w:val="clear" w:color="auto" w:fill="C0C0C0"/>
          </w:tcPr>
          <w:p>
            <w:pPr>
              <w:jc w:val="right"/>
              <w:ind w:right="160"/>
              <w:spacing w:after="0"/>
              <w:rPr>
                <w:sz w:val="20"/>
                <w:szCs w:val="20"/>
                <w:color w:val="auto"/>
              </w:rPr>
            </w:pPr>
            <w:r>
              <w:rPr>
                <w:rFonts w:ascii="Arial" w:cs="Arial" w:eastAsia="Arial" w:hAnsi="Arial"/>
                <w:sz w:val="14"/>
                <w:szCs w:val="14"/>
                <w:color w:val="auto"/>
              </w:rPr>
              <w:t>43</w:t>
            </w:r>
          </w:p>
        </w:tc>
        <w:tc>
          <w:tcPr>
            <w:tcW w:w="3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1,031</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0C0C0"/>
            </w:tcBorders>
            <w:shd w:val="clear" w:color="auto" w:fill="C0C0C0"/>
          </w:tcPr>
          <w:p>
            <w:pPr>
              <w:spacing w:after="0"/>
              <w:rPr>
                <w:sz w:val="19"/>
                <w:szCs w:val="19"/>
                <w:color w:val="auto"/>
              </w:rPr>
            </w:pPr>
          </w:p>
        </w:tc>
        <w:tc>
          <w:tcPr>
            <w:tcW w:w="60" w:type="dxa"/>
            <w:vAlign w:val="bottom"/>
            <w:tcBorders>
              <w:bottom w:val="single" w:sz="8" w:color="C0C0C0"/>
            </w:tcBorders>
            <w:shd w:val="clear" w:color="auto" w:fill="C0C0C0"/>
          </w:tcPr>
          <w:p>
            <w:pPr>
              <w:spacing w:after="0"/>
              <w:rPr>
                <w:sz w:val="19"/>
                <w:szCs w:val="19"/>
                <w:color w:val="auto"/>
              </w:rPr>
            </w:pP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1,031</w:t>
            </w:r>
          </w:p>
        </w:tc>
        <w:tc>
          <w:tcPr>
            <w:tcW w:w="16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1,031</w:t>
            </w:r>
          </w:p>
        </w:tc>
      </w:tr>
      <w:tr>
        <w:trPr>
          <w:trHeight w:val="202"/>
        </w:trPr>
        <w:tc>
          <w:tcPr>
            <w:tcW w:w="4320" w:type="dxa"/>
            <w:vAlign w:val="bottom"/>
          </w:tcPr>
          <w:p>
            <w:pPr>
              <w:spacing w:after="0"/>
              <w:rPr>
                <w:sz w:val="20"/>
                <w:szCs w:val="20"/>
                <w:color w:val="auto"/>
              </w:rPr>
            </w:pPr>
            <w:r>
              <w:rPr>
                <w:rFonts w:ascii="Arial" w:cs="Arial" w:eastAsia="Arial" w:hAnsi="Arial"/>
                <w:sz w:val="14"/>
                <w:szCs w:val="14"/>
                <w:color w:val="auto"/>
              </w:rPr>
              <w:t>Noncontrolling interests’ subsidiary dividend</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350</w:t>
            </w:r>
          </w:p>
        </w:tc>
        <w:tc>
          <w:tcPr>
            <w:tcW w:w="3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1,681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1,685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1,685</w:t>
            </w:r>
          </w:p>
        </w:tc>
      </w:tr>
      <w:tr>
        <w:trPr>
          <w:trHeight w:val="41"/>
        </w:trPr>
        <w:tc>
          <w:tcPr>
            <w:tcW w:w="432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7"/>
        </w:trPr>
        <w:tc>
          <w:tcPr>
            <w:tcW w:w="43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May 2, 2010</w:t>
            </w:r>
          </w:p>
        </w:tc>
        <w:tc>
          <w:tcPr>
            <w:tcW w:w="180" w:type="dxa"/>
            <w:vAlign w:val="bottom"/>
            <w:tcBorders>
              <w:bottom w:val="single" w:sz="8" w:color="C0C0C0"/>
            </w:tcBorders>
            <w:shd w:val="clear" w:color="auto" w:fill="C0C0C0"/>
          </w:tcPr>
          <w:p>
            <w:pPr>
              <w:spacing w:after="0"/>
              <w:rPr>
                <w:sz w:val="18"/>
                <w:szCs w:val="18"/>
                <w:color w:val="auto"/>
              </w:rPr>
            </w:pPr>
          </w:p>
        </w:tc>
        <w:tc>
          <w:tcPr>
            <w:tcW w:w="76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4"/>
                <w:szCs w:val="14"/>
                <w:color w:val="auto"/>
              </w:rPr>
              <w:t>53,497</w:t>
            </w:r>
          </w:p>
        </w:tc>
        <w:tc>
          <w:tcPr>
            <w:tcW w:w="380" w:type="dxa"/>
            <w:vAlign w:val="bottom"/>
            <w:tcBorders>
              <w:bottom w:val="single" w:sz="8" w:color="C0C0C0"/>
            </w:tcBorders>
            <w:shd w:val="clear" w:color="auto" w:fill="C0C0C0"/>
          </w:tcPr>
          <w:p>
            <w:pPr>
              <w:jc w:val="right"/>
              <w:ind w:right="264"/>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535</w:t>
            </w:r>
          </w:p>
        </w:tc>
        <w:tc>
          <w:tcPr>
            <w:tcW w:w="28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434,976</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(18,460)</w:t>
            </w:r>
          </w:p>
        </w:tc>
        <w:tc>
          <w:tcPr>
            <w:tcW w:w="1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6,218</w:t>
            </w:r>
          </w:p>
        </w:tc>
        <w:tc>
          <w:tcPr>
            <w:tcW w:w="160" w:type="dxa"/>
            <w:vAlign w:val="bottom"/>
            <w:tcBorders>
              <w:bottom w:val="single" w:sz="8" w:color="C0C0C0"/>
            </w:tcBorders>
            <w:shd w:val="clear" w:color="auto" w:fill="C0C0C0"/>
          </w:tcPr>
          <w:p>
            <w:pPr>
              <w:spacing w:after="0"/>
              <w:rPr>
                <w:sz w:val="18"/>
                <w:szCs w:val="18"/>
                <w:color w:val="auto"/>
              </w:rPr>
            </w:pPr>
          </w:p>
        </w:tc>
        <w:tc>
          <w:tcPr>
            <w:tcW w:w="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423,269</w:t>
            </w:r>
          </w:p>
        </w:tc>
        <w:tc>
          <w:tcPr>
            <w:tcW w:w="2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52,900</w:t>
            </w:r>
          </w:p>
        </w:tc>
        <w:tc>
          <w:tcPr>
            <w:tcW w:w="180" w:type="dxa"/>
            <w:vAlign w:val="bottom"/>
            <w:tcBorders>
              <w:bottom w:val="single" w:sz="8" w:color="C0C0C0"/>
            </w:tcBorders>
            <w:shd w:val="clear" w:color="auto" w:fill="C0C0C0"/>
          </w:tcPr>
          <w:p>
            <w:pPr>
              <w:spacing w:after="0"/>
              <w:rPr>
                <w:sz w:val="18"/>
                <w:szCs w:val="18"/>
                <w:color w:val="auto"/>
              </w:rPr>
            </w:pPr>
          </w:p>
        </w:tc>
        <w:tc>
          <w:tcPr>
            <w:tcW w:w="120" w:type="dxa"/>
            <w:vAlign w:val="bottom"/>
            <w:tcBorders>
              <w:bottom w:val="single" w:sz="8" w:color="C0C0C0"/>
            </w:tcBorders>
            <w:shd w:val="clear" w:color="auto" w:fill="C0C0C0"/>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476,169</w:t>
            </w:r>
          </w:p>
        </w:tc>
      </w:tr>
      <w:tr>
        <w:trPr>
          <w:trHeight w:val="27"/>
        </w:trPr>
        <w:tc>
          <w:tcPr>
            <w:tcW w:w="4320" w:type="dxa"/>
            <w:vAlign w:val="bottom"/>
            <w:shd w:val="clear" w:color="auto" w:fill="C0C0C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JOINT VENTURE</w:t>
      </w:r>
    </w:p>
    <w:p>
      <w:pPr>
        <w:spacing w:after="0" w:line="285" w:lineRule="exact"/>
        <w:rPr>
          <w:sz w:val="20"/>
          <w:szCs w:val="20"/>
          <w:color w:val="auto"/>
        </w:rPr>
      </w:pPr>
    </w:p>
    <w:p>
      <w:pPr>
        <w:jc w:val="both"/>
        <w:ind w:right="60" w:firstLine="270"/>
        <w:spacing w:after="0" w:line="298" w:lineRule="auto"/>
        <w:rPr>
          <w:sz w:val="20"/>
          <w:szCs w:val="20"/>
          <w:color w:val="auto"/>
        </w:rPr>
      </w:pPr>
      <w:r>
        <w:rPr>
          <w:rFonts w:ascii="Arial" w:cs="Arial" w:eastAsia="Arial" w:hAnsi="Arial"/>
          <w:sz w:val="16"/>
          <w:szCs w:val="16"/>
          <w:color w:val="auto"/>
        </w:rPr>
        <w:t>On May 5, 2006, Photronics and Micron Technology, Inc.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w:t>
      </w:r>
    </w:p>
    <w:p>
      <w:pPr>
        <w:spacing w:after="0" w:line="221"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This joint venture is a variable interest entity ("VIE") (as that term is defined in the Accounting Standards Codification ("ASC") ) primarily because all costs of the joint venture will be passed on to the Company and Micron through purchase agreements they have entered into with the joint venture. In accordance with accounting guidance issued by the Financial Accounting Standards Board (“FASB”) in June 2009,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greater voting power, if necessary,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26"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$4.8 million and $8.3 million and research and development expenses of $0.2 million and $0.5 million during the three and six month periods ended May 1, 2011. Cost of sales of $1.5 million and $2.7 million and research and development expenses of $0.2 million and $0.5 million were recorded during the three and six month periods ended May 2, 2010.</w:t>
      </w:r>
    </w:p>
    <w:p>
      <w:pPr>
        <w:spacing w:after="0" w:line="224"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percentage may be reduced. During the three and six month periods ended May 1, 2011, the Company increased its investment in MP Mask by $6.2 million and $10.2 million, respectively, primarily related to capital calls requested by the joint venture. The Company did not make any contributions to MP Mask during its first half of fiscal 2010, and did not receive any distributions from MP Mask during its first half of fiscal 2011 or 2010.</w:t>
      </w:r>
    </w:p>
    <w:p>
      <w:pPr>
        <w:spacing w:after="0" w:line="228"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The Company's investment in the VIE, which represents its maximum exposure to loss, was $72.0 million at May 1, 2011 and $61.1 million at October 31, 2010. These amounts are reported in the Company's condensed consolidated balance sheets as "Investment in joint venture". The Company recorded income from its investment in the VIE of $0.6 million in the six month period ended May 1, 2011, and recorded no income from its investment in the three month period ended May 1, 2011, or in the three and six month periods ended May 2, 2010. Income from the VIE is included in "Investment and other income, net" in the condensed consolidated statements of operations.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8"/>
        </w:trPr>
        <w:tc>
          <w:tcPr>
            <w:tcW w:w="6700" w:type="dxa"/>
            <w:vAlign w:val="bottom"/>
          </w:tcPr>
          <w:p>
            <w:pPr>
              <w:spacing w:after="0"/>
              <w:rPr>
                <w:sz w:val="20"/>
                <w:szCs w:val="20"/>
                <w:color w:val="auto"/>
              </w:rPr>
            </w:pPr>
            <w:r>
              <w:rPr>
                <w:rFonts w:ascii="Arial" w:cs="Arial" w:eastAsia="Arial" w:hAnsi="Arial"/>
                <w:sz w:val="18"/>
                <w:szCs w:val="18"/>
                <w:b w:val="1"/>
                <w:bCs w:val="1"/>
                <w:color w:val="auto"/>
              </w:rPr>
              <w:t>NOTE 4 - LONG-TERM BORROWINGS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86"/>
        </w:trPr>
        <w:tc>
          <w:tcPr>
            <w:tcW w:w="6700" w:type="dxa"/>
            <w:vAlign w:val="bottom"/>
          </w:tcPr>
          <w:p>
            <w:pPr>
              <w:ind w:left="280"/>
              <w:spacing w:after="0"/>
              <w:rPr>
                <w:sz w:val="20"/>
                <w:szCs w:val="20"/>
                <w:color w:val="auto"/>
              </w:rPr>
            </w:pPr>
            <w:r>
              <w:rPr>
                <w:rFonts w:ascii="Arial" w:cs="Arial" w:eastAsia="Arial" w:hAnsi="Arial"/>
                <w:sz w:val="18"/>
                <w:szCs w:val="18"/>
                <w:color w:val="auto"/>
              </w:rPr>
              <w:t>Long-term borrowings consist of the following:</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73"/>
        </w:trPr>
        <w:tc>
          <w:tcPr>
            <w:tcW w:w="6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October 31,</w:t>
            </w:r>
          </w:p>
        </w:tc>
      </w:tr>
      <w:tr>
        <w:trPr>
          <w:trHeight w:val="252"/>
        </w:trPr>
        <w:tc>
          <w:tcPr>
            <w:tcW w:w="670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r>
      <w:tr>
        <w:trPr>
          <w:trHeight w:val="228"/>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3.25% convertible senior notes</w:t>
            </w:r>
          </w:p>
        </w:tc>
        <w:tc>
          <w:tcPr>
            <w:tcW w:w="2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7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r>
      <w:tr>
        <w:trPr>
          <w:trHeight w:val="259"/>
        </w:trPr>
        <w:tc>
          <w:tcPr>
            <w:tcW w:w="6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due on April 1, 2016</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00" w:type="dxa"/>
            <w:vAlign w:val="bottom"/>
          </w:tcPr>
          <w:p>
            <w:pPr>
              <w:spacing w:after="0"/>
              <w:rPr>
                <w:sz w:val="20"/>
                <w:szCs w:val="20"/>
                <w:color w:val="auto"/>
              </w:rPr>
            </w:pPr>
            <w:r>
              <w:rPr>
                <w:rFonts w:ascii="Arial" w:cs="Arial" w:eastAsia="Arial" w:hAnsi="Arial"/>
                <w:sz w:val="18"/>
                <w:szCs w:val="18"/>
                <w:color w:val="auto"/>
              </w:rPr>
              <w:t>5.5% convertible senior notes due</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1"/>
        </w:trPr>
        <w:tc>
          <w:tcPr>
            <w:tcW w:w="6700" w:type="dxa"/>
            <w:vAlign w:val="bottom"/>
          </w:tcPr>
          <w:p>
            <w:pPr>
              <w:ind w:left="320"/>
              <w:spacing w:after="0"/>
              <w:rPr>
                <w:sz w:val="20"/>
                <w:szCs w:val="20"/>
                <w:color w:val="auto"/>
              </w:rPr>
            </w:pPr>
            <w:r>
              <w:rPr>
                <w:rFonts w:ascii="Arial" w:cs="Arial" w:eastAsia="Arial" w:hAnsi="Arial"/>
                <w:sz w:val="18"/>
                <w:szCs w:val="18"/>
                <w:color w:val="auto"/>
              </w:rPr>
              <w:t>on October 1, 2014</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27,054</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57,500</w:t>
            </w:r>
          </w:p>
        </w:tc>
      </w:tr>
      <w:tr>
        <w:trPr>
          <w:trHeight w:val="235"/>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3.09% capital lease obligation payable</w:t>
            </w: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r>
      <w:tr>
        <w:trPr>
          <w:trHeight w:val="259"/>
        </w:trPr>
        <w:tc>
          <w:tcPr>
            <w:tcW w:w="6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through March 2016</w:t>
            </w:r>
          </w:p>
        </w:tc>
        <w:tc>
          <w:tcPr>
            <w:tcW w:w="26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20,867</w:t>
            </w:r>
          </w:p>
        </w:tc>
        <w:tc>
          <w:tcPr>
            <w:tcW w:w="220" w:type="dxa"/>
            <w:vAlign w:val="bottom"/>
            <w:shd w:val="clear" w:color="auto" w:fill="C0C0C0"/>
          </w:tcPr>
          <w:p>
            <w:pPr>
              <w:spacing w:after="0"/>
              <w:rPr>
                <w:sz w:val="22"/>
                <w:szCs w:val="22"/>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4.75% financing loan with customer</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2,464</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51"/>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8.0% capital lease obligation</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16,220</w:t>
            </w:r>
          </w:p>
        </w:tc>
      </w:tr>
      <w:tr>
        <w:trPr>
          <w:trHeight w:val="235"/>
        </w:trPr>
        <w:tc>
          <w:tcPr>
            <w:tcW w:w="6700" w:type="dxa"/>
            <w:vAlign w:val="bottom"/>
          </w:tcPr>
          <w:p>
            <w:pPr>
              <w:spacing w:after="0"/>
              <w:rPr>
                <w:sz w:val="20"/>
                <w:szCs w:val="20"/>
                <w:color w:val="auto"/>
              </w:rPr>
            </w:pPr>
            <w:r>
              <w:rPr>
                <w:rFonts w:ascii="Arial" w:cs="Arial" w:eastAsia="Arial" w:hAnsi="Arial"/>
                <w:sz w:val="18"/>
                <w:szCs w:val="18"/>
                <w:color w:val="auto"/>
              </w:rPr>
              <w:t>5.6% capital lease obligation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8,645</w:t>
            </w:r>
          </w:p>
        </w:tc>
      </w:tr>
      <w:tr>
        <w:trPr>
          <w:trHeight w:val="235"/>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Borrowings under revolving credit facility, which</w:t>
            </w: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r>
      <w:tr>
        <w:trPr>
          <w:trHeight w:val="243"/>
        </w:trPr>
        <w:tc>
          <w:tcPr>
            <w:tcW w:w="67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bear interest at a variable rate, as defined (3.8% at</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r>
      <w:tr>
        <w:trPr>
          <w:trHeight w:val="252"/>
        </w:trPr>
        <w:tc>
          <w:tcPr>
            <w:tcW w:w="6700" w:type="dxa"/>
            <w:vAlign w:val="bottom"/>
            <w:shd w:val="clear" w:color="auto" w:fill="C0C0C0"/>
          </w:tcPr>
          <w:p>
            <w:pPr>
              <w:ind w:left="620"/>
              <w:spacing w:after="0"/>
              <w:rPr>
                <w:sz w:val="20"/>
                <w:szCs w:val="20"/>
                <w:color w:val="auto"/>
              </w:rPr>
            </w:pPr>
            <w:r>
              <w:rPr>
                <w:rFonts w:ascii="Arial" w:cs="Arial" w:eastAsia="Arial" w:hAnsi="Arial"/>
                <w:sz w:val="18"/>
                <w:szCs w:val="18"/>
                <w:color w:val="auto"/>
              </w:rPr>
              <w:t>October 31, 2010)</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5,000</w:t>
            </w:r>
          </w:p>
        </w:tc>
      </w:tr>
      <w:tr>
        <w:trPr>
          <w:trHeight w:val="235"/>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165,385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90,319</w:t>
            </w:r>
          </w:p>
        </w:tc>
      </w:tr>
      <w:tr>
        <w:trPr>
          <w:trHeight w:val="244"/>
        </w:trPr>
        <w:tc>
          <w:tcPr>
            <w:tcW w:w="6700" w:type="dxa"/>
            <w:vAlign w:val="bottom"/>
            <w:shd w:val="clear" w:color="auto" w:fill="C0C0C0"/>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5,827</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11,467</w:t>
            </w:r>
          </w:p>
        </w:tc>
      </w:tr>
      <w:tr>
        <w:trPr>
          <w:trHeight w:val="250"/>
        </w:trPr>
        <w:tc>
          <w:tcPr>
            <w:tcW w:w="6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159,558</w:t>
            </w:r>
          </w:p>
        </w:tc>
        <w:tc>
          <w:tcPr>
            <w:tcW w:w="26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78,852</w:t>
            </w:r>
          </w:p>
        </w:tc>
      </w:tr>
    </w:tbl>
    <w:p>
      <w:pPr>
        <w:spacing w:after="0" w:line="262"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On March 28,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dates. Interest on the notes accrues in arrears, and is to be paid semiannually through the notes’ maturity date, with payments commencing on October 1, 2011. The net proceeds of the notes were approximately $110.5 million, which were used, in part, to repurchase $30.4 million of the Company’s 5.5% convertible senior notes which were to mature on October 1, 2014, and to repay, in full, its then outstanding obligations under capital leases of $19.8 million. The Company intends to use the remainder of the net proceeds to acquire, from time to time, additional amounts of its remaining outstanding 5.5% convertible senior notes and for general corporate purposes, which may include, among other things, working capital and capital expenditures.</w:t>
      </w:r>
    </w:p>
    <w:p>
      <w:pPr>
        <w:spacing w:after="0" w:line="231"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On March 18, 2011, the Company amended its revolving credit facility (“the credit facility”) which included, among other things: i) a reduction of the aggregate commitments of the lenders from $65 million to $30 million; ii) a reduction of the applicable interest rates and modifications of the leverage ratios relating thereto; iii) an extension of the maturity date to April 30, 2015; iv) an increase of certain financed capital assets up to $75 million outstanding at any one time; v) an allowance to issue the 3.25% convertible senior notes; vi) an increase in the investments “basket” from $15 million to $25 million per year; vii) an allowance to repurchase the 5.5% convertible senior notes and other indebtedness; and viii) removal of the limitation on maximum last twelve months capital expenditures. The credit facility bears interest (2.75% at May 1, 2011), based on the Company’s total leverage ratio, at LIBOR plus a spread, as defined in the credit facility.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1" w:name="page12"/>
    <w:bookmarkEnd w:id="11"/>
    <w:p>
      <w:pPr>
        <w:ind w:right="80" w:firstLine="270"/>
        <w:spacing w:after="0" w:line="256" w:lineRule="auto"/>
        <w:rPr>
          <w:sz w:val="20"/>
          <w:szCs w:val="20"/>
          <w:color w:val="auto"/>
        </w:rPr>
      </w:pPr>
      <w:r>
        <w:rPr>
          <w:rFonts w:ascii="Arial" w:cs="Arial" w:eastAsia="Arial" w:hAnsi="Arial"/>
          <w:sz w:val="18"/>
          <w:szCs w:val="18"/>
          <w:color w:val="auto"/>
        </w:rPr>
        <w:t>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The Company, in connection with a February 2010 amendment to the credit facility, wrote off $1.0 million of deferred financing fees in its second quarter of fiscal 2010.</w:t>
      </w:r>
    </w:p>
    <w:p>
      <w:pPr>
        <w:spacing w:after="0" w:line="251" w:lineRule="exact"/>
        <w:rPr>
          <w:sz w:val="20"/>
          <w:szCs w:val="20"/>
          <w:color w:val="auto"/>
        </w:rPr>
      </w:pPr>
    </w:p>
    <w:p>
      <w:pPr>
        <w:ind w:right="340" w:firstLine="270"/>
        <w:spacing w:after="0" w:line="332" w:lineRule="auto"/>
        <w:rPr>
          <w:sz w:val="20"/>
          <w:szCs w:val="20"/>
          <w:color w:val="auto"/>
        </w:rPr>
      </w:pPr>
      <w:r>
        <w:rPr>
          <w:rFonts w:ascii="Arial" w:cs="Arial" w:eastAsia="Arial" w:hAnsi="Arial"/>
          <w:sz w:val="16"/>
          <w:szCs w:val="16"/>
          <w:color w:val="auto"/>
        </w:rPr>
        <w:t>In January 2011 a $10 million irrevocable stand-by letter of credit for the purchase of manufacturing equipment was issued under the credit facility. As of May 1, 2011, the Company had no outstanding borrowings under the credit facility and $20 million was available for borrowing.</w:t>
      </w:r>
    </w:p>
    <w:p>
      <w:pPr>
        <w:spacing w:after="0" w:line="193"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196.7052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w:t>
      </w:r>
    </w:p>
    <w:p>
      <w:pPr>
        <w:spacing w:after="0" w:line="252"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On March 29, 2011, the Company repurchased approximately $30.4 million of its 5.5% convertible senior notes in exchange for approximately 4.5 million shares of its common stock with an approximate fair value of $39.2 million and cash of approximately $19.7 million (the note holders received 147.529 shares and cash of $647 for each $1,000 note). The Company, in connection with this repurchase, recorded an extinguishment loss of $30.1 million, which includes the write off of deferred financing fees of $1.7 million. The loss is included in other income (expense) in the Company's condensed consolidated statements of operations.</w:t>
      </w:r>
    </w:p>
    <w:p>
      <w:pPr>
        <w:spacing w:after="0" w:line="25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The interest rate of the new lease agreement remained at 8%. As a result of the new lease agreement, the Company reduced its lease obligation and the carrying value of its assets under capital leases by approximately $28 million. The lease obligation was paid in full with a portion of the net proceeds of the March 28, 2011 issuance of its 3.25% convertible senior notes. The lease will be accounted for as an operating lease during the additional two years of the new lease term.</w:t>
      </w:r>
    </w:p>
    <w:p>
      <w:pPr>
        <w:spacing w:after="0" w:line="226"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On April 29, 2011, the Company entered into a 5-year,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May 1, 2011, the total amount payable through the end of the lease term was $22.5 million, of which $20.9 million represented principal and $1.6 million represented interest.</w:t>
      </w:r>
    </w:p>
    <w:p>
      <w:pPr>
        <w:spacing w:after="0" w:line="251" w:lineRule="exact"/>
        <w:rPr>
          <w:sz w:val="20"/>
          <w:szCs w:val="20"/>
          <w:color w:val="auto"/>
        </w:rPr>
      </w:pPr>
    </w:p>
    <w:p>
      <w:pPr>
        <w:ind w:right="160" w:firstLine="270"/>
        <w:spacing w:after="0" w:line="255"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Payments under the lease were $0.4 million per month over a 5-year term at a 5.6% interest rate. On April 6, 2011, the Company used a portion of the net proceeds of the March 28, 2011 issuance of its 3.25% convertible senior notes, to repay in full the outstanding balance of this lease of $7.0 million. In connection with this repayment, the Company paid a $0.2 million prepayment penalty which was recorded as a debt extinguishment loss, included in other income (expense) in the Company's condensed statement of operations.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2" w:name="page13"/>
    <w:bookmarkEnd w:id="12"/>
    <w:p>
      <w:pPr>
        <w:ind w:firstLine="270"/>
        <w:spacing w:after="0" w:line="294" w:lineRule="auto"/>
        <w:rPr>
          <w:sz w:val="20"/>
          <w:szCs w:val="20"/>
          <w:color w:val="auto"/>
        </w:rPr>
      </w:pPr>
      <w:r>
        <w:rPr>
          <w:rFonts w:ascii="Arial" w:cs="Arial" w:eastAsia="Arial" w:hAnsi="Arial"/>
          <w:sz w:val="16"/>
          <w:szCs w:val="16"/>
          <w:color w:val="auto"/>
        </w:rPr>
        <w:t>In January 2010 the Company borrowed $3.7 million from a customer to purchase manufacturing equipment. This loan bears interest at 4.75% and is primarily being repaid with product supplied to the customer. Product valued at $0.3 million and $0.6 million was shipped to the customer and applied against the loan during the three and six month periods ended May 1, 2011, and product valued at $0.2 million was shipped and applied against the loan during the comparable prior year periods. During the three month period ending July 31, 2011, the Company will make a cash payment against this loan of approximately $0.9 million. The Company estimates that the loan will be fully repaid in fiscal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 WARRANTS</w:t>
      </w:r>
    </w:p>
    <w:p>
      <w:pPr>
        <w:spacing w:after="0" w:line="28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The warrants were recorded at their fair value on their date of grant, which was determined using the Black-Scholes option pricing model. As of May 1, 2011, none of the warrants had been exercised.</w:t>
      </w:r>
    </w:p>
    <w:p>
      <w:pPr>
        <w:spacing w:after="0" w:line="226" w:lineRule="exact"/>
        <w:rPr>
          <w:sz w:val="20"/>
          <w:szCs w:val="20"/>
          <w:color w:val="auto"/>
        </w:rPr>
      </w:pPr>
    </w:p>
    <w:p>
      <w:pPr>
        <w:ind w:right="20" w:firstLine="270"/>
        <w:spacing w:after="0" w:line="268" w:lineRule="auto"/>
        <w:rPr>
          <w:sz w:val="20"/>
          <w:szCs w:val="20"/>
          <w:color w:val="auto"/>
        </w:rPr>
      </w:pPr>
      <w:r>
        <w:rPr>
          <w:rFonts w:ascii="Arial" w:cs="Arial" w:eastAsia="Arial" w:hAnsi="Arial"/>
          <w:sz w:val="18"/>
          <w:szCs w:val="18"/>
          <w:color w:val="auto"/>
        </w:rPr>
        <w:t>In conjunction with the May 2009 amendment to its credit facility, the Company also entered into a warrant agreement with its lenders. See Note 6 for further discussion of these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INSTRUMENTS AND HEDGING ACTIVITIES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historically has not been a party to a significant number of derivative instruments and does not expect its derivative activity to significantly increase in the foreseeable future.</w:t>
      </w:r>
    </w:p>
    <w:p>
      <w:pPr>
        <w:spacing w:after="0" w:line="228"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48"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On May 15,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44" w:right="279" w:bottom="1440" w:gutter="0" w:footer="0" w:header="0"/>
        </w:sectPr>
      </w:pPr>
    </w:p>
    <w:bookmarkStart w:id="13" w:name="page14"/>
    <w:bookmarkEnd w:id="13"/>
    <w:p>
      <w:pPr>
        <w:ind w:left="280"/>
        <w:spacing w:after="0"/>
        <w:rPr>
          <w:sz w:val="20"/>
          <w:szCs w:val="20"/>
          <w:color w:val="auto"/>
        </w:rPr>
      </w:pPr>
      <w:r>
        <w:rPr>
          <w:rFonts w:ascii="Arial" w:cs="Arial" w:eastAsia="Arial" w:hAnsi="Arial"/>
          <w:sz w:val="16"/>
          <w:szCs w:val="16"/>
          <w:color w:val="auto"/>
        </w:rPr>
        <w:t>A portion of an existing loss on a cash flow hedge in the amount of $0.1 million is expected to be reclassified to earnings over the next twelve months.</w:t>
      </w:r>
    </w:p>
    <w:p>
      <w:pPr>
        <w:spacing w:after="0" w:line="30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table below presents the effect of derivative instruments on the Company's condensed consolidated balance sheets at May 1, 2011 and October 31, 2010.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Not Designated</w:t>
            </w: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as Hedging</w:t>
            </w:r>
          </w:p>
        </w:tc>
        <w:tc>
          <w:tcPr>
            <w:tcW w:w="4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6"/>
          </w:tcPr>
          <w:p>
            <w:pPr>
              <w:ind w:left="440"/>
              <w:spacing w:after="0"/>
              <w:rPr>
                <w:sz w:val="20"/>
                <w:szCs w:val="20"/>
                <w:color w:val="auto"/>
              </w:rPr>
            </w:pPr>
            <w:r>
              <w:rPr>
                <w:rFonts w:ascii="Arial" w:cs="Arial" w:eastAsia="Arial" w:hAnsi="Arial"/>
                <w:sz w:val="18"/>
                <w:szCs w:val="18"/>
                <w:b w:val="1"/>
                <w:bCs w:val="1"/>
                <w:color w:val="auto"/>
              </w:rPr>
              <w:t>Fair Value at</w:t>
            </w:r>
          </w:p>
        </w:tc>
      </w:tr>
      <w:tr>
        <w:trPr>
          <w:trHeight w:val="228"/>
        </w:trPr>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Instruments Under</w:t>
            </w:r>
          </w:p>
        </w:tc>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May 1,</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9"/>
                <w:szCs w:val="19"/>
                <w:color w:val="auto"/>
              </w:rPr>
            </w:pPr>
          </w:p>
        </w:tc>
      </w:tr>
      <w:tr>
        <w:trPr>
          <w:trHeight w:val="251"/>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60" w:type="dxa"/>
            <w:vAlign w:val="bottom"/>
            <w:tcBorders>
              <w:bottom w:val="single" w:sz="8" w:color="C0C0C0"/>
            </w:tcBorders>
          </w:tcPr>
          <w:p>
            <w:pPr>
              <w:spacing w:after="0"/>
              <w:rPr>
                <w:sz w:val="21"/>
                <w:szCs w:val="21"/>
                <w:color w:val="auto"/>
              </w:rPr>
            </w:pPr>
          </w:p>
        </w:tc>
        <w:tc>
          <w:tcPr>
            <w:tcW w:w="480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220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7"/>
              </w:rPr>
              <w:t>Warrants on common stock</w:t>
            </w:r>
          </w:p>
        </w:tc>
        <w:tc>
          <w:tcPr>
            <w:tcW w:w="50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8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9"/>
              </w:rPr>
              <w:t>$   1,544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21"/>
                <w:szCs w:val="21"/>
                <w:color w:val="auto"/>
              </w:rPr>
            </w:pPr>
          </w:p>
        </w:tc>
      </w:tr>
    </w:tbl>
    <w:p>
      <w:pPr>
        <w:spacing w:after="0" w:line="262"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statements of operations for the three and six month periods ended May 1, 2011 and May 2,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Derivatives</w:t>
            </w:r>
          </w:p>
        </w:tc>
        <w:tc>
          <w:tcPr>
            <w:tcW w:w="2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2"/>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Not Designated</w:t>
            </w:r>
          </w:p>
        </w:tc>
        <w:tc>
          <w:tcPr>
            <w:tcW w:w="2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10"/>
          </w:tcPr>
          <w:p>
            <w:pPr>
              <w:jc w:val="right"/>
              <w:ind w:right="172"/>
              <w:spacing w:after="0"/>
              <w:rPr>
                <w:sz w:val="20"/>
                <w:szCs w:val="20"/>
                <w:color w:val="auto"/>
              </w:rPr>
            </w:pPr>
            <w:r>
              <w:rPr>
                <w:rFonts w:ascii="Arial" w:cs="Arial" w:eastAsia="Arial" w:hAnsi="Arial"/>
                <w:sz w:val="18"/>
                <w:szCs w:val="18"/>
                <w:b w:val="1"/>
                <w:bCs w:val="1"/>
                <w:color w:val="auto"/>
                <w:w w:val="88"/>
              </w:rPr>
              <w:t>Amount of Loss Recognized Related to Derivative Instruments</w:t>
            </w:r>
          </w:p>
        </w:tc>
      </w:tr>
      <w:tr>
        <w:trPr>
          <w:trHeight w:val="237"/>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as Hedging</w:t>
            </w:r>
          </w:p>
        </w:tc>
        <w:tc>
          <w:tcPr>
            <w:tcW w:w="260" w:type="dxa"/>
            <w:vAlign w:val="bottom"/>
          </w:tcPr>
          <w:p>
            <w:pPr>
              <w:spacing w:after="0"/>
              <w:rPr>
                <w:sz w:val="20"/>
                <w:szCs w:val="20"/>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Location of Loss</w:t>
            </w: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Instruments Under</w:t>
            </w:r>
          </w:p>
        </w:tc>
        <w:tc>
          <w:tcPr>
            <w:tcW w:w="260" w:type="dxa"/>
            <w:vAlign w:val="bottom"/>
          </w:tcPr>
          <w:p>
            <w:pPr>
              <w:spacing w:after="0"/>
              <w:rPr>
                <w:sz w:val="19"/>
                <w:szCs w:val="19"/>
                <w:color w:val="auto"/>
              </w:rPr>
            </w:pPr>
          </w:p>
        </w:tc>
        <w:tc>
          <w:tcPr>
            <w:tcW w:w="4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Related to</w:t>
            </w:r>
          </w:p>
        </w:tc>
        <w:tc>
          <w:tcPr>
            <w:tcW w:w="16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May 1,</w:t>
            </w:r>
          </w:p>
        </w:tc>
        <w:tc>
          <w:tcPr>
            <w:tcW w:w="180" w:type="dxa"/>
            <w:vAlign w:val="bottom"/>
          </w:tcPr>
          <w:p>
            <w:pPr>
              <w:spacing w:after="0"/>
              <w:rPr>
                <w:sz w:val="19"/>
                <w:szCs w:val="19"/>
                <w:color w:val="auto"/>
              </w:rPr>
            </w:pPr>
          </w:p>
        </w:tc>
        <w:tc>
          <w:tcPr>
            <w:tcW w:w="920" w:type="dxa"/>
            <w:vAlign w:val="bottom"/>
          </w:tcPr>
          <w:p>
            <w:pPr>
              <w:jc w:val="center"/>
              <w:ind w:right="112"/>
              <w:spacing w:after="0"/>
              <w:rPr>
                <w:sz w:val="20"/>
                <w:szCs w:val="20"/>
                <w:color w:val="auto"/>
              </w:rPr>
            </w:pPr>
            <w:r>
              <w:rPr>
                <w:rFonts w:ascii="Arial" w:cs="Arial" w:eastAsia="Arial" w:hAnsi="Arial"/>
                <w:sz w:val="18"/>
                <w:szCs w:val="18"/>
                <w:b w:val="1"/>
                <w:bCs w:val="1"/>
                <w:color w:val="auto"/>
                <w:w w:val="94"/>
              </w:rPr>
              <w:t>May 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right="112"/>
              <w:spacing w:after="0"/>
              <w:rPr>
                <w:sz w:val="20"/>
                <w:szCs w:val="20"/>
                <w:color w:val="auto"/>
              </w:rPr>
            </w:pPr>
            <w:r>
              <w:rPr>
                <w:rFonts w:ascii="Arial" w:cs="Arial" w:eastAsia="Arial" w:hAnsi="Arial"/>
                <w:sz w:val="18"/>
                <w:szCs w:val="18"/>
                <w:b w:val="1"/>
                <w:bCs w:val="1"/>
                <w:color w:val="auto"/>
                <w:w w:val="90"/>
              </w:rPr>
              <w:t>May 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May 2,</w:t>
            </w:r>
          </w:p>
        </w:tc>
      </w:tr>
      <w:tr>
        <w:trPr>
          <w:trHeight w:val="251"/>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60" w:type="dxa"/>
            <w:vAlign w:val="bottom"/>
            <w:tcBorders>
              <w:bottom w:val="single" w:sz="8" w:color="C0C0C0"/>
            </w:tcBorders>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Derivative Instruments</w:t>
            </w: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r>
      <w:tr>
        <w:trPr>
          <w:trHeight w:val="228"/>
        </w:trPr>
        <w:tc>
          <w:tcPr>
            <w:tcW w:w="1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Warrants on common stock</w:t>
            </w:r>
          </w:p>
        </w:tc>
        <w:tc>
          <w:tcPr>
            <w:tcW w:w="260" w:type="dxa"/>
            <w:vAlign w:val="bottom"/>
            <w:shd w:val="clear" w:color="auto" w:fill="C0C0C0"/>
          </w:tcPr>
          <w:p>
            <w:pPr>
              <w:spacing w:after="0"/>
              <w:rPr>
                <w:sz w:val="19"/>
                <w:szCs w:val="19"/>
                <w:color w:val="auto"/>
              </w:rPr>
            </w:pPr>
          </w:p>
        </w:tc>
        <w:tc>
          <w:tcPr>
            <w:tcW w:w="40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Investment and other income</w:t>
            </w:r>
          </w:p>
        </w:tc>
        <w:tc>
          <w:tcPr>
            <w:tcW w:w="16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00" w:type="dxa"/>
            <w:vAlign w:val="bottom"/>
            <w:shd w:val="clear" w:color="auto" w:fill="C0C0C0"/>
          </w:tcPr>
          <w:p>
            <w:pPr>
              <w:spacing w:after="0"/>
              <w:rPr>
                <w:sz w:val="19"/>
                <w:szCs w:val="19"/>
                <w:color w:val="auto"/>
              </w:rPr>
            </w:pPr>
          </w:p>
        </w:tc>
      </w:tr>
      <w:tr>
        <w:trPr>
          <w:trHeight w:val="259"/>
        </w:trPr>
        <w:tc>
          <w:tcPr>
            <w:tcW w:w="19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404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(860)</w:t>
            </w:r>
          </w:p>
        </w:tc>
        <w:tc>
          <w:tcPr>
            <w:tcW w:w="46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(820)</w:t>
            </w:r>
          </w:p>
        </w:tc>
        <w:tc>
          <w:tcPr>
            <w:tcW w:w="4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(751)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85" w:lineRule="exact"/>
        <w:rPr>
          <w:sz w:val="20"/>
          <w:szCs w:val="20"/>
          <w:color w:val="auto"/>
        </w:rPr>
      </w:pPr>
    </w:p>
    <w:p>
      <w:pPr>
        <w:ind w:right="20" w:firstLine="270"/>
        <w:spacing w:after="0" w:line="287" w:lineRule="auto"/>
        <w:rPr>
          <w:sz w:val="20"/>
          <w:szCs w:val="20"/>
          <w:color w:val="auto"/>
        </w:rPr>
      </w:pPr>
      <w:r>
        <w:rPr>
          <w:rFonts w:ascii="Arial" w:cs="Arial" w:eastAsia="Arial" w:hAnsi="Arial"/>
          <w:sz w:val="16"/>
          <w:szCs w:val="16"/>
          <w:color w:val="auto"/>
        </w:rPr>
        <w:t>In March 2007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costs for the three and six month periods ended May 1, 2011, of $0.6 million and $1.1 million, respectively, and $0.3 million and $0.8 million for the three and six month periods ended May 2, 2010, respectively. The Company received cash from option exercises of $0.1 million and $0.2 million for the three and six month periods ended May 1, 2011, respectively, and $0.1 million for both the three and six month periods ended May 2, 2010. No share-based compensation cost was capitalized as part of inventory and no related income tax benefits were recorded during the periods presented.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Stock Options</w:t>
      </w:r>
    </w:p>
    <w:p>
      <w:pPr>
        <w:spacing w:after="0" w:line="28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values of options are based on closing prices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 The weighted-average inputs and risk-free rate of return ranges used to calculate the grant date fair value of options issued during the three and six month periods ended May 1, 2011 and May 2, 2010, are presented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80" w:type="dxa"/>
            <w:vAlign w:val="bottom"/>
          </w:tcPr>
          <w:p>
            <w:pPr>
              <w:spacing w:after="0"/>
              <w:rPr>
                <w:sz w:val="20"/>
                <w:szCs w:val="20"/>
                <w:color w:val="auto"/>
              </w:rPr>
            </w:pPr>
          </w:p>
        </w:tc>
        <w:tc>
          <w:tcPr>
            <w:tcW w:w="194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800" w:type="dxa"/>
            <w:vAlign w:val="bottom"/>
            <w:gridSpan w:val="3"/>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7680" w:type="dxa"/>
            <w:vAlign w:val="bottom"/>
          </w:tcPr>
          <w:p>
            <w:pPr>
              <w:spacing w:after="0"/>
              <w:rPr>
                <w:sz w:val="19"/>
                <w:szCs w:val="19"/>
                <w:color w:val="auto"/>
              </w:rPr>
            </w:pPr>
          </w:p>
        </w:tc>
        <w:tc>
          <w:tcPr>
            <w:tcW w:w="10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May 1,</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May 2,</w:t>
            </w:r>
          </w:p>
        </w:tc>
        <w:tc>
          <w:tcPr>
            <w:tcW w:w="280" w:type="dxa"/>
            <w:vAlign w:val="bottom"/>
          </w:tcPr>
          <w:p>
            <w:pPr>
              <w:spacing w:after="0"/>
              <w:rPr>
                <w:sz w:val="19"/>
                <w:szCs w:val="19"/>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May 1,</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May 2,</w:t>
            </w:r>
          </w:p>
        </w:tc>
      </w:tr>
      <w:tr>
        <w:trPr>
          <w:trHeight w:val="251"/>
        </w:trPr>
        <w:tc>
          <w:tcPr>
            <w:tcW w:w="768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Borders>
              <w:bottom w:val="single" w:sz="8" w:color="C0C0C0"/>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2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r>
      <w:tr>
        <w:trPr>
          <w:trHeight w:val="243"/>
        </w:trPr>
        <w:tc>
          <w:tcPr>
            <w:tcW w:w="7680" w:type="dxa"/>
            <w:vAlign w:val="bottom"/>
            <w:shd w:val="clear" w:color="auto" w:fill="C0C0C0"/>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98.8%</w:t>
            </w:r>
          </w:p>
        </w:tc>
        <w:tc>
          <w:tcPr>
            <w:tcW w:w="26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center"/>
              <w:ind w:right="260"/>
              <w:spacing w:after="0"/>
              <w:rPr>
                <w:sz w:val="20"/>
                <w:szCs w:val="20"/>
                <w:color w:val="auto"/>
              </w:rPr>
            </w:pPr>
            <w:r>
              <w:rPr>
                <w:rFonts w:ascii="Arial" w:cs="Arial" w:eastAsia="Arial" w:hAnsi="Arial"/>
                <w:sz w:val="18"/>
                <w:szCs w:val="18"/>
                <w:color w:val="auto"/>
                <w:w w:val="99"/>
              </w:rPr>
              <w:t>N/A</w:t>
            </w: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98.7%</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89.3%</w:t>
            </w:r>
          </w:p>
        </w:tc>
      </w:tr>
      <w:tr>
        <w:trPr>
          <w:trHeight w:val="243"/>
        </w:trPr>
        <w:tc>
          <w:tcPr>
            <w:tcW w:w="7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7680" w:type="dxa"/>
            <w:vAlign w:val="bottom"/>
            <w:shd w:val="clear" w:color="auto" w:fill="C0C0C0"/>
          </w:tcPr>
          <w:p>
            <w:pPr>
              <w:spacing w:after="0"/>
              <w:rPr>
                <w:sz w:val="20"/>
                <w:szCs w:val="20"/>
                <w:color w:val="auto"/>
              </w:rPr>
            </w:pPr>
            <w:r>
              <w:rPr>
                <w:rFonts w:ascii="Arial" w:cs="Arial" w:eastAsia="Arial" w:hAnsi="Arial"/>
                <w:sz w:val="18"/>
                <w:szCs w:val="18"/>
                <w:color w:val="auto"/>
              </w:rPr>
              <w:t>Risk free rate of return</w:t>
            </w:r>
          </w:p>
        </w:tc>
        <w:tc>
          <w:tcPr>
            <w:tcW w:w="8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1.9%</w:t>
            </w:r>
          </w:p>
        </w:tc>
        <w:tc>
          <w:tcPr>
            <w:tcW w:w="26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center"/>
              <w:ind w:right="260"/>
              <w:spacing w:after="0"/>
              <w:rPr>
                <w:sz w:val="20"/>
                <w:szCs w:val="20"/>
                <w:color w:val="auto"/>
              </w:rPr>
            </w:pPr>
            <w:r>
              <w:rPr>
                <w:rFonts w:ascii="Arial" w:cs="Arial" w:eastAsia="Arial" w:hAnsi="Arial"/>
                <w:sz w:val="18"/>
                <w:szCs w:val="18"/>
                <w:color w:val="auto"/>
                <w:w w:val="99"/>
              </w:rPr>
              <w:t>N/A</w:t>
            </w:r>
          </w:p>
        </w:tc>
        <w:tc>
          <w:tcPr>
            <w:tcW w:w="104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8"/>
              </w:rPr>
              <w:t>1.0 – 1.9%</w:t>
            </w: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2.2 – 2.4%</w:t>
            </w:r>
          </w:p>
        </w:tc>
      </w:tr>
      <w:tr>
        <w:trPr>
          <w:trHeight w:val="243"/>
        </w:trPr>
        <w:tc>
          <w:tcPr>
            <w:tcW w:w="7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768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106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99"/>
              </w:rPr>
              <w:t>N/A</w:t>
            </w:r>
          </w:p>
        </w:tc>
        <w:tc>
          <w:tcPr>
            <w:tcW w:w="880" w:type="dxa"/>
            <w:vAlign w:val="bottom"/>
            <w:gridSpan w:val="2"/>
            <w:shd w:val="clear" w:color="auto" w:fill="C0C0C0"/>
          </w:tcPr>
          <w:p>
            <w:pPr>
              <w:jc w:val="center"/>
              <w:ind w:right="260"/>
              <w:spacing w:after="0"/>
              <w:rPr>
                <w:sz w:val="20"/>
                <w:szCs w:val="20"/>
                <w:color w:val="auto"/>
              </w:rPr>
            </w:pPr>
            <w:r>
              <w:rPr>
                <w:rFonts w:ascii="Arial" w:cs="Arial" w:eastAsia="Arial" w:hAnsi="Arial"/>
                <w:sz w:val="18"/>
                <w:szCs w:val="18"/>
                <w:color w:val="auto"/>
                <w:w w:val="99"/>
              </w:rPr>
              <w:t>N/A</w:t>
            </w:r>
          </w:p>
        </w:tc>
        <w:tc>
          <w:tcPr>
            <w:tcW w:w="1040" w:type="dxa"/>
            <w:vAlign w:val="bottom"/>
            <w:gridSpan w:val="2"/>
            <w:shd w:val="clear" w:color="auto" w:fill="C0C0C0"/>
          </w:tcPr>
          <w:p>
            <w:pPr>
              <w:jc w:val="center"/>
              <w:ind w:right="300"/>
              <w:spacing w:after="0"/>
              <w:rPr>
                <w:sz w:val="20"/>
                <w:szCs w:val="20"/>
                <w:color w:val="auto"/>
              </w:rPr>
            </w:pPr>
            <w:r>
              <w:rPr>
                <w:rFonts w:ascii="Arial" w:cs="Arial" w:eastAsia="Arial" w:hAnsi="Arial"/>
                <w:sz w:val="18"/>
                <w:szCs w:val="18"/>
                <w:color w:val="auto"/>
                <w:w w:val="99"/>
              </w:rPr>
              <w:t>N/A</w:t>
            </w: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N/A</w:t>
            </w:r>
          </w:p>
        </w:tc>
      </w:tr>
      <w:tr>
        <w:trPr>
          <w:trHeight w:val="243"/>
        </w:trPr>
        <w:tc>
          <w:tcPr>
            <w:tcW w:w="7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7680" w:type="dxa"/>
            <w:vAlign w:val="bottom"/>
            <w:shd w:val="clear" w:color="auto" w:fill="C0C0C0"/>
          </w:tcPr>
          <w:p>
            <w:pPr>
              <w:spacing w:after="0"/>
              <w:rPr>
                <w:sz w:val="20"/>
                <w:szCs w:val="20"/>
                <w:color w:val="auto"/>
              </w:rPr>
            </w:pPr>
            <w:r>
              <w:rPr>
                <w:rFonts w:ascii="Arial" w:cs="Arial" w:eastAsia="Arial" w:hAnsi="Arial"/>
                <w:sz w:val="18"/>
                <w:szCs w:val="18"/>
                <w:color w:val="auto"/>
              </w:rPr>
              <w:t>Expected term</w:t>
            </w:r>
          </w:p>
        </w:tc>
        <w:tc>
          <w:tcPr>
            <w:tcW w:w="1060" w:type="dxa"/>
            <w:vAlign w:val="bottom"/>
            <w:gridSpan w:val="2"/>
            <w:shd w:val="clear" w:color="auto" w:fill="C0C0C0"/>
          </w:tcPr>
          <w:p>
            <w:pPr>
              <w:jc w:val="center"/>
              <w:ind w:right="260"/>
              <w:spacing w:after="0"/>
              <w:rPr>
                <w:sz w:val="20"/>
                <w:szCs w:val="20"/>
                <w:color w:val="auto"/>
              </w:rPr>
            </w:pPr>
            <w:r>
              <w:rPr>
                <w:rFonts w:ascii="Arial" w:cs="Arial" w:eastAsia="Arial" w:hAnsi="Arial"/>
                <w:sz w:val="18"/>
                <w:szCs w:val="18"/>
                <w:color w:val="auto"/>
                <w:w w:val="86"/>
              </w:rPr>
              <w:t>4.2 years</w:t>
            </w:r>
          </w:p>
        </w:tc>
        <w:tc>
          <w:tcPr>
            <w:tcW w:w="880" w:type="dxa"/>
            <w:vAlign w:val="bottom"/>
            <w:gridSpan w:val="2"/>
            <w:shd w:val="clear" w:color="auto" w:fill="C0C0C0"/>
          </w:tcPr>
          <w:p>
            <w:pPr>
              <w:jc w:val="center"/>
              <w:ind w:right="260"/>
              <w:spacing w:after="0"/>
              <w:rPr>
                <w:sz w:val="20"/>
                <w:szCs w:val="20"/>
                <w:color w:val="auto"/>
              </w:rPr>
            </w:pPr>
            <w:r>
              <w:rPr>
                <w:rFonts w:ascii="Arial" w:cs="Arial" w:eastAsia="Arial" w:hAnsi="Arial"/>
                <w:sz w:val="18"/>
                <w:szCs w:val="18"/>
                <w:color w:val="auto"/>
                <w:w w:val="99"/>
              </w:rPr>
              <w:t>N/A</w:t>
            </w:r>
          </w:p>
        </w:tc>
        <w:tc>
          <w:tcPr>
            <w:tcW w:w="104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6"/>
              </w:rPr>
              <w:t>4.2 years</w:t>
            </w: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4.5 years</w:t>
            </w: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60" w:type="dxa"/>
            <w:vAlign w:val="bottom"/>
            <w:gridSpan w:val="9"/>
          </w:tcPr>
          <w:p>
            <w:pPr>
              <w:ind w:left="280"/>
              <w:spacing w:after="0"/>
              <w:rPr>
                <w:sz w:val="20"/>
                <w:szCs w:val="20"/>
                <w:color w:val="auto"/>
              </w:rPr>
            </w:pPr>
            <w:r>
              <w:rPr>
                <w:rFonts w:ascii="Arial" w:cs="Arial" w:eastAsia="Arial" w:hAnsi="Arial"/>
                <w:sz w:val="18"/>
                <w:szCs w:val="18"/>
                <w:color w:val="auto"/>
              </w:rPr>
              <w:t>Information on outstanding and exercisable option awards as of May 1, 2011, is presented below:</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73"/>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Average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Average</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Remaining</w:t>
            </w:r>
          </w:p>
        </w:tc>
        <w:tc>
          <w:tcPr>
            <w:tcW w:w="14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Intrinsic</w:t>
            </w:r>
          </w:p>
        </w:tc>
      </w:tr>
      <w:tr>
        <w:trPr>
          <w:trHeight w:val="252"/>
        </w:trPr>
        <w:tc>
          <w:tcPr>
            <w:tcW w:w="450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Options</w:t>
            </w:r>
          </w:p>
        </w:tc>
        <w:tc>
          <w:tcPr>
            <w:tcW w:w="280" w:type="dxa"/>
            <w:vAlign w:val="bottom"/>
            <w:tcBorders>
              <w:bottom w:val="single" w:sz="8" w:color="C0C0C0"/>
            </w:tcBorders>
          </w:tcPr>
          <w:p>
            <w:pPr>
              <w:spacing w:after="0"/>
              <w:rPr>
                <w:sz w:val="21"/>
                <w:szCs w:val="21"/>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Borders>
              <w:bottom w:val="single" w:sz="8" w:color="C0C0C0"/>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47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Outstanding at May 1, 2011</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4,262,841</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w w:val="99"/>
              </w:rPr>
              <w:t>6.7 years</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14,325</w:t>
            </w:r>
          </w:p>
        </w:tc>
      </w:tr>
      <w:tr>
        <w:trPr>
          <w:trHeight w:val="24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7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Exercisable at May 1, 2011</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2,243,185</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13.41</w:t>
            </w:r>
          </w:p>
        </w:tc>
        <w:tc>
          <w:tcPr>
            <w:tcW w:w="260" w:type="dxa"/>
            <w:vAlign w:val="bottom"/>
            <w:shd w:val="clear" w:color="auto" w:fill="C0C0C0"/>
          </w:tcPr>
          <w:p>
            <w:pPr>
              <w:spacing w:after="0"/>
              <w:rPr>
                <w:sz w:val="21"/>
                <w:szCs w:val="21"/>
                <w:color w:val="auto"/>
              </w:rPr>
            </w:pPr>
          </w:p>
        </w:tc>
        <w:tc>
          <w:tcPr>
            <w:tcW w:w="108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w w:val="99"/>
              </w:rPr>
              <w:t>4.9 years</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4,703</w:t>
            </w:r>
          </w:p>
        </w:tc>
      </w:tr>
    </w:tbl>
    <w:p>
      <w:pPr>
        <w:spacing w:after="0" w:line="262" w:lineRule="exact"/>
        <w:rPr>
          <w:sz w:val="20"/>
          <w:szCs w:val="20"/>
          <w:color w:val="auto"/>
        </w:rPr>
      </w:pPr>
    </w:p>
    <w:p>
      <w:pPr>
        <w:jc w:val="both"/>
        <w:ind w:right="20" w:firstLine="270"/>
        <w:spacing w:after="0" w:line="318" w:lineRule="auto"/>
        <w:rPr>
          <w:sz w:val="20"/>
          <w:szCs w:val="20"/>
          <w:color w:val="auto"/>
        </w:rPr>
      </w:pPr>
      <w:r>
        <w:rPr>
          <w:rFonts w:ascii="Arial" w:cs="Arial" w:eastAsia="Arial" w:hAnsi="Arial"/>
          <w:sz w:val="15"/>
          <w:szCs w:val="15"/>
          <w:color w:val="auto"/>
        </w:rPr>
        <w:t>There were 369,250 share options granted during the three month period ended May 1, 2011, with a weighted-average grant date fair value of $4.81 per share and there were no share options granted during the three month period ended May 2, 2010. There were 620,750 share options granted during the six month period ended May 1, 2011, with a weighted-average grant date fair value of $4.75 per share and 846,400 share options granted during the six month period ended May 2, 2010, with a weighted-average grant date fair value of $2.97 per share. As of May 1, 2011, the total unrecognized compensation cost related to non-vested option awards was approximately $3.9 million. That cost is expected to be recognized over a weighted-average amortization period of 3.1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Restricted Stock</w:t>
      </w:r>
    </w:p>
    <w:p>
      <w:pPr>
        <w:spacing w:after="0" w:line="285"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The Company periodically grants restricted stock awards. The restrictions on these awards lapse over a service period that has ranged from less-than-one to eight years. No restricted stock awards were granted during the three month period ended May 1, 2011, and 176,250 restricted stock awards were granted during the six month period ended May 1, 2011, with a weighted-average grant date fair value of $6.71 per share. No restricted stock awards were granted during the six month periods ended May 2, 2010. As of May 1, 2011, the total compensation cost not yet recognized related to unvested restricted stock awards was approximately $1.6 million. That cost is expected to be recognized over a weighted-average amortization period of 2.7 years. As of May 1, 2011, there were 236,389 shares of restricted stock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CONSOLIDATION, RESTRUCTURING AND RELATED CREDITS</w:t>
      </w:r>
    </w:p>
    <w:p>
      <w:pPr>
        <w:spacing w:after="0" w:line="285" w:lineRule="exact"/>
        <w:rPr>
          <w:sz w:val="20"/>
          <w:szCs w:val="20"/>
          <w:color w:val="auto"/>
        </w:rPr>
      </w:pPr>
    </w:p>
    <w:p>
      <w:pPr>
        <w:ind w:right="40" w:firstLine="270"/>
        <w:spacing w:after="0" w:line="289" w:lineRule="auto"/>
        <w:rPr>
          <w:sz w:val="20"/>
          <w:szCs w:val="20"/>
          <w:color w:val="auto"/>
        </w:rPr>
      </w:pPr>
      <w:r>
        <w:rPr>
          <w:rFonts w:ascii="Arial" w:cs="Arial" w:eastAsia="Arial" w:hAnsi="Arial"/>
          <w:sz w:val="16"/>
          <w:szCs w:val="16"/>
          <w:color w:val="auto"/>
        </w:rPr>
        <w:t>In the third quarter of fiscal 2009, the Company ceased the manufacture of photomasks at its Shanghai, China, facility and recorded an initial restructuring charge of $10.1 million, which included $7.7 million to write down the carrying value of the Company's Shanghai manufacturing facility to its estimated fair value at that time. In the second quarter of fiscal 2010, the Company sold its facility in Shanghai, China, for net proceeds of $12.9 million ($4.2 million of which was received as a deposit in the first quarter of fiscal 2010), which resulted in a gain of $5.4 million. The gain was recorded as a credit to the restructuring reserve in that quarter. On a cumulative basis the Company recorded total net charges of $5.2 million, including $4.7 million of net asset write-downs, through its completion in fiscal 2010. The fair value of the assets written down was determined by management using a market approach. The following tables set forth the Company's restructuring reserve related to its Shanghai, China, facility as of May 2, 2010, and reflects the activity affecting the reserve for the three and six month periods then 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6"/>
          </w:tcPr>
          <w:p>
            <w:pPr>
              <w:ind w:left="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35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May 2, 2010</w:t>
            </w:r>
          </w:p>
        </w:tc>
        <w:tc>
          <w:tcPr>
            <w:tcW w:w="4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May 2, 2010</w:t>
            </w: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50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6"/>
              </w:rPr>
              <w:t>February 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Charges</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May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November 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3"/>
              </w:rPr>
              <w:t>Charges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May 2,</w:t>
            </w:r>
          </w:p>
        </w:tc>
        <w:tc>
          <w:tcPr>
            <w:tcW w:w="20" w:type="dxa"/>
            <w:vAlign w:val="bottom"/>
          </w:tcPr>
          <w:p>
            <w:pPr>
              <w:spacing w:after="0"/>
              <w:rPr>
                <w:sz w:val="19"/>
                <w:szCs w:val="19"/>
                <w:color w:val="auto"/>
              </w:rPr>
            </w:pPr>
          </w:p>
        </w:tc>
      </w:tr>
      <w:tr>
        <w:trPr>
          <w:trHeight w:val="251"/>
        </w:trPr>
        <w:tc>
          <w:tcPr>
            <w:tcW w:w="350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(credit)</w:t>
            </w:r>
          </w:p>
        </w:tc>
        <w:tc>
          <w:tcPr>
            <w:tcW w:w="260" w:type="dxa"/>
            <w:vAlign w:val="bottom"/>
            <w:tcBorders>
              <w:bottom w:val="single" w:sz="8" w:color="C0C0C0"/>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Utilized</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4"/>
              </w:rPr>
              <w:t>2010</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1"/>
              </w:rPr>
              <w:t>(credit)</w:t>
            </w:r>
          </w:p>
        </w:tc>
        <w:tc>
          <w:tcPr>
            <w:tcW w:w="280" w:type="dxa"/>
            <w:vAlign w:val="bottom"/>
            <w:tcBorders>
              <w:bottom w:val="single" w:sz="8" w:color="C0C0C0"/>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Utilized</w:t>
            </w:r>
          </w:p>
        </w:tc>
        <w:tc>
          <w:tcPr>
            <w:tcW w:w="26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2010</w:t>
            </w:r>
          </w:p>
        </w:tc>
        <w:tc>
          <w:tcPr>
            <w:tcW w:w="20" w:type="dxa"/>
            <w:vAlign w:val="bottom"/>
          </w:tcPr>
          <w:p>
            <w:pPr>
              <w:spacing w:after="0"/>
              <w:rPr>
                <w:sz w:val="21"/>
                <w:szCs w:val="21"/>
                <w:color w:val="auto"/>
              </w:rPr>
            </w:pPr>
          </w:p>
        </w:tc>
      </w:tr>
      <w:tr>
        <w:trPr>
          <w:trHeight w:val="243"/>
        </w:trPr>
        <w:tc>
          <w:tcPr>
            <w:tcW w:w="3500" w:type="dxa"/>
            <w:vAlign w:val="bottom"/>
            <w:shd w:val="clear" w:color="auto" w:fill="C0C0C0"/>
          </w:tcPr>
          <w:p>
            <w:pPr>
              <w:spacing w:after="0"/>
              <w:rPr>
                <w:sz w:val="20"/>
                <w:szCs w:val="20"/>
                <w:color w:val="auto"/>
              </w:rPr>
            </w:pPr>
            <w:r>
              <w:rPr>
                <w:rFonts w:ascii="Arial" w:cs="Arial" w:eastAsia="Arial" w:hAnsi="Arial"/>
                <w:sz w:val="18"/>
                <w:szCs w:val="18"/>
                <w:color w:val="auto"/>
              </w:rPr>
              <w:t>Net gain on sales of assets</w:t>
            </w: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(5,020)</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5,238</w:t>
            </w:r>
          </w:p>
        </w:tc>
        <w:tc>
          <w:tcPr>
            <w:tcW w:w="2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218</w:t>
            </w:r>
          </w:p>
        </w:tc>
        <w:tc>
          <w:tcPr>
            <w:tcW w:w="3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(5,020)</w:t>
            </w:r>
          </w:p>
        </w:tc>
        <w:tc>
          <w:tcPr>
            <w:tcW w:w="4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5,238</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1"/>
                <w:szCs w:val="21"/>
                <w:color w:val="auto"/>
              </w:rPr>
            </w:pPr>
          </w:p>
        </w:tc>
      </w:tr>
      <w:tr>
        <w:trPr>
          <w:trHeight w:val="228"/>
        </w:trPr>
        <w:tc>
          <w:tcPr>
            <w:tcW w:w="3500" w:type="dxa"/>
            <w:vAlign w:val="bottom"/>
          </w:tcPr>
          <w:p>
            <w:pPr>
              <w:spacing w:after="0"/>
              <w:rPr>
                <w:sz w:val="20"/>
                <w:szCs w:val="20"/>
                <w:color w:val="auto"/>
              </w:rPr>
            </w:pPr>
            <w:r>
              <w:rPr>
                <w:rFonts w:ascii="Arial" w:cs="Arial" w:eastAsia="Arial" w:hAnsi="Arial"/>
                <w:sz w:val="18"/>
                <w:szCs w:val="18"/>
                <w:color w:val="auto"/>
              </w:rPr>
              <w:t>Employee terminations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3500" w:type="dxa"/>
            <w:vAlign w:val="bottom"/>
          </w:tcPr>
          <w:p>
            <w:pPr>
              <w:ind w:left="320"/>
              <w:spacing w:after="0"/>
              <w:rPr>
                <w:sz w:val="20"/>
                <w:szCs w:val="20"/>
                <w:color w:val="auto"/>
              </w:rPr>
            </w:pPr>
            <w:r>
              <w:rPr>
                <w:rFonts w:ascii="Arial" w:cs="Arial" w:eastAsia="Arial" w:hAnsi="Arial"/>
                <w:sz w:val="18"/>
                <w:szCs w:val="18"/>
                <w:color w:val="auto"/>
              </w:rPr>
              <w:t>and other</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350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Borders>
              <w:right w:val="single" w:sz="8" w:color="C0C0C0"/>
            </w:tcBorders>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35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(5,029)</w:t>
            </w: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5,247</w:t>
            </w:r>
          </w:p>
        </w:tc>
        <w:tc>
          <w:tcPr>
            <w:tcW w:w="2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218</w:t>
            </w:r>
          </w:p>
        </w:tc>
        <w:tc>
          <w:tcPr>
            <w:tcW w:w="3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(4,836)</w:t>
            </w:r>
          </w:p>
        </w:tc>
        <w:tc>
          <w:tcPr>
            <w:tcW w:w="4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4,920</w:t>
            </w:r>
          </w:p>
        </w:tc>
        <w:tc>
          <w:tcPr>
            <w:tcW w:w="260" w:type="dxa"/>
            <w:vAlign w:val="bottom"/>
            <w:shd w:val="clear" w:color="auto" w:fill="C0C0C0"/>
          </w:tcPr>
          <w:p>
            <w:pPr>
              <w:spacing w:after="0"/>
              <w:rPr>
                <w:sz w:val="21"/>
                <w:szCs w:val="21"/>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1"/>
                <w:szCs w:val="21"/>
                <w:color w:val="auto"/>
              </w:rPr>
            </w:pPr>
          </w:p>
        </w:tc>
      </w:tr>
      <w:tr>
        <w:trPr>
          <w:trHeight w:val="35"/>
        </w:trPr>
        <w:tc>
          <w:tcPr>
            <w:tcW w:w="350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0" w:type="dxa"/>
            <w:vAlign w:val="bottom"/>
            <w:tcBorders>
              <w:right w:val="single" w:sz="8" w:color="C0C0C0"/>
            </w:tcBorders>
            <w:shd w:val="clear" w:color="auto" w:fill="000000"/>
          </w:tcPr>
          <w:p>
            <w:pPr>
              <w:spacing w:after="0"/>
              <w:rPr>
                <w:sz w:val="3"/>
                <w:szCs w:val="3"/>
                <w:color w:val="auto"/>
              </w:rPr>
            </w:pPr>
          </w:p>
        </w:tc>
        <w:tc>
          <w:tcPr>
            <w:tcW w:w="200" w:type="dxa"/>
            <w:vAlign w:val="bottom"/>
            <w:shd w:val="clear" w:color="auto" w:fill="C0C0C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20" w:type="dxa"/>
            <w:vAlign w:val="bottom"/>
            <w:shd w:val="clear" w:color="auto" w:fill="C0C0C0"/>
          </w:tcPr>
          <w:p>
            <w:pPr>
              <w:spacing w:after="0"/>
              <w:rPr>
                <w:sz w:val="3"/>
                <w:szCs w:val="3"/>
                <w:color w:val="auto"/>
              </w:rPr>
            </w:pPr>
          </w:p>
        </w:tc>
        <w:tc>
          <w:tcPr>
            <w:tcW w:w="140" w:type="dxa"/>
            <w:vAlign w:val="bottom"/>
            <w:shd w:val="clear" w:color="auto" w:fill="C0C0C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280" w:type="dxa"/>
            <w:vAlign w:val="bottom"/>
            <w:shd w:val="clear" w:color="auto" w:fill="C0C0C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85"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The effective tax rate differs from the U.S. statutory rate of 35% in the second quarter and the first half of fiscal year 2011 primarily due to the impact of the non-deductible debt extinguishment loss recorded in the second quarter of 2011 and a higher level of earnings taxed at lowered statutory rates in foreign jurisdictions. In the second quarter and first half of fiscal year 2010, the effective tax rate differed from the U.S. statutory rate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in Korea and in Taiwan, various investment tax credits have been earned, which reduced the Company’s effective income tax rate.</w:t>
      </w:r>
    </w:p>
    <w:p>
      <w:pPr>
        <w:spacing w:after="0" w:line="228"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recognizes any interest and penalties related to uncertain tax positions in the income tax provision in its condensed consolidated statements of operations.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6" w:name="page17"/>
    <w:bookmarkEnd w:id="16"/>
    <w:p>
      <w:pPr>
        <w:ind w:right="120" w:firstLine="270"/>
        <w:spacing w:after="0" w:line="294" w:lineRule="auto"/>
        <w:rPr>
          <w:sz w:val="20"/>
          <w:szCs w:val="20"/>
          <w:color w:val="auto"/>
        </w:rPr>
      </w:pPr>
      <w:r>
        <w:rPr>
          <w:rFonts w:ascii="Arial" w:cs="Arial" w:eastAsia="Arial" w:hAnsi="Arial"/>
          <w:sz w:val="16"/>
          <w:szCs w:val="16"/>
          <w:color w:val="auto"/>
        </w:rPr>
        <w:t>Unrecognized tax benefits associated with uncertain tax positions of $2.0 million, including $0.3 million for interest and penalties, were included in other liabilities in the condensed consolidated balance sheets at May 1, 2011 and October 31, 2010. If recognized, the benefits would favorably affect the Company's effective income tax rate in future periods. As of May 1, 2011, the Company believes it is not reasonably possible that the total amounts of unrecognized tax benefits will significantly increase or decrease in the next twelve months. Currently, the statutes of limitations remain open subsequent to, and including, 2006 in the U.S., 2008 in the U.K., 2008 in Germany, 2005 in Korea and 2009 in Taiwan.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(LOSS) PER SHARE</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calculation of basic and diluted earnings (loss) per share is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420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May 1,</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4"/>
              </w:rPr>
              <w:t>May 2,</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May 1,</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8"/>
              </w:rPr>
              <w:t>May 2,</w:t>
            </w:r>
          </w:p>
        </w:tc>
        <w:tc>
          <w:tcPr>
            <w:tcW w:w="2300" w:type="dxa"/>
            <w:vAlign w:val="bottom"/>
          </w:tcPr>
          <w:p>
            <w:pPr>
              <w:spacing w:after="0"/>
              <w:rPr>
                <w:sz w:val="19"/>
                <w:szCs w:val="19"/>
                <w:color w:val="auto"/>
              </w:rPr>
            </w:pPr>
          </w:p>
        </w:tc>
      </w:tr>
      <w:tr>
        <w:trPr>
          <w:trHeight w:val="251"/>
        </w:trPr>
        <w:tc>
          <w:tcPr>
            <w:tcW w:w="442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18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c>
          <w:tcPr>
            <w:tcW w:w="2300" w:type="dxa"/>
            <w:vAlign w:val="bottom"/>
          </w:tcPr>
          <w:p>
            <w:pPr>
              <w:spacing w:after="0"/>
              <w:rPr>
                <w:sz w:val="21"/>
                <w:szCs w:val="21"/>
                <w:color w:val="auto"/>
              </w:rPr>
            </w:pP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Net income (loss) attributable to Photronics, Inc.</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(16,438)</w:t>
            </w:r>
          </w:p>
        </w:tc>
        <w:tc>
          <w:tcPr>
            <w:tcW w:w="180" w:type="dxa"/>
            <w:vAlign w:val="bottom"/>
            <w:shd w:val="clear" w:color="auto" w:fill="C0C0C0"/>
          </w:tcPr>
          <w:p>
            <w:pPr>
              <w:spacing w:after="0"/>
              <w:rPr>
                <w:sz w:val="21"/>
                <w:szCs w:val="21"/>
                <w:color w:val="auto"/>
              </w:rPr>
            </w:pPr>
          </w:p>
        </w:tc>
        <w:tc>
          <w:tcPr>
            <w:tcW w:w="2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7,873</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(4,327)</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8,086</w:t>
            </w:r>
          </w:p>
        </w:tc>
        <w:tc>
          <w:tcPr>
            <w:tcW w:w="2300" w:type="dxa"/>
            <w:vAlign w:val="bottom"/>
          </w:tcPr>
          <w:p>
            <w:pPr>
              <w:spacing w:after="0"/>
              <w:rPr>
                <w:sz w:val="21"/>
                <w:szCs w:val="21"/>
                <w:color w:val="auto"/>
              </w:rPr>
            </w:pPr>
          </w:p>
        </w:tc>
      </w:tr>
      <w:tr>
        <w:trPr>
          <w:trHeight w:val="235"/>
        </w:trPr>
        <w:tc>
          <w:tcPr>
            <w:tcW w:w="44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5"/>
        </w:trPr>
        <w:tc>
          <w:tcPr>
            <w:tcW w:w="44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 on convertible notes,</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300" w:type="dxa"/>
            <w:vAlign w:val="bottom"/>
          </w:tcPr>
          <w:p>
            <w:pPr>
              <w:spacing w:after="0"/>
              <w:rPr>
                <w:sz w:val="20"/>
                <w:szCs w:val="20"/>
                <w:color w:val="auto"/>
              </w:rPr>
            </w:pPr>
          </w:p>
        </w:tc>
      </w:tr>
      <w:tr>
        <w:trPr>
          <w:trHeight w:val="252"/>
        </w:trPr>
        <w:tc>
          <w:tcPr>
            <w:tcW w:w="44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net of related tax effects</w:t>
            </w:r>
          </w:p>
        </w:tc>
        <w:tc>
          <w:tcPr>
            <w:tcW w:w="28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0C0C0"/>
          </w:tcPr>
          <w:p>
            <w:pPr>
              <w:spacing w:after="0"/>
              <w:rPr>
                <w:sz w:val="21"/>
                <w:szCs w:val="21"/>
                <w:color w:val="auto"/>
              </w:rPr>
            </w:pPr>
          </w:p>
        </w:tc>
        <w:tc>
          <w:tcPr>
            <w:tcW w:w="16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1"/>
                <w:szCs w:val="2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Earnings (loss) for diluted earnings (loss) per share</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(16,438)</w:t>
            </w:r>
          </w:p>
        </w:tc>
        <w:tc>
          <w:tcPr>
            <w:tcW w:w="18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8,889</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(4,327)</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8,086</w:t>
            </w:r>
          </w:p>
        </w:tc>
      </w:tr>
      <w:tr>
        <w:trPr>
          <w:trHeight w:val="243"/>
        </w:trPr>
        <w:tc>
          <w:tcPr>
            <w:tcW w:w="44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Weighted-average common shares computations:</w:t>
            </w:r>
          </w:p>
        </w:tc>
        <w:tc>
          <w:tcPr>
            <w:tcW w:w="28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18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tcBorders>
            <w:shd w:val="clear" w:color="auto" w:fill="C0C0C0"/>
          </w:tcPr>
          <w:p>
            <w:pPr>
              <w:spacing w:after="0"/>
              <w:rPr>
                <w:sz w:val="21"/>
                <w:szCs w:val="21"/>
                <w:color w:val="auto"/>
              </w:rPr>
            </w:pPr>
          </w:p>
        </w:tc>
        <w:tc>
          <w:tcPr>
            <w:tcW w:w="780" w:type="dxa"/>
            <w:vAlign w:val="bottom"/>
            <w:tcBorders>
              <w:top w:val="single" w:sz="8" w:color="auto"/>
            </w:tcBorders>
            <w:shd w:val="clear" w:color="auto" w:fill="C0C0C0"/>
          </w:tcPr>
          <w:p>
            <w:pPr>
              <w:spacing w:after="0"/>
              <w:rPr>
                <w:sz w:val="21"/>
                <w:szCs w:val="21"/>
                <w:color w:val="auto"/>
              </w:rPr>
            </w:pPr>
          </w:p>
        </w:tc>
        <w:tc>
          <w:tcPr>
            <w:tcW w:w="26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tcBorders>
            <w:shd w:val="clear" w:color="auto" w:fill="C0C0C0"/>
          </w:tcPr>
          <w:p>
            <w:pPr>
              <w:spacing w:after="0"/>
              <w:rPr>
                <w:sz w:val="21"/>
                <w:szCs w:val="21"/>
                <w:color w:val="auto"/>
              </w:rPr>
            </w:pPr>
          </w:p>
        </w:tc>
        <w:tc>
          <w:tcPr>
            <w:tcW w:w="720" w:type="dxa"/>
            <w:vAlign w:val="bottom"/>
            <w:tcBorders>
              <w:top w:val="single" w:sz="8" w:color="auto"/>
            </w:tcBorders>
            <w:shd w:val="clear" w:color="auto" w:fill="C0C0C0"/>
          </w:tcPr>
          <w:p>
            <w:pPr>
              <w:spacing w:after="0"/>
              <w:rPr>
                <w:sz w:val="21"/>
                <w:szCs w:val="21"/>
                <w:color w:val="auto"/>
              </w:rPr>
            </w:pPr>
          </w:p>
        </w:tc>
        <w:tc>
          <w:tcPr>
            <w:tcW w:w="2300" w:type="dxa"/>
            <w:vAlign w:val="bottom"/>
          </w:tcPr>
          <w:p>
            <w:pPr>
              <w:spacing w:after="0"/>
              <w:rPr>
                <w:sz w:val="21"/>
                <w:szCs w:val="21"/>
                <w:color w:val="auto"/>
              </w:rPr>
            </w:pPr>
          </w:p>
        </w:tc>
      </w:tr>
      <w:tr>
        <w:trPr>
          <w:trHeight w:val="228"/>
        </w:trPr>
        <w:tc>
          <w:tcPr>
            <w:tcW w:w="4420" w:type="dxa"/>
            <w:vAlign w:val="bottom"/>
          </w:tcPr>
          <w:p>
            <w:pPr>
              <w:ind w:left="320"/>
              <w:spacing w:after="0"/>
              <w:rPr>
                <w:sz w:val="20"/>
                <w:szCs w:val="20"/>
                <w:color w:val="auto"/>
              </w:rPr>
            </w:pPr>
            <w:r>
              <w:rPr>
                <w:rFonts w:ascii="Arial" w:cs="Arial" w:eastAsia="Arial" w:hAnsi="Arial"/>
                <w:sz w:val="18"/>
                <w:szCs w:val="18"/>
                <w:color w:val="auto"/>
              </w:rPr>
              <w:t>Weighted-average common shares used for</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1"/>
        </w:trPr>
        <w:tc>
          <w:tcPr>
            <w:tcW w:w="4420" w:type="dxa"/>
            <w:vAlign w:val="bottom"/>
          </w:tcPr>
          <w:p>
            <w:pPr>
              <w:ind w:left="320"/>
              <w:spacing w:after="0"/>
              <w:rPr>
                <w:sz w:val="20"/>
                <w:szCs w:val="20"/>
                <w:color w:val="auto"/>
              </w:rPr>
            </w:pPr>
            <w:r>
              <w:rPr>
                <w:rFonts w:ascii="Arial" w:cs="Arial" w:eastAsia="Arial" w:hAnsi="Arial"/>
                <w:sz w:val="18"/>
                <w:szCs w:val="18"/>
                <w:color w:val="auto"/>
              </w:rPr>
              <w:t>basic earnings (loss) per share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55,685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53,405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54,751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53,253</w:t>
            </w:r>
          </w:p>
        </w:tc>
      </w:tr>
      <w:tr>
        <w:trPr>
          <w:trHeight w:val="251"/>
        </w:trPr>
        <w:tc>
          <w:tcPr>
            <w:tcW w:w="4420" w:type="dxa"/>
            <w:vAlign w:val="bottom"/>
            <w:shd w:val="clear" w:color="auto" w:fill="C0C0C0"/>
          </w:tcPr>
          <w:p>
            <w:pPr>
              <w:ind w:left="62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300" w:type="dxa"/>
            <w:vAlign w:val="bottom"/>
          </w:tcPr>
          <w:p>
            <w:pPr>
              <w:spacing w:after="0"/>
              <w:rPr>
                <w:sz w:val="21"/>
                <w:szCs w:val="21"/>
                <w:color w:val="auto"/>
              </w:rPr>
            </w:pPr>
          </w:p>
        </w:tc>
      </w:tr>
      <w:tr>
        <w:trPr>
          <w:trHeight w:val="235"/>
        </w:trPr>
        <w:tc>
          <w:tcPr>
            <w:tcW w:w="4420" w:type="dxa"/>
            <w:vAlign w:val="bottom"/>
          </w:tcPr>
          <w:p>
            <w:pPr>
              <w:ind w:left="920"/>
              <w:spacing w:after="0"/>
              <w:rPr>
                <w:sz w:val="20"/>
                <w:szCs w:val="20"/>
                <w:color w:val="auto"/>
              </w:rPr>
            </w:pPr>
            <w:r>
              <w:rPr>
                <w:rFonts w:ascii="Arial" w:cs="Arial" w:eastAsia="Arial" w:hAnsi="Arial"/>
                <w:sz w:val="18"/>
                <w:szCs w:val="18"/>
                <w:color w:val="auto"/>
              </w:rPr>
              <w:t>Convertible notes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11,311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w:t>
            </w:r>
          </w:p>
        </w:tc>
      </w:tr>
      <w:tr>
        <w:trPr>
          <w:trHeight w:val="251"/>
        </w:trPr>
        <w:tc>
          <w:tcPr>
            <w:tcW w:w="4420" w:type="dxa"/>
            <w:vAlign w:val="bottom"/>
            <w:shd w:val="clear" w:color="auto" w:fill="C0C0C0"/>
          </w:tcPr>
          <w:p>
            <w:pPr>
              <w:ind w:left="920"/>
              <w:spacing w:after="0"/>
              <w:rPr>
                <w:sz w:val="20"/>
                <w:szCs w:val="20"/>
                <w:color w:val="auto"/>
              </w:rPr>
            </w:pPr>
            <w:r>
              <w:rPr>
                <w:rFonts w:ascii="Arial" w:cs="Arial" w:eastAsia="Arial" w:hAnsi="Arial"/>
                <w:sz w:val="18"/>
                <w:szCs w:val="18"/>
                <w:color w:val="auto"/>
              </w:rPr>
              <w:t>Share-based payment awards</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989</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990</w:t>
            </w:r>
          </w:p>
        </w:tc>
        <w:tc>
          <w:tcPr>
            <w:tcW w:w="2300" w:type="dxa"/>
            <w:vAlign w:val="bottom"/>
          </w:tcPr>
          <w:p>
            <w:pPr>
              <w:spacing w:after="0"/>
              <w:rPr>
                <w:sz w:val="21"/>
                <w:szCs w:val="21"/>
                <w:color w:val="auto"/>
              </w:rPr>
            </w:pPr>
          </w:p>
        </w:tc>
      </w:tr>
      <w:tr>
        <w:trPr>
          <w:trHeight w:val="237"/>
        </w:trPr>
        <w:tc>
          <w:tcPr>
            <w:tcW w:w="4420" w:type="dxa"/>
            <w:vAlign w:val="bottom"/>
          </w:tcPr>
          <w:p>
            <w:pPr>
              <w:ind w:left="920"/>
              <w:spacing w:after="0"/>
              <w:rPr>
                <w:sz w:val="20"/>
                <w:szCs w:val="20"/>
                <w:color w:val="auto"/>
              </w:rPr>
            </w:pPr>
            <w:r>
              <w:rPr>
                <w:rFonts w:ascii="Arial" w:cs="Arial" w:eastAsia="Arial" w:hAnsi="Arial"/>
                <w:sz w:val="18"/>
                <w:szCs w:val="18"/>
                <w:color w:val="auto"/>
              </w:rPr>
              <w:t>Common stock warrants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48</w:t>
            </w:r>
          </w:p>
        </w:tc>
      </w:tr>
      <w:tr>
        <w:trPr>
          <w:trHeight w:val="243"/>
        </w:trPr>
        <w:tc>
          <w:tcPr>
            <w:tcW w:w="4420" w:type="dxa"/>
            <w:vAlign w:val="bottom"/>
            <w:tcBorders>
              <w:top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Potentially dilutive common shares</w:t>
            </w:r>
          </w:p>
        </w:tc>
        <w:tc>
          <w:tcPr>
            <w:tcW w:w="28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spacing w:after="0"/>
              <w:rPr>
                <w:sz w:val="21"/>
                <w:szCs w:val="21"/>
                <w:color w:val="auto"/>
              </w:rPr>
            </w:pPr>
          </w:p>
        </w:tc>
        <w:tc>
          <w:tcPr>
            <w:tcW w:w="8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spacing w:after="0"/>
              <w:rPr>
                <w:sz w:val="21"/>
                <w:szCs w:val="21"/>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12,375</w:t>
            </w:r>
          </w:p>
        </w:tc>
        <w:tc>
          <w:tcPr>
            <w:tcW w:w="260" w:type="dxa"/>
            <w:vAlign w:val="bottom"/>
            <w:tcBorders>
              <w:top w:val="single" w:sz="8" w:color="C0C0C0"/>
            </w:tcBorders>
            <w:shd w:val="clear" w:color="auto" w:fill="C0C0C0"/>
          </w:tcPr>
          <w:p>
            <w:pPr>
              <w:spacing w:after="0"/>
              <w:rPr>
                <w:sz w:val="21"/>
                <w:szCs w:val="21"/>
                <w:color w:val="auto"/>
              </w:rPr>
            </w:pPr>
          </w:p>
        </w:tc>
        <w:tc>
          <w:tcPr>
            <w:tcW w:w="160" w:type="dxa"/>
            <w:vAlign w:val="bottom"/>
            <w:tcBorders>
              <w:top w:val="single" w:sz="8" w:color="auto"/>
              <w:bottom w:val="single" w:sz="8" w:color="auto"/>
            </w:tcBorders>
            <w:shd w:val="clear" w:color="auto" w:fill="C0C0C0"/>
          </w:tcPr>
          <w:p>
            <w:pPr>
              <w:spacing w:after="0"/>
              <w:rPr>
                <w:sz w:val="21"/>
                <w:szCs w:val="21"/>
                <w:color w:val="auto"/>
              </w:rPr>
            </w:pPr>
          </w:p>
        </w:tc>
        <w:tc>
          <w:tcPr>
            <w:tcW w:w="7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0C0C0"/>
            </w:tcBorders>
            <w:shd w:val="clear" w:color="auto" w:fill="C0C0C0"/>
          </w:tcPr>
          <w:p>
            <w:pPr>
              <w:spacing w:after="0"/>
              <w:rPr>
                <w:sz w:val="21"/>
                <w:szCs w:val="21"/>
                <w:color w:val="auto"/>
              </w:rPr>
            </w:pPr>
          </w:p>
        </w:tc>
        <w:tc>
          <w:tcPr>
            <w:tcW w:w="140" w:type="dxa"/>
            <w:vAlign w:val="bottom"/>
            <w:tcBorders>
              <w:top w:val="single" w:sz="8" w:color="auto"/>
              <w:bottom w:val="single" w:sz="8" w:color="auto"/>
            </w:tcBorders>
            <w:shd w:val="clear" w:color="auto" w:fill="C0C0C0"/>
          </w:tcPr>
          <w:p>
            <w:pPr>
              <w:spacing w:after="0"/>
              <w:rPr>
                <w:sz w:val="21"/>
                <w:szCs w:val="21"/>
                <w:color w:val="auto"/>
              </w:rPr>
            </w:pPr>
          </w:p>
        </w:tc>
        <w:tc>
          <w:tcPr>
            <w:tcW w:w="7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1,038</w:t>
            </w:r>
          </w:p>
        </w:tc>
        <w:tc>
          <w:tcPr>
            <w:tcW w:w="2300" w:type="dxa"/>
            <w:vAlign w:val="bottom"/>
          </w:tcPr>
          <w:p>
            <w:pPr>
              <w:spacing w:after="0"/>
              <w:rPr>
                <w:sz w:val="21"/>
                <w:szCs w:val="21"/>
                <w:color w:val="auto"/>
              </w:rPr>
            </w:pPr>
          </w:p>
        </w:tc>
      </w:tr>
      <w:tr>
        <w:trPr>
          <w:trHeight w:val="221"/>
        </w:trPr>
        <w:tc>
          <w:tcPr>
            <w:tcW w:w="4420" w:type="dxa"/>
            <w:vAlign w:val="bottom"/>
          </w:tcPr>
          <w:p>
            <w:pPr>
              <w:spacing w:after="0"/>
              <w:rPr>
                <w:sz w:val="20"/>
                <w:szCs w:val="20"/>
                <w:color w:val="auto"/>
              </w:rPr>
            </w:pPr>
            <w:r>
              <w:rPr>
                <w:rFonts w:ascii="Arial" w:cs="Arial" w:eastAsia="Arial" w:hAnsi="Arial"/>
                <w:sz w:val="18"/>
                <w:szCs w:val="18"/>
                <w:color w:val="auto"/>
              </w:rPr>
              <w:t>Weighted-average common shares used for</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66"/>
        </w:trPr>
        <w:tc>
          <w:tcPr>
            <w:tcW w:w="44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bottom w:val="single" w:sz="8" w:color="C0C0C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55,685</w:t>
            </w:r>
          </w:p>
        </w:tc>
        <w:tc>
          <w:tcPr>
            <w:tcW w:w="180" w:type="dxa"/>
            <w:vAlign w:val="bottom"/>
            <w:tcBorders>
              <w:bottom w:val="single" w:sz="8" w:color="C0C0C0"/>
            </w:tcBorders>
          </w:tcPr>
          <w:p>
            <w:pPr>
              <w:spacing w:after="0"/>
              <w:rPr>
                <w:sz w:val="23"/>
                <w:szCs w:val="23"/>
                <w:color w:val="auto"/>
              </w:rPr>
            </w:pPr>
          </w:p>
        </w:tc>
        <w:tc>
          <w:tcPr>
            <w:tcW w:w="80" w:type="dxa"/>
            <w:vAlign w:val="bottom"/>
            <w:tcBorders>
              <w:bottom w:val="single" w:sz="8" w:color="C0C0C0"/>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65,780</w:t>
            </w:r>
          </w:p>
        </w:tc>
        <w:tc>
          <w:tcPr>
            <w:tcW w:w="260" w:type="dxa"/>
            <w:vAlign w:val="bottom"/>
            <w:tcBorders>
              <w:bottom w:val="single" w:sz="8" w:color="C0C0C0"/>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54,751</w:t>
            </w:r>
          </w:p>
        </w:tc>
        <w:tc>
          <w:tcPr>
            <w:tcW w:w="260" w:type="dxa"/>
            <w:vAlign w:val="bottom"/>
            <w:tcBorders>
              <w:bottom w:val="single" w:sz="8" w:color="C0C0C0"/>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54,291</w:t>
            </w:r>
          </w:p>
        </w:tc>
        <w:tc>
          <w:tcPr>
            <w:tcW w:w="2300" w:type="dxa"/>
            <w:vAlign w:val="bottom"/>
          </w:tcPr>
          <w:p>
            <w:pPr>
              <w:spacing w:after="0"/>
              <w:rPr>
                <w:sz w:val="23"/>
                <w:szCs w:val="23"/>
                <w:color w:val="auto"/>
              </w:rPr>
            </w:pPr>
          </w:p>
        </w:tc>
      </w:tr>
      <w:tr>
        <w:trPr>
          <w:trHeight w:val="243"/>
        </w:trPr>
        <w:tc>
          <w:tcPr>
            <w:tcW w:w="4420" w:type="dxa"/>
            <w:vAlign w:val="bottom"/>
            <w:shd w:val="clear" w:color="auto" w:fill="C0C0C0"/>
          </w:tcPr>
          <w:p>
            <w:pPr>
              <w:spacing w:after="0"/>
              <w:rPr>
                <w:sz w:val="20"/>
                <w:szCs w:val="20"/>
                <w:color w:val="auto"/>
              </w:rPr>
            </w:pPr>
            <w:r>
              <w:rPr>
                <w:rFonts w:ascii="Arial" w:cs="Arial" w:eastAsia="Arial" w:hAnsi="Arial"/>
                <w:sz w:val="18"/>
                <w:szCs w:val="18"/>
                <w:color w:val="auto"/>
              </w:rPr>
              <w:t>Basic earnings (loss) per share</w:t>
            </w:r>
          </w:p>
        </w:tc>
        <w:tc>
          <w:tcPr>
            <w:tcW w:w="4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0C0C0"/>
          </w:tcPr>
          <w:p>
            <w:pPr>
              <w:spacing w:after="0"/>
              <w:rPr>
                <w:sz w:val="21"/>
                <w:szCs w:val="21"/>
                <w:color w:val="auto"/>
              </w:rPr>
            </w:pPr>
          </w:p>
        </w:tc>
        <w:tc>
          <w:tcPr>
            <w:tcW w:w="2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0.15</w:t>
            </w:r>
          </w:p>
        </w:tc>
        <w:tc>
          <w:tcPr>
            <w:tcW w:w="2300" w:type="dxa"/>
            <w:vAlign w:val="bottom"/>
          </w:tcPr>
          <w:p>
            <w:pPr>
              <w:spacing w:after="0"/>
              <w:rPr>
                <w:sz w:val="21"/>
                <w:szCs w:val="21"/>
                <w:color w:val="auto"/>
              </w:rPr>
            </w:pPr>
          </w:p>
        </w:tc>
      </w:tr>
      <w:tr>
        <w:trPr>
          <w:trHeight w:val="241"/>
        </w:trPr>
        <w:tc>
          <w:tcPr>
            <w:tcW w:w="44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0.15</w:t>
            </w:r>
          </w:p>
        </w:tc>
      </w:tr>
      <w:tr>
        <w:trPr>
          <w:trHeight w:val="473"/>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3"/>
        </w:trPr>
        <w:tc>
          <w:tcPr>
            <w:tcW w:w="44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44" w:right="219" w:bottom="1440" w:gutter="0" w:footer="0" w:header="0"/>
        </w:sectPr>
      </w:pPr>
    </w:p>
    <w:bookmarkStart w:id="17" w:name="page18"/>
    <w:bookmarkEnd w:id="17"/>
    <w:p>
      <w:pPr>
        <w:ind w:right="100" w:firstLine="270"/>
        <w:spacing w:after="0" w:line="323" w:lineRule="auto"/>
        <w:rPr>
          <w:sz w:val="20"/>
          <w:szCs w:val="20"/>
          <w:color w:val="auto"/>
        </w:rPr>
      </w:pPr>
      <w:r>
        <w:rPr>
          <w:rFonts w:ascii="Arial" w:cs="Arial" w:eastAsia="Arial" w:hAnsi="Arial"/>
          <w:sz w:val="15"/>
          <w:szCs w:val="15"/>
          <w:color w:val="auto"/>
        </w:rPr>
        <w:t>In periods in which the Company incurred a net loss, the assumed exercises and vestings of certain outstanding share-based awards had an antidilutive effect. The assumed exercise of certain outstanding common stock warrants and the conversion of convertible senior notes to common stock would also have been antidilutive in the periods that the Company reported a net loss. The table below shows the amounts of incremental weighted-average shares of these share-based payment awards, common stock warrants, and convertible debt that were not considered potentially dilutive common shares in the fiscal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b w:val="1"/>
                <w:bCs w:val="1"/>
                <w:color w:val="auto"/>
                <w:w w:val="89"/>
              </w:rPr>
              <w:t>Three Months Ended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4"/>
          </w:tcPr>
          <w:p>
            <w:pPr>
              <w:ind w:left="160"/>
              <w:spacing w:after="0"/>
              <w:rPr>
                <w:sz w:val="20"/>
                <w:szCs w:val="20"/>
                <w:color w:val="auto"/>
              </w:rPr>
            </w:pPr>
            <w:r>
              <w:rPr>
                <w:rFonts w:ascii="Arial" w:cs="Arial" w:eastAsia="Arial" w:hAnsi="Arial"/>
                <w:sz w:val="18"/>
                <w:szCs w:val="18"/>
                <w:b w:val="1"/>
                <w:bCs w:val="1"/>
                <w:color w:val="auto"/>
                <w:w w:val="98"/>
              </w:rPr>
              <w:t>Six Months Ended</w:t>
            </w:r>
          </w:p>
        </w:tc>
      </w:tr>
      <w:tr>
        <w:trPr>
          <w:trHeight w:val="228"/>
        </w:trPr>
        <w:tc>
          <w:tcPr>
            <w:tcW w:w="5380" w:type="dxa"/>
            <w:vAlign w:val="bottom"/>
          </w:tcPr>
          <w:p>
            <w:pPr>
              <w:spacing w:after="0"/>
              <w:rPr>
                <w:sz w:val="19"/>
                <w:szCs w:val="19"/>
                <w:color w:val="auto"/>
              </w:rPr>
            </w:pPr>
          </w:p>
        </w:tc>
        <w:tc>
          <w:tcPr>
            <w:tcW w:w="10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May 1,</w:t>
            </w: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May 2,</w:t>
            </w:r>
          </w:p>
        </w:tc>
        <w:tc>
          <w:tcPr>
            <w:tcW w:w="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May 1,</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May 2,</w:t>
            </w:r>
          </w:p>
        </w:tc>
        <w:tc>
          <w:tcPr>
            <w:tcW w:w="20" w:type="dxa"/>
            <w:vAlign w:val="bottom"/>
          </w:tcPr>
          <w:p>
            <w:pPr>
              <w:spacing w:after="0"/>
              <w:rPr>
                <w:sz w:val="19"/>
                <w:szCs w:val="19"/>
                <w:color w:val="auto"/>
              </w:rPr>
            </w:pPr>
          </w:p>
        </w:tc>
      </w:tr>
      <w:tr>
        <w:trPr>
          <w:trHeight w:val="251"/>
        </w:trPr>
        <w:tc>
          <w:tcPr>
            <w:tcW w:w="53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2010</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5380" w:type="dxa"/>
            <w:vAlign w:val="bottom"/>
            <w:shd w:val="clear" w:color="auto" w:fill="C0C0C0"/>
          </w:tcPr>
          <w:p>
            <w:pPr>
              <w:spacing w:after="0"/>
              <w:rPr>
                <w:sz w:val="20"/>
                <w:szCs w:val="20"/>
                <w:color w:val="auto"/>
              </w:rPr>
            </w:pPr>
            <w:r>
              <w:rPr>
                <w:rFonts w:ascii="Arial" w:cs="Arial" w:eastAsia="Arial" w:hAnsi="Arial"/>
                <w:sz w:val="18"/>
                <w:szCs w:val="18"/>
                <w:color w:val="auto"/>
              </w:rPr>
              <w:t>Convertible notes</w:t>
            </w: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13,336</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60" w:type="dxa"/>
            <w:vAlign w:val="bottom"/>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14,455</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5"/>
        </w:trPr>
        <w:tc>
          <w:tcPr>
            <w:tcW w:w="538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760" w:type="dxa"/>
            <w:vAlign w:val="bottom"/>
          </w:tcPr>
          <w:p>
            <w:pPr>
              <w:jc w:val="right"/>
              <w:spacing w:after="0"/>
              <w:rPr>
                <w:sz w:val="20"/>
                <w:szCs w:val="20"/>
                <w:color w:val="auto"/>
              </w:rPr>
            </w:pPr>
            <w:r>
              <w:rPr>
                <w:rFonts w:ascii="Arial" w:cs="Arial" w:eastAsia="Arial" w:hAnsi="Arial"/>
                <w:sz w:val="18"/>
                <w:szCs w:val="18"/>
                <w:color w:val="auto"/>
              </w:rPr>
              <w:t>1,374</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1,221</w:t>
            </w: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538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7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554</w:t>
            </w:r>
          </w:p>
        </w:tc>
        <w:tc>
          <w:tcPr>
            <w:tcW w:w="260" w:type="dxa"/>
            <w:vAlign w:val="bottom"/>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spacing w:after="0"/>
              <w:rPr>
                <w:sz w:val="21"/>
                <w:szCs w:val="21"/>
                <w:color w:val="auto"/>
              </w:rPr>
            </w:pPr>
          </w:p>
        </w:tc>
        <w:tc>
          <w:tcPr>
            <w:tcW w:w="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50"/>
        </w:trPr>
        <w:tc>
          <w:tcPr>
            <w:tcW w:w="53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2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16,211</w:t>
            </w:r>
          </w:p>
        </w:tc>
        <w:tc>
          <w:tcPr>
            <w:tcW w:w="260" w:type="dxa"/>
            <w:vAlign w:val="bottom"/>
          </w:tcPr>
          <w:p>
            <w:pPr>
              <w:spacing w:after="0"/>
              <w:rPr>
                <w:sz w:val="21"/>
                <w:szCs w:val="21"/>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62"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 table below shows the outstanding weighted-average share-based payment awards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tcPr>
          <w:p>
            <w:pPr>
              <w:spacing w:after="0"/>
              <w:rPr>
                <w:sz w:val="20"/>
                <w:szCs w:val="20"/>
                <w:color w:val="auto"/>
              </w:rPr>
            </w:pPr>
          </w:p>
        </w:tc>
        <w:tc>
          <w:tcPr>
            <w:tcW w:w="212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4000" w:type="dxa"/>
            <w:vAlign w:val="bottom"/>
            <w:gridSpan w:val="4"/>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5320" w:type="dxa"/>
            <w:vAlign w:val="bottom"/>
          </w:tcPr>
          <w:p>
            <w:pPr>
              <w:spacing w:after="0"/>
              <w:rPr>
                <w:sz w:val="19"/>
                <w:szCs w:val="19"/>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4"/>
              </w:rPr>
              <w:t>May 1,</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May 2,</w:t>
            </w:r>
          </w:p>
        </w:tc>
        <w:tc>
          <w:tcPr>
            <w:tcW w:w="320" w:type="dxa"/>
            <w:vAlign w:val="bottom"/>
          </w:tcPr>
          <w:p>
            <w:pPr>
              <w:spacing w:after="0"/>
              <w:rPr>
                <w:sz w:val="19"/>
                <w:szCs w:val="19"/>
                <w:color w:val="auto"/>
              </w:rPr>
            </w:pPr>
          </w:p>
        </w:tc>
        <w:tc>
          <w:tcPr>
            <w:tcW w:w="9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May 1,</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May 2,</w:t>
            </w:r>
          </w:p>
        </w:tc>
        <w:tc>
          <w:tcPr>
            <w:tcW w:w="2300" w:type="dxa"/>
            <w:vAlign w:val="bottom"/>
          </w:tcPr>
          <w:p>
            <w:pPr>
              <w:spacing w:after="0"/>
              <w:rPr>
                <w:sz w:val="19"/>
                <w:szCs w:val="19"/>
                <w:color w:val="auto"/>
              </w:rPr>
            </w:pPr>
          </w:p>
        </w:tc>
      </w:tr>
      <w:tr>
        <w:trPr>
          <w:trHeight w:val="251"/>
        </w:trPr>
        <w:tc>
          <w:tcPr>
            <w:tcW w:w="532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300" w:type="dxa"/>
            <w:vAlign w:val="bottom"/>
          </w:tcPr>
          <w:p>
            <w:pPr>
              <w:spacing w:after="0"/>
              <w:rPr>
                <w:sz w:val="21"/>
                <w:szCs w:val="21"/>
                <w:color w:val="auto"/>
              </w:rPr>
            </w:pP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Convertible notes</w:t>
            </w:r>
          </w:p>
        </w:tc>
        <w:tc>
          <w:tcPr>
            <w:tcW w:w="10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11,311</w:t>
            </w:r>
          </w:p>
        </w:tc>
        <w:tc>
          <w:tcPr>
            <w:tcW w:w="2300" w:type="dxa"/>
            <w:vAlign w:val="bottom"/>
          </w:tcPr>
          <w:p>
            <w:pPr>
              <w:spacing w:after="0"/>
              <w:rPr>
                <w:sz w:val="21"/>
                <w:szCs w:val="21"/>
                <w:color w:val="auto"/>
              </w:rPr>
            </w:pPr>
          </w:p>
        </w:tc>
      </w:tr>
      <w:tr>
        <w:trPr>
          <w:trHeight w:val="235"/>
        </w:trPr>
        <w:tc>
          <w:tcPr>
            <w:tcW w:w="532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2,215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2,844</w:t>
            </w:r>
          </w:p>
        </w:tc>
        <w:tc>
          <w:tcPr>
            <w:tcW w:w="720" w:type="dxa"/>
            <w:vAlign w:val="bottom"/>
          </w:tcPr>
          <w:p>
            <w:pPr>
              <w:jc w:val="right"/>
              <w:spacing w:after="0"/>
              <w:rPr>
                <w:sz w:val="20"/>
                <w:szCs w:val="20"/>
                <w:color w:val="auto"/>
              </w:rPr>
            </w:pPr>
            <w:r>
              <w:rPr>
                <w:rFonts w:ascii="Arial" w:cs="Arial" w:eastAsia="Arial" w:hAnsi="Arial"/>
                <w:sz w:val="18"/>
                <w:szCs w:val="18"/>
                <w:color w:val="auto"/>
              </w:rPr>
              <w:t>2,044</w:t>
            </w:r>
          </w:p>
        </w:tc>
        <w:tc>
          <w:tcPr>
            <w:tcW w:w="260" w:type="dxa"/>
            <w:vAlign w:val="bottom"/>
          </w:tcPr>
          <w:p>
            <w:pPr>
              <w:spacing w:after="0"/>
              <w:rPr>
                <w:sz w:val="20"/>
                <w:szCs w:val="20"/>
                <w:color w:val="auto"/>
              </w:rPr>
            </w:pP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2,652</w:t>
            </w:r>
          </w:p>
        </w:tc>
      </w:tr>
      <w:tr>
        <w:trPr>
          <w:trHeight w:val="243"/>
        </w:trPr>
        <w:tc>
          <w:tcPr>
            <w:tcW w:w="532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104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0C0C0"/>
          </w:tcPr>
          <w:p>
            <w:pPr>
              <w:jc w:val="right"/>
              <w:ind w:right="320"/>
              <w:spacing w:after="0"/>
              <w:rPr>
                <w:sz w:val="20"/>
                <w:szCs w:val="20"/>
                <w:color w:val="auto"/>
              </w:rPr>
            </w:pPr>
            <w:r>
              <w:rPr>
                <w:rFonts w:ascii="Arial" w:cs="Arial" w:eastAsia="Arial" w:hAnsi="Arial"/>
                <w:sz w:val="18"/>
                <w:szCs w:val="18"/>
                <w:color w:val="auto"/>
              </w:rPr>
              <w:t>747</w:t>
            </w: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854</w:t>
            </w:r>
          </w:p>
        </w:tc>
        <w:tc>
          <w:tcPr>
            <w:tcW w:w="2300" w:type="dxa"/>
            <w:vAlign w:val="bottom"/>
          </w:tcPr>
          <w:p>
            <w:pPr>
              <w:spacing w:after="0"/>
              <w:rPr>
                <w:sz w:val="21"/>
                <w:szCs w:val="21"/>
                <w:color w:val="auto"/>
              </w:rPr>
            </w:pPr>
          </w:p>
        </w:tc>
      </w:tr>
      <w:tr>
        <w:trPr>
          <w:trHeight w:val="21"/>
        </w:trPr>
        <w:tc>
          <w:tcPr>
            <w:tcW w:w="5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2,215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3,591</w:t>
            </w:r>
          </w:p>
        </w:tc>
        <w:tc>
          <w:tcPr>
            <w:tcW w:w="720" w:type="dxa"/>
            <w:vAlign w:val="bottom"/>
          </w:tcPr>
          <w:p>
            <w:pPr>
              <w:jc w:val="right"/>
              <w:spacing w:after="0"/>
              <w:rPr>
                <w:sz w:val="20"/>
                <w:szCs w:val="20"/>
                <w:color w:val="auto"/>
              </w:rPr>
            </w:pPr>
            <w:r>
              <w:rPr>
                <w:rFonts w:ascii="Arial" w:cs="Arial" w:eastAsia="Arial" w:hAnsi="Arial"/>
                <w:sz w:val="18"/>
                <w:szCs w:val="18"/>
                <w:color w:val="auto"/>
              </w:rPr>
              <w:t>2,044</w:t>
            </w:r>
          </w:p>
        </w:tc>
        <w:tc>
          <w:tcPr>
            <w:tcW w:w="260" w:type="dxa"/>
            <w:vAlign w:val="bottom"/>
          </w:tcPr>
          <w:p>
            <w:pPr>
              <w:spacing w:after="0"/>
              <w:rPr>
                <w:sz w:val="21"/>
                <w:szCs w:val="21"/>
                <w:color w:val="auto"/>
              </w:rPr>
            </w:pPr>
          </w:p>
        </w:tc>
        <w:tc>
          <w:tcPr>
            <w:tcW w:w="3020" w:type="dxa"/>
            <w:vAlign w:val="bottom"/>
            <w:gridSpan w:val="2"/>
          </w:tcPr>
          <w:p>
            <w:pPr>
              <w:jc w:val="right"/>
              <w:ind w:right="2300"/>
              <w:spacing w:after="0"/>
              <w:rPr>
                <w:sz w:val="20"/>
                <w:szCs w:val="20"/>
                <w:color w:val="auto"/>
              </w:rPr>
            </w:pPr>
            <w:r>
              <w:rPr>
                <w:rFonts w:ascii="Arial" w:cs="Arial" w:eastAsia="Arial" w:hAnsi="Arial"/>
                <w:sz w:val="18"/>
                <w:szCs w:val="18"/>
                <w:color w:val="auto"/>
              </w:rPr>
              <w:t>14,817</w:t>
            </w:r>
          </w:p>
        </w:tc>
      </w:tr>
      <w:tr>
        <w:trPr>
          <w:trHeight w:val="457"/>
        </w:trPr>
        <w:tc>
          <w:tcPr>
            <w:tcW w:w="532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18</w:t>
            </w: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363"/>
        </w:trPr>
        <w:tc>
          <w:tcPr>
            <w:tcW w:w="53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44"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 GEOGRAPHIC INFORMATION</w:t>
      </w:r>
    </w:p>
    <w:p>
      <w:pPr>
        <w:spacing w:after="0" w:line="285"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 The Company's net sales by geographic area and for ICs and FPDs for the three and six month periods ended May 1, 2011 and May 2, 2010 and its long-lived assets by geographic area as of May 1, 2011, and October 31, 2010, are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00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2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May 1,</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May 2,</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May 1,</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May 2,</w:t>
            </w:r>
          </w:p>
        </w:tc>
        <w:tc>
          <w:tcPr>
            <w:tcW w:w="20" w:type="dxa"/>
            <w:vAlign w:val="bottom"/>
          </w:tcPr>
          <w:p>
            <w:pPr>
              <w:spacing w:after="0"/>
              <w:rPr>
                <w:sz w:val="19"/>
                <w:szCs w:val="19"/>
                <w:color w:val="auto"/>
              </w:rPr>
            </w:pPr>
          </w:p>
        </w:tc>
      </w:tr>
      <w:tr>
        <w:trPr>
          <w:trHeight w:val="251"/>
        </w:trPr>
        <w:tc>
          <w:tcPr>
            <w:tcW w:w="298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29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1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2980" w:type="dxa"/>
            <w:vAlign w:val="bottom"/>
          </w:tcPr>
          <w:p>
            <w:pPr>
              <w:ind w:left="320"/>
              <w:spacing w:after="0"/>
              <w:rPr>
                <w:sz w:val="20"/>
                <w:szCs w:val="20"/>
                <w:color w:val="auto"/>
              </w:rPr>
            </w:pPr>
            <w:r>
              <w:rPr>
                <w:rFonts w:ascii="Arial" w:cs="Arial" w:eastAsia="Arial" w:hAnsi="Arial"/>
                <w:sz w:val="18"/>
                <w:szCs w:val="18"/>
                <w:color w:val="auto"/>
              </w:rPr>
              <w:t>Asia</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79,482</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61,821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158,173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122,628</w:t>
            </w:r>
          </w:p>
        </w:tc>
      </w:tr>
      <w:tr>
        <w:trPr>
          <w:trHeight w:val="251"/>
        </w:trPr>
        <w:tc>
          <w:tcPr>
            <w:tcW w:w="2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13,046</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10,665</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23,810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20,182</w:t>
            </w:r>
          </w:p>
        </w:tc>
        <w:tc>
          <w:tcPr>
            <w:tcW w:w="20" w:type="dxa"/>
            <w:vAlign w:val="bottom"/>
          </w:tcPr>
          <w:p>
            <w:pPr>
              <w:spacing w:after="0"/>
              <w:rPr>
                <w:sz w:val="21"/>
                <w:szCs w:val="21"/>
                <w:color w:val="auto"/>
              </w:rPr>
            </w:pPr>
          </w:p>
        </w:tc>
      </w:tr>
      <w:tr>
        <w:trPr>
          <w:trHeight w:val="237"/>
        </w:trPr>
        <w:tc>
          <w:tcPr>
            <w:tcW w:w="29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North America</w:t>
            </w:r>
          </w:p>
        </w:tc>
        <w:tc>
          <w:tcPr>
            <w:tcW w:w="16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40,575</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32,584</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71,943</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60,457</w:t>
            </w:r>
          </w:p>
        </w:tc>
        <w:tc>
          <w:tcPr>
            <w:tcW w:w="20" w:type="dxa"/>
            <w:vAlign w:val="bottom"/>
          </w:tcPr>
          <w:p>
            <w:pPr>
              <w:spacing w:after="0"/>
              <w:rPr>
                <w:sz w:val="20"/>
                <w:szCs w:val="20"/>
                <w:color w:val="auto"/>
              </w:rPr>
            </w:pPr>
          </w:p>
        </w:tc>
      </w:tr>
      <w:tr>
        <w:trPr>
          <w:trHeight w:val="250"/>
        </w:trPr>
        <w:tc>
          <w:tcPr>
            <w:tcW w:w="2980" w:type="dxa"/>
            <w:vAlign w:val="bottom"/>
            <w:shd w:val="clear" w:color="auto" w:fill="C0C0C0"/>
          </w:tcPr>
          <w:p>
            <w:pPr>
              <w:spacing w:after="0"/>
              <w:rPr>
                <w:sz w:val="21"/>
                <w:szCs w:val="21"/>
                <w:color w:val="auto"/>
              </w:rPr>
            </w:pPr>
          </w:p>
        </w:tc>
        <w:tc>
          <w:tcPr>
            <w:tcW w:w="17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133,103</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105,070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253,926</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203,267</w:t>
            </w:r>
          </w:p>
        </w:tc>
        <w:tc>
          <w:tcPr>
            <w:tcW w:w="20" w:type="dxa"/>
            <w:vAlign w:val="bottom"/>
          </w:tcPr>
          <w:p>
            <w:pPr>
              <w:spacing w:after="0"/>
              <w:rPr>
                <w:sz w:val="21"/>
                <w:szCs w:val="21"/>
                <w:color w:val="auto"/>
              </w:rPr>
            </w:pPr>
          </w:p>
        </w:tc>
      </w:tr>
      <w:tr>
        <w:trPr>
          <w:trHeight w:val="230"/>
        </w:trPr>
        <w:tc>
          <w:tcPr>
            <w:tcW w:w="2980" w:type="dxa"/>
            <w:vAlign w:val="bottom"/>
            <w:tcBorders>
              <w:top w:val="single" w:sz="8" w:color="C0C0C0"/>
            </w:tcBorders>
          </w:tcPr>
          <w:p>
            <w:pPr>
              <w:spacing w:after="0"/>
              <w:rPr>
                <w:sz w:val="19"/>
                <w:szCs w:val="19"/>
                <w:color w:val="auto"/>
              </w:rPr>
            </w:pPr>
          </w:p>
        </w:tc>
        <w:tc>
          <w:tcPr>
            <w:tcW w:w="162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C0C0C0"/>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IC</w:t>
            </w:r>
          </w:p>
        </w:tc>
        <w:tc>
          <w:tcPr>
            <w:tcW w:w="17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100,999</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83,996</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189,800</w:t>
            </w:r>
          </w:p>
        </w:tc>
        <w:tc>
          <w:tcPr>
            <w:tcW w:w="260" w:type="dxa"/>
            <w:vAlign w:val="bottom"/>
            <w:shd w:val="clear" w:color="auto" w:fill="C0C0C0"/>
          </w:tcPr>
          <w:p>
            <w:pPr>
              <w:spacing w:after="0"/>
              <w:rPr>
                <w:sz w:val="21"/>
                <w:szCs w:val="21"/>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158,489</w:t>
            </w:r>
          </w:p>
        </w:tc>
        <w:tc>
          <w:tcPr>
            <w:tcW w:w="20" w:type="dxa"/>
            <w:vAlign w:val="bottom"/>
          </w:tcPr>
          <w:p>
            <w:pPr>
              <w:spacing w:after="0"/>
              <w:rPr>
                <w:sz w:val="21"/>
                <w:szCs w:val="21"/>
                <w:color w:val="auto"/>
              </w:rPr>
            </w:pPr>
          </w:p>
        </w:tc>
      </w:tr>
      <w:tr>
        <w:trPr>
          <w:trHeight w:val="237"/>
        </w:trPr>
        <w:tc>
          <w:tcPr>
            <w:tcW w:w="29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FPD</w:t>
            </w:r>
          </w:p>
        </w:tc>
        <w:tc>
          <w:tcPr>
            <w:tcW w:w="16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32,104</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21,074</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64,126</w:t>
            </w:r>
          </w:p>
        </w:tc>
        <w:tc>
          <w:tcPr>
            <w:tcW w:w="260" w:type="dxa"/>
            <w:vAlign w:val="bottom"/>
            <w:tcBorders>
              <w:bottom w:val="single" w:sz="8" w:color="C0C0C0"/>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44,778</w:t>
            </w:r>
          </w:p>
        </w:tc>
        <w:tc>
          <w:tcPr>
            <w:tcW w:w="20" w:type="dxa"/>
            <w:vAlign w:val="bottom"/>
          </w:tcPr>
          <w:p>
            <w:pPr>
              <w:spacing w:after="0"/>
              <w:rPr>
                <w:sz w:val="20"/>
                <w:szCs w:val="20"/>
                <w:color w:val="auto"/>
              </w:rPr>
            </w:pPr>
          </w:p>
        </w:tc>
      </w:tr>
      <w:tr>
        <w:trPr>
          <w:trHeight w:val="235"/>
        </w:trPr>
        <w:tc>
          <w:tcPr>
            <w:tcW w:w="2980" w:type="dxa"/>
            <w:vAlign w:val="bottom"/>
            <w:shd w:val="clear" w:color="auto" w:fill="C0C0C0"/>
          </w:tcPr>
          <w:p>
            <w:pPr>
              <w:spacing w:after="0"/>
              <w:rPr>
                <w:sz w:val="20"/>
                <w:szCs w:val="20"/>
                <w:color w:val="auto"/>
              </w:rPr>
            </w:pPr>
          </w:p>
        </w:tc>
        <w:tc>
          <w:tcPr>
            <w:tcW w:w="17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133,103</w:t>
            </w:r>
          </w:p>
        </w:tc>
        <w:tc>
          <w:tcPr>
            <w:tcW w:w="260" w:type="dxa"/>
            <w:vAlign w:val="bottom"/>
            <w:shd w:val="clear" w:color="auto" w:fill="C0C0C0"/>
          </w:tcPr>
          <w:p>
            <w:pPr>
              <w:spacing w:after="0"/>
              <w:rPr>
                <w:sz w:val="20"/>
                <w:szCs w:val="20"/>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105,070</w:t>
            </w: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253,926</w:t>
            </w: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203,267</w:t>
            </w:r>
          </w:p>
        </w:tc>
        <w:tc>
          <w:tcPr>
            <w:tcW w:w="20" w:type="dxa"/>
            <w:vAlign w:val="bottom"/>
          </w:tcPr>
          <w:p>
            <w:pPr>
              <w:spacing w:after="0"/>
              <w:rPr>
                <w:sz w:val="20"/>
                <w:szCs w:val="20"/>
                <w:color w:val="auto"/>
              </w:rPr>
            </w:pPr>
          </w:p>
        </w:tc>
      </w:tr>
      <w:tr>
        <w:trPr>
          <w:trHeight w:val="35"/>
        </w:trPr>
        <w:tc>
          <w:tcPr>
            <w:tcW w:w="2980" w:type="dxa"/>
            <w:vAlign w:val="bottom"/>
            <w:shd w:val="clear" w:color="auto" w:fill="C0C0C0"/>
          </w:tcPr>
          <w:p>
            <w:pPr>
              <w:spacing w:after="0"/>
              <w:rPr>
                <w:sz w:val="3"/>
                <w:szCs w:val="3"/>
                <w:color w:val="auto"/>
              </w:rPr>
            </w:pPr>
          </w:p>
        </w:tc>
        <w:tc>
          <w:tcPr>
            <w:tcW w:w="162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8"/>
                <w:szCs w:val="18"/>
                <w:b w:val="1"/>
                <w:bCs w:val="1"/>
                <w:color w:val="auto"/>
              </w:rPr>
              <w:t>As of</w:t>
            </w:r>
          </w:p>
        </w:tc>
        <w:tc>
          <w:tcPr>
            <w:tcW w:w="720" w:type="dxa"/>
            <w:vAlign w:val="bottom"/>
            <w:tcBorders>
              <w:bottom w:val="single" w:sz="8" w:color="auto"/>
            </w:tcBorders>
          </w:tcPr>
          <w:p>
            <w:pPr>
              <w:spacing w:after="0"/>
              <w:rPr>
                <w:sz w:val="20"/>
                <w:szCs w:val="20"/>
                <w:color w:val="auto"/>
              </w:rPr>
            </w:pPr>
          </w:p>
        </w:tc>
        <w:tc>
          <w:tcPr>
            <w:tcW w:w="4700" w:type="dxa"/>
            <w:vAlign w:val="bottom"/>
          </w:tcPr>
          <w:p>
            <w:pPr>
              <w:spacing w:after="0"/>
              <w:rPr>
                <w:sz w:val="20"/>
                <w:szCs w:val="20"/>
                <w:color w:val="auto"/>
              </w:rPr>
            </w:pPr>
          </w:p>
        </w:tc>
      </w:tr>
      <w:tr>
        <w:trPr>
          <w:trHeight w:val="228"/>
        </w:trPr>
        <w:tc>
          <w:tcPr>
            <w:tcW w:w="29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b w:val="1"/>
                <w:bCs w:val="1"/>
                <w:color w:val="auto"/>
              </w:rPr>
              <w:t>May 1,</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October 31,</w:t>
            </w:r>
          </w:p>
        </w:tc>
        <w:tc>
          <w:tcPr>
            <w:tcW w:w="4700" w:type="dxa"/>
            <w:vAlign w:val="bottom"/>
          </w:tcPr>
          <w:p>
            <w:pPr>
              <w:spacing w:after="0"/>
              <w:rPr>
                <w:sz w:val="19"/>
                <w:szCs w:val="19"/>
                <w:color w:val="auto"/>
              </w:rPr>
            </w:pPr>
          </w:p>
        </w:tc>
      </w:tr>
      <w:tr>
        <w:trPr>
          <w:trHeight w:val="265"/>
        </w:trPr>
        <w:tc>
          <w:tcPr>
            <w:tcW w:w="2980" w:type="dxa"/>
            <w:vAlign w:val="bottom"/>
            <w:tcBorders>
              <w:bottom w:val="single" w:sz="8" w:color="C0C0C0"/>
            </w:tcBorders>
          </w:tcPr>
          <w:p>
            <w:pPr>
              <w:spacing w:after="0"/>
              <w:rPr>
                <w:sz w:val="23"/>
                <w:szCs w:val="23"/>
                <w:color w:val="auto"/>
              </w:rPr>
            </w:pPr>
          </w:p>
        </w:tc>
        <w:tc>
          <w:tcPr>
            <w:tcW w:w="1620" w:type="dxa"/>
            <w:vAlign w:val="bottom"/>
            <w:tcBorders>
              <w:bottom w:val="single" w:sz="8" w:color="C0C0C0"/>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2010</w:t>
            </w:r>
          </w:p>
        </w:tc>
        <w:tc>
          <w:tcPr>
            <w:tcW w:w="4700" w:type="dxa"/>
            <w:vAlign w:val="bottom"/>
          </w:tcPr>
          <w:p>
            <w:pPr>
              <w:spacing w:after="0"/>
              <w:rPr>
                <w:sz w:val="23"/>
                <w:szCs w:val="23"/>
                <w:color w:val="auto"/>
              </w:rPr>
            </w:pPr>
          </w:p>
        </w:tc>
      </w:tr>
      <w:tr>
        <w:trPr>
          <w:trHeight w:val="243"/>
        </w:trPr>
        <w:tc>
          <w:tcPr>
            <w:tcW w:w="29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Long-lived assets</w:t>
            </w:r>
          </w:p>
        </w:tc>
        <w:tc>
          <w:tcPr>
            <w:tcW w:w="1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4700" w:type="dxa"/>
            <w:vAlign w:val="bottom"/>
          </w:tcPr>
          <w:p>
            <w:pPr>
              <w:spacing w:after="0"/>
              <w:rPr>
                <w:sz w:val="21"/>
                <w:szCs w:val="21"/>
                <w:color w:val="auto"/>
              </w:rPr>
            </w:pPr>
          </w:p>
        </w:tc>
      </w:tr>
      <w:tr>
        <w:trPr>
          <w:trHeight w:val="235"/>
        </w:trPr>
        <w:tc>
          <w:tcPr>
            <w:tcW w:w="2980" w:type="dxa"/>
            <w:vAlign w:val="bottom"/>
          </w:tcPr>
          <w:p>
            <w:pPr>
              <w:ind w:left="320"/>
              <w:spacing w:after="0"/>
              <w:rPr>
                <w:sz w:val="20"/>
                <w:szCs w:val="20"/>
                <w:color w:val="auto"/>
              </w:rPr>
            </w:pPr>
            <w:r>
              <w:rPr>
                <w:rFonts w:ascii="Arial" w:cs="Arial" w:eastAsia="Arial" w:hAnsi="Arial"/>
                <w:sz w:val="18"/>
                <w:szCs w:val="18"/>
                <w:color w:val="auto"/>
              </w:rPr>
              <w:t>Asia</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216,122</w:t>
            </w: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221,283</w:t>
            </w:r>
          </w:p>
        </w:tc>
        <w:tc>
          <w:tcPr>
            <w:tcW w:w="4700" w:type="dxa"/>
            <w:vAlign w:val="bottom"/>
          </w:tcPr>
          <w:p>
            <w:pPr>
              <w:spacing w:after="0"/>
              <w:rPr>
                <w:sz w:val="20"/>
                <w:szCs w:val="20"/>
                <w:color w:val="auto"/>
              </w:rPr>
            </w:pPr>
          </w:p>
        </w:tc>
      </w:tr>
      <w:tr>
        <w:trPr>
          <w:trHeight w:val="251"/>
        </w:trPr>
        <w:tc>
          <w:tcPr>
            <w:tcW w:w="29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6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12,212</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14,182</w:t>
            </w:r>
          </w:p>
        </w:tc>
        <w:tc>
          <w:tcPr>
            <w:tcW w:w="4700" w:type="dxa"/>
            <w:vAlign w:val="bottom"/>
          </w:tcPr>
          <w:p>
            <w:pPr>
              <w:spacing w:after="0"/>
              <w:rPr>
                <w:sz w:val="21"/>
                <w:szCs w:val="21"/>
                <w:color w:val="auto"/>
              </w:rPr>
            </w:pPr>
          </w:p>
        </w:tc>
      </w:tr>
      <w:tr>
        <w:trPr>
          <w:trHeight w:val="237"/>
        </w:trPr>
        <w:tc>
          <w:tcPr>
            <w:tcW w:w="29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North America</w:t>
            </w:r>
          </w:p>
        </w:tc>
        <w:tc>
          <w:tcPr>
            <w:tcW w:w="16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175,079</w:t>
            </w:r>
          </w:p>
        </w:tc>
        <w:tc>
          <w:tcPr>
            <w:tcW w:w="260" w:type="dxa"/>
            <w:vAlign w:val="bottom"/>
            <w:tcBorders>
              <w:bottom w:val="single" w:sz="8" w:color="C0C0C0"/>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134,349</w:t>
            </w:r>
          </w:p>
        </w:tc>
        <w:tc>
          <w:tcPr>
            <w:tcW w:w="4700" w:type="dxa"/>
            <w:vAlign w:val="bottom"/>
          </w:tcPr>
          <w:p>
            <w:pPr>
              <w:spacing w:after="0"/>
              <w:rPr>
                <w:sz w:val="20"/>
                <w:szCs w:val="20"/>
                <w:color w:val="auto"/>
              </w:rPr>
            </w:pPr>
          </w:p>
        </w:tc>
      </w:tr>
      <w:tr>
        <w:trPr>
          <w:trHeight w:val="235"/>
        </w:trPr>
        <w:tc>
          <w:tcPr>
            <w:tcW w:w="2980" w:type="dxa"/>
            <w:vAlign w:val="bottom"/>
            <w:shd w:val="clear" w:color="auto" w:fill="C0C0C0"/>
          </w:tcPr>
          <w:p>
            <w:pPr>
              <w:spacing w:after="0"/>
              <w:rPr>
                <w:sz w:val="20"/>
                <w:szCs w:val="20"/>
                <w:color w:val="auto"/>
              </w:rPr>
            </w:pPr>
          </w:p>
        </w:tc>
        <w:tc>
          <w:tcPr>
            <w:tcW w:w="1760" w:type="dxa"/>
            <w:vAlign w:val="bottom"/>
            <w:gridSpan w:val="2"/>
            <w:shd w:val="clear" w:color="auto" w:fill="C0C0C0"/>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403,413</w:t>
            </w:r>
          </w:p>
        </w:tc>
        <w:tc>
          <w:tcPr>
            <w:tcW w:w="4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369,814</w:t>
            </w:r>
          </w:p>
        </w:tc>
        <w:tc>
          <w:tcPr>
            <w:tcW w:w="4700" w:type="dxa"/>
            <w:vAlign w:val="bottom"/>
          </w:tcPr>
          <w:p>
            <w:pPr>
              <w:spacing w:after="0"/>
              <w:rPr>
                <w:sz w:val="20"/>
                <w:szCs w:val="20"/>
                <w:color w:val="auto"/>
              </w:rPr>
            </w:pPr>
          </w:p>
        </w:tc>
      </w:tr>
      <w:tr>
        <w:trPr>
          <w:trHeight w:val="35"/>
        </w:trPr>
        <w:tc>
          <w:tcPr>
            <w:tcW w:w="2980" w:type="dxa"/>
            <w:vAlign w:val="bottom"/>
            <w:shd w:val="clear" w:color="auto" w:fill="C0C0C0"/>
          </w:tcPr>
          <w:p>
            <w:pPr>
              <w:spacing w:after="0"/>
              <w:rPr>
                <w:sz w:val="3"/>
                <w:szCs w:val="3"/>
                <w:color w:val="auto"/>
              </w:rPr>
            </w:pPr>
          </w:p>
        </w:tc>
        <w:tc>
          <w:tcPr>
            <w:tcW w:w="1620" w:type="dxa"/>
            <w:vAlign w:val="bottom"/>
            <w:shd w:val="clear" w:color="auto" w:fill="C0C0C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260" w:type="dxa"/>
            <w:vAlign w:val="bottom"/>
            <w:shd w:val="clear" w:color="auto" w:fill="C0C0C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4700" w:type="dxa"/>
            <w:vAlign w:val="bottom"/>
          </w:tcPr>
          <w:p>
            <w:pPr>
              <w:spacing w:after="0"/>
              <w:rPr>
                <w:sz w:val="3"/>
                <w:szCs w:val="3"/>
                <w:color w:val="auto"/>
              </w:rPr>
            </w:pPr>
          </w:p>
        </w:tc>
      </w:tr>
      <w:tr>
        <w:trPr>
          <w:trHeight w:val="457"/>
        </w:trPr>
        <w:tc>
          <w:tcPr>
            <w:tcW w:w="2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gridSpan w:val="2"/>
          </w:tcPr>
          <w:p>
            <w:pPr>
              <w:jc w:val="right"/>
              <w:ind w:right="132"/>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63"/>
        </w:trPr>
        <w:tc>
          <w:tcPr>
            <w:tcW w:w="29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285"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present assets and liabilities as of May 1, 2011 and October 31, 2010, that are measured at fair value on a recurring basis.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May 1, 2011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28"/>
        </w:trPr>
        <w:tc>
          <w:tcPr>
            <w:tcW w:w="3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Quoted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2"/>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Prices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 Active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Markets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1"/>
                <w:szCs w:val="21"/>
                <w:color w:val="auto"/>
              </w:rPr>
            </w:pPr>
          </w:p>
        </w:tc>
        <w:tc>
          <w:tcPr>
            <w:tcW w:w="980" w:type="dxa"/>
            <w:vAlign w:val="bottom"/>
          </w:tcPr>
          <w:p>
            <w:pPr>
              <w:jc w:val="center"/>
              <w:ind w:left="12"/>
              <w:spacing w:after="0"/>
              <w:rPr>
                <w:sz w:val="20"/>
                <w:szCs w:val="20"/>
                <w:color w:val="auto"/>
              </w:rPr>
            </w:pPr>
            <w:r>
              <w:rPr>
                <w:rFonts w:ascii="Arial" w:cs="Arial" w:eastAsia="Arial" w:hAnsi="Arial"/>
                <w:sz w:val="18"/>
                <w:szCs w:val="18"/>
                <w:b w:val="1"/>
                <w:bCs w:val="1"/>
                <w:color w:val="auto"/>
                <w:w w:val="86"/>
              </w:rPr>
              <w:t>Significant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for Identical</w:t>
            </w:r>
          </w:p>
        </w:tc>
        <w:tc>
          <w:tcPr>
            <w:tcW w:w="140" w:type="dxa"/>
            <w:vAlign w:val="bottom"/>
          </w:tcPr>
          <w:p>
            <w:pPr>
              <w:spacing w:after="0"/>
              <w:rPr>
                <w:sz w:val="21"/>
                <w:szCs w:val="21"/>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Observable</w:t>
            </w:r>
          </w:p>
        </w:tc>
        <w:tc>
          <w:tcPr>
            <w:tcW w:w="280" w:type="dxa"/>
            <w:vAlign w:val="bottom"/>
          </w:tcPr>
          <w:p>
            <w:pPr>
              <w:spacing w:after="0"/>
              <w:rPr>
                <w:sz w:val="21"/>
                <w:szCs w:val="21"/>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Unobservable</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98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308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C0C0C0"/>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r>
      <w:tr>
        <w:trPr>
          <w:trHeight w:val="235"/>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1480" w:type="dxa"/>
            <w:vAlign w:val="bottom"/>
            <w:gridSpan w:val="2"/>
            <w:shd w:val="clear" w:color="auto" w:fill="C0C0C0"/>
          </w:tcPr>
          <w:p>
            <w:pPr>
              <w:ind w:left="13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(1,544)</w:t>
            </w:r>
          </w:p>
        </w:tc>
        <w:tc>
          <w:tcPr>
            <w:tcW w:w="1260" w:type="dxa"/>
            <w:vAlign w:val="bottom"/>
            <w:gridSpan w:val="2"/>
            <w:shd w:val="clear" w:color="auto" w:fill="C0C0C0"/>
          </w:tcPr>
          <w:p>
            <w:pPr>
              <w:jc w:val="right"/>
              <w:ind w:right="8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(1,544)</w:t>
            </w:r>
          </w:p>
        </w:tc>
      </w:tr>
      <w:tr>
        <w:trPr>
          <w:trHeight w:val="21"/>
        </w:trPr>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42"/>
        </w:trPr>
        <w:tc>
          <w:tcPr>
            <w:tcW w:w="3080" w:type="dxa"/>
            <w:vAlign w:val="bottom"/>
          </w:tcPr>
          <w:p>
            <w:pPr>
              <w:spacing w:after="0"/>
              <w:rPr>
                <w:sz w:val="20"/>
                <w:szCs w:val="20"/>
                <w:color w:val="auto"/>
              </w:rPr>
            </w:pPr>
            <w:r>
              <w:rPr>
                <w:rFonts w:ascii="Arial" w:cs="Arial" w:eastAsia="Arial" w:hAnsi="Arial"/>
                <w:sz w:val="18"/>
                <w:szCs w:val="18"/>
                <w:color w:val="auto"/>
              </w:rPr>
              <w:t>Total liabilities</w:t>
            </w:r>
          </w:p>
        </w:tc>
        <w:tc>
          <w:tcPr>
            <w:tcW w:w="1480" w:type="dxa"/>
            <w:vAlign w:val="bottom"/>
            <w:gridSpan w:val="2"/>
          </w:tcPr>
          <w:p>
            <w:pPr>
              <w:ind w:left="13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(1,544)</w:t>
            </w:r>
          </w:p>
        </w:tc>
        <w:tc>
          <w:tcPr>
            <w:tcW w:w="126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8"/>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r>
        <w:trPr>
          <w:trHeight w:val="466"/>
        </w:trPr>
        <w:tc>
          <w:tcPr>
            <w:tcW w:w="3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October 31, 2010</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28"/>
        </w:trPr>
        <w:tc>
          <w:tcPr>
            <w:tcW w:w="30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Quoted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2"/>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Prices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 Active</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Markets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1"/>
                <w:szCs w:val="21"/>
                <w:color w:val="auto"/>
              </w:rPr>
            </w:pPr>
          </w:p>
        </w:tc>
        <w:tc>
          <w:tcPr>
            <w:tcW w:w="980" w:type="dxa"/>
            <w:vAlign w:val="bottom"/>
          </w:tcPr>
          <w:p>
            <w:pPr>
              <w:jc w:val="center"/>
              <w:ind w:left="12"/>
              <w:spacing w:after="0"/>
              <w:rPr>
                <w:sz w:val="20"/>
                <w:szCs w:val="20"/>
                <w:color w:val="auto"/>
              </w:rPr>
            </w:pPr>
            <w:r>
              <w:rPr>
                <w:rFonts w:ascii="Arial" w:cs="Arial" w:eastAsia="Arial" w:hAnsi="Arial"/>
                <w:sz w:val="18"/>
                <w:szCs w:val="18"/>
                <w:b w:val="1"/>
                <w:bCs w:val="1"/>
                <w:color w:val="auto"/>
                <w:w w:val="86"/>
              </w:rPr>
              <w:t>Significant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for Identical</w:t>
            </w:r>
          </w:p>
        </w:tc>
        <w:tc>
          <w:tcPr>
            <w:tcW w:w="140" w:type="dxa"/>
            <w:vAlign w:val="bottom"/>
          </w:tcPr>
          <w:p>
            <w:pPr>
              <w:spacing w:after="0"/>
              <w:rPr>
                <w:sz w:val="21"/>
                <w:szCs w:val="21"/>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Observable</w:t>
            </w:r>
          </w:p>
        </w:tc>
        <w:tc>
          <w:tcPr>
            <w:tcW w:w="280" w:type="dxa"/>
            <w:vAlign w:val="bottom"/>
          </w:tcPr>
          <w:p>
            <w:pPr>
              <w:spacing w:after="0"/>
              <w:rPr>
                <w:sz w:val="21"/>
                <w:szCs w:val="21"/>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Unobservable</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0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98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2"/>
        </w:trPr>
        <w:tc>
          <w:tcPr>
            <w:tcW w:w="308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C0C0C0"/>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Total</w:t>
            </w:r>
          </w:p>
        </w:tc>
      </w:tr>
      <w:tr>
        <w:trPr>
          <w:trHeight w:val="235"/>
        </w:trPr>
        <w:tc>
          <w:tcPr>
            <w:tcW w:w="3080" w:type="dxa"/>
            <w:vAlign w:val="bottom"/>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1480" w:type="dxa"/>
            <w:vAlign w:val="bottom"/>
            <w:gridSpan w:val="2"/>
            <w:shd w:val="clear" w:color="auto" w:fill="C0C0C0"/>
          </w:tcPr>
          <w:p>
            <w:pPr>
              <w:ind w:left="138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c>
          <w:tcPr>
            <w:tcW w:w="1260" w:type="dxa"/>
            <w:vAlign w:val="bottom"/>
            <w:gridSpan w:val="2"/>
            <w:shd w:val="clear" w:color="auto" w:fill="C0C0C0"/>
          </w:tcPr>
          <w:p>
            <w:pPr>
              <w:jc w:val="right"/>
              <w:ind w:right="8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r>
      <w:tr>
        <w:trPr>
          <w:trHeight w:val="21"/>
        </w:trPr>
        <w:tc>
          <w:tcPr>
            <w:tcW w:w="3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42"/>
        </w:trPr>
        <w:tc>
          <w:tcPr>
            <w:tcW w:w="3080" w:type="dxa"/>
            <w:vAlign w:val="bottom"/>
          </w:tcPr>
          <w:p>
            <w:pPr>
              <w:spacing w:after="0"/>
              <w:rPr>
                <w:sz w:val="20"/>
                <w:szCs w:val="20"/>
                <w:color w:val="auto"/>
              </w:rPr>
            </w:pPr>
            <w:r>
              <w:rPr>
                <w:rFonts w:ascii="Arial" w:cs="Arial" w:eastAsia="Arial" w:hAnsi="Arial"/>
                <w:sz w:val="18"/>
                <w:szCs w:val="18"/>
                <w:color w:val="auto"/>
              </w:rPr>
              <w:t>Total liabilities</w:t>
            </w:r>
          </w:p>
        </w:tc>
        <w:tc>
          <w:tcPr>
            <w:tcW w:w="1480" w:type="dxa"/>
            <w:vAlign w:val="bottom"/>
            <w:gridSpan w:val="2"/>
          </w:tcPr>
          <w:p>
            <w:pPr>
              <w:ind w:left="13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(1,881)</w:t>
            </w:r>
          </w:p>
        </w:tc>
        <w:tc>
          <w:tcPr>
            <w:tcW w:w="126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8"/>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r>
    </w:tbl>
    <w:p>
      <w:pPr>
        <w:spacing w:after="0" w:line="262"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fair value of the common stock warrants liability was determined using the Black-Scholes option pricing model. A significant observable input into the model included the market price of the Company's common stock at the measurement date. Gains or losses related to fair value adjustments to the common stock warrants liability are included in other income (expense),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7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Company did not have any nonfinancial assets or liabilities measured at fair value on a nonrecurring basis as of May 1, 2011 and October 31, 2010.</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79" w:lineRule="exact"/>
        <w:rPr>
          <w:sz w:val="20"/>
          <w:szCs w:val="20"/>
          <w:color w:val="auto"/>
        </w:rPr>
      </w:pPr>
    </w:p>
    <w:p>
      <w:pPr>
        <w:ind w:right="160" w:firstLine="270"/>
        <w:spacing w:after="0" w:line="298" w:lineRule="auto"/>
        <w:rPr>
          <w:sz w:val="20"/>
          <w:szCs w:val="20"/>
          <w:color w:val="auto"/>
        </w:rPr>
      </w:pPr>
      <w:r>
        <w:rPr>
          <w:rFonts w:ascii="Arial" w:cs="Arial" w:eastAsia="Arial" w:hAnsi="Arial"/>
          <w:sz w:val="16"/>
          <w:szCs w:val="16"/>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 The estimated fair values of the Company's 3.25% and 5.5% convertible senior notes were $131.0 million and $51.6 million, respectively, as of May 1, 2011, and were $0 and $83.2 million, respectively, as of October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SHARE REPURCHASE</w:t>
      </w:r>
    </w:p>
    <w:p>
      <w:pPr>
        <w:spacing w:after="0" w:line="285"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During the three month period ended May 1, 2011, the board of directors of Photronics Semiconductor Mask Corporation (PSMC), a subsidiary of the Company based in Taiwan, authorized PSMC to repurchase for retirement up to 5% of its outstanding common stock on the open market. The repurchase program, which expired in April 2011, resulted in approximately 7.7 million shares (or approximately 2.7 % of its outstanding shares) being repurchased at a total cost of $3.3 million. PSMC’s repurchase of these shares increased the Company’s ownership of PSMC from 57.53% at October 31, 2010, to 59.14% at May 1, 2011. The tables below present the effect of the change in Photronics, Inc.'s ownership interest in PSMC on the Company's equity for the three and six month periods ended May 1, 2011 and May 2, 2010.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6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May 1,</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May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May 1,</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4"/>
              </w:rPr>
              <w:t>May 2,</w:t>
            </w:r>
          </w:p>
        </w:tc>
        <w:tc>
          <w:tcPr>
            <w:tcW w:w="20" w:type="dxa"/>
            <w:vAlign w:val="bottom"/>
          </w:tcPr>
          <w:p>
            <w:pPr>
              <w:spacing w:after="0"/>
              <w:rPr>
                <w:sz w:val="19"/>
                <w:szCs w:val="19"/>
                <w:color w:val="auto"/>
              </w:rPr>
            </w:pPr>
          </w:p>
        </w:tc>
      </w:tr>
      <w:tr>
        <w:trPr>
          <w:trHeight w:val="251"/>
        </w:trPr>
        <w:tc>
          <w:tcPr>
            <w:tcW w:w="686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6860" w:type="dxa"/>
            <w:vAlign w:val="bottom"/>
            <w:shd w:val="clear" w:color="auto" w:fill="C0C0C0"/>
          </w:tcPr>
          <w:p>
            <w:pPr>
              <w:spacing w:after="0"/>
              <w:rPr>
                <w:sz w:val="20"/>
                <w:szCs w:val="20"/>
                <w:color w:val="auto"/>
              </w:rPr>
            </w:pPr>
            <w:r>
              <w:rPr>
                <w:rFonts w:ascii="Arial" w:cs="Arial" w:eastAsia="Arial" w:hAnsi="Arial"/>
                <w:sz w:val="18"/>
                <w:szCs w:val="18"/>
                <w:color w:val="auto"/>
              </w:rPr>
              <w:t>Net (loss) income attributable to Photronics, Inc.</w:t>
            </w:r>
          </w:p>
        </w:tc>
        <w:tc>
          <w:tcPr>
            <w:tcW w:w="440" w:type="dxa"/>
            <w:vAlign w:val="bottom"/>
            <w:gridSpan w:val="2"/>
            <w:shd w:val="clear" w:color="auto" w:fill="C0C0C0"/>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(16,438)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7,873</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(4,327)</w:t>
            </w: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8,086</w:t>
            </w:r>
          </w:p>
        </w:tc>
        <w:tc>
          <w:tcPr>
            <w:tcW w:w="20" w:type="dxa"/>
            <w:vAlign w:val="bottom"/>
          </w:tcPr>
          <w:p>
            <w:pPr>
              <w:spacing w:after="0"/>
              <w:rPr>
                <w:sz w:val="21"/>
                <w:szCs w:val="21"/>
                <w:color w:val="auto"/>
              </w:rPr>
            </w:pPr>
          </w:p>
        </w:tc>
      </w:tr>
      <w:tr>
        <w:trPr>
          <w:trHeight w:val="228"/>
        </w:trPr>
        <w:tc>
          <w:tcPr>
            <w:tcW w:w="6860" w:type="dxa"/>
            <w:vAlign w:val="bottom"/>
          </w:tcPr>
          <w:p>
            <w:pPr>
              <w:spacing w:after="0"/>
              <w:rPr>
                <w:sz w:val="20"/>
                <w:szCs w:val="20"/>
                <w:color w:val="auto"/>
              </w:rPr>
            </w:pPr>
            <w:r>
              <w:rPr>
                <w:rFonts w:ascii="Arial" w:cs="Arial" w:eastAsia="Arial" w:hAnsi="Arial"/>
                <w:sz w:val="18"/>
                <w:szCs w:val="18"/>
                <w:color w:val="auto"/>
              </w:rPr>
              <w:t>Decrease in Photronics, Inc.'s additional</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860" w:type="dxa"/>
            <w:vAlign w:val="bottom"/>
          </w:tcPr>
          <w:p>
            <w:pPr>
              <w:ind w:left="320"/>
              <w:spacing w:after="0"/>
              <w:rPr>
                <w:sz w:val="20"/>
                <w:szCs w:val="20"/>
                <w:color w:val="auto"/>
              </w:rPr>
            </w:pPr>
            <w:r>
              <w:rPr>
                <w:rFonts w:ascii="Arial" w:cs="Arial" w:eastAsia="Arial" w:hAnsi="Arial"/>
                <w:sz w:val="18"/>
                <w:szCs w:val="18"/>
                <w:color w:val="auto"/>
              </w:rPr>
              <w:t>paid-in capital for PSMC's repurchase of</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6860" w:type="dxa"/>
            <w:vAlign w:val="bottom"/>
          </w:tcPr>
          <w:p>
            <w:pPr>
              <w:ind w:left="320"/>
              <w:spacing w:after="0"/>
              <w:rPr>
                <w:sz w:val="20"/>
                <w:szCs w:val="20"/>
                <w:color w:val="auto"/>
              </w:rPr>
            </w:pPr>
            <w:r>
              <w:rPr>
                <w:rFonts w:ascii="Arial" w:cs="Arial" w:eastAsia="Arial" w:hAnsi="Arial"/>
                <w:sz w:val="18"/>
                <w:szCs w:val="18"/>
                <w:color w:val="auto"/>
              </w:rPr>
              <w:t>7.7 million shares of its common stock</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8"/>
        </w:trPr>
        <w:tc>
          <w:tcPr>
            <w:tcW w:w="68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Change from net income attributable</w:t>
            </w:r>
          </w:p>
        </w:tc>
        <w:tc>
          <w:tcPr>
            <w:tcW w:w="280" w:type="dxa"/>
            <w:vAlign w:val="bottom"/>
            <w:tcBorders>
              <w:top w:val="single" w:sz="8" w:color="C0C0C0"/>
            </w:tcBorders>
            <w:shd w:val="clear" w:color="auto" w:fill="C0C0C0"/>
          </w:tcPr>
          <w:p>
            <w:pPr>
              <w:spacing w:after="0"/>
              <w:rPr>
                <w:sz w:val="19"/>
                <w:szCs w:val="19"/>
                <w:color w:val="auto"/>
              </w:rPr>
            </w:pPr>
          </w:p>
        </w:tc>
        <w:tc>
          <w:tcPr>
            <w:tcW w:w="160" w:type="dxa"/>
            <w:vAlign w:val="bottom"/>
            <w:tcBorders>
              <w:top w:val="single" w:sz="8" w:color="auto"/>
            </w:tcBorders>
            <w:shd w:val="clear" w:color="auto" w:fill="C0C0C0"/>
          </w:tcPr>
          <w:p>
            <w:pPr>
              <w:spacing w:after="0"/>
              <w:rPr>
                <w:sz w:val="19"/>
                <w:szCs w:val="19"/>
                <w:color w:val="auto"/>
              </w:rPr>
            </w:pPr>
          </w:p>
        </w:tc>
        <w:tc>
          <w:tcPr>
            <w:tcW w:w="86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68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auto"/>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66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8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to Photronics, Inc. and transfer to</w:t>
            </w:r>
          </w:p>
        </w:tc>
        <w:tc>
          <w:tcPr>
            <w:tcW w:w="28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79"/>
        </w:trPr>
        <w:tc>
          <w:tcPr>
            <w:tcW w:w="686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auto"/>
            </w:tcBorders>
            <w:shd w:val="clear" w:color="auto" w:fill="C0C0C0"/>
          </w:tcPr>
          <w:p>
            <w:pPr>
              <w:jc w:val="right"/>
              <w:ind w:right="3"/>
              <w:spacing w:after="0"/>
              <w:rPr>
                <w:sz w:val="20"/>
                <w:szCs w:val="20"/>
                <w:color w:val="auto"/>
              </w:rPr>
            </w:pPr>
            <w:r>
              <w:rPr>
                <w:rFonts w:ascii="Arial" w:cs="Arial" w:eastAsia="Arial" w:hAnsi="Arial"/>
                <w:sz w:val="15"/>
                <w:szCs w:val="15"/>
                <w:color w:val="auto"/>
                <w:highlight w:val="lightGray"/>
                <w:w w:val="71"/>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highlight w:val="lightGray"/>
              </w:rPr>
              <w:t>(16,766)</w:t>
            </w:r>
          </w:p>
        </w:tc>
        <w:tc>
          <w:tcPr>
            <w:tcW w:w="26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highlight w:val="lightGray"/>
                <w:w w:val="71"/>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highlight w:val="lightGray"/>
              </w:rPr>
              <w:t>7,873</w:t>
            </w:r>
          </w:p>
        </w:tc>
        <w:tc>
          <w:tcPr>
            <w:tcW w:w="1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highlight w:val="lightGray"/>
                <w:w w:val="71"/>
              </w:rPr>
              <w:t>$</w:t>
            </w: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highlight w:val="lightGray"/>
              </w:rPr>
              <w:t>(4,655)</w:t>
            </w:r>
          </w:p>
        </w:tc>
        <w:tc>
          <w:tcPr>
            <w:tcW w:w="28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highlight w:val="lightGray"/>
                <w:w w:val="71"/>
              </w:rPr>
              <w:t>$</w:t>
            </w: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highlight w:val="lightGray"/>
              </w:rPr>
              <w:t>8,086</w:t>
            </w:r>
          </w:p>
        </w:tc>
        <w:tc>
          <w:tcPr>
            <w:tcW w:w="2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May 1, 2011, the Company had commitments outstanding for capital expenditures of approximately $6 million.</w:t>
      </w:r>
    </w:p>
    <w:p>
      <w:pPr>
        <w:spacing w:after="0" w:line="279"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its business, financial condition or results of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15 - RECENT ACCOUNTING GUIDANCE</w:t>
      </w:r>
    </w:p>
    <w:p>
      <w:pPr>
        <w:spacing w:after="0" w:line="285" w:lineRule="exact"/>
        <w:rPr>
          <w:sz w:val="20"/>
          <w:szCs w:val="20"/>
          <w:color w:val="auto"/>
        </w:rPr>
      </w:pPr>
    </w:p>
    <w:p>
      <w:pPr>
        <w:ind w:right="160" w:firstLine="270"/>
        <w:spacing w:after="0" w:line="253" w:lineRule="auto"/>
        <w:rPr>
          <w:sz w:val="20"/>
          <w:szCs w:val="20"/>
          <w:color w:val="auto"/>
        </w:rPr>
      </w:pPr>
      <w:r>
        <w:rPr>
          <w:rFonts w:ascii="Arial" w:cs="Arial" w:eastAsia="Arial" w:hAnsi="Arial"/>
          <w:sz w:val="18"/>
          <w:szCs w:val="18"/>
          <w:color w:val="auto"/>
        </w:rPr>
        <w:t>In May 2011 the FASB issued Accounting Standards Update (ASU) No. 2011-04, "Amendments to Achieve Common Fair Value Measurement and Disclosure Requirements in U.S. GAAP and IFRSs." which amended its guidance on fair value measurements with the purpose of achieving commonality of its fair value measurement and disclosure requirements with those of International Financial Reporting Standards (IFRSs). ASU No. 2011-04 clarifies the FASBs intentions regarding the application of existing fair value measurement and disclosure requirements, changes certain principles for measuring fair value and changes the disclosure requirements for fair value measurements. ASU No. 2011-04 is to be applied prospectively and is effective during interim and annual periods beginning after December 15, 2011. The Company is currently evaluating the effect, if any, ASU No. 2011-04 will have on its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2010 year), that may cause actual results to materially differ from these expectations.</w:t>
      </w:r>
    </w:p>
    <w:p>
      <w:pPr>
        <w:spacing w:after="0" w:line="221" w:lineRule="exact"/>
        <w:rPr>
          <w:sz w:val="20"/>
          <w:szCs w:val="20"/>
          <w:color w:val="auto"/>
        </w:rPr>
      </w:pPr>
    </w:p>
    <w:p>
      <w:pPr>
        <w:ind w:right="100" w:firstLine="270"/>
        <w:spacing w:after="0" w:line="286"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35"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successful in these environments is dependent upon achieving its goals of being a service and technology leader, an efficient solutions supplier, and a company able to continually reinvest in its global infrastructure.</w:t>
      </w:r>
    </w:p>
    <w:p>
      <w:pPr>
        <w:spacing w:after="0" w:line="226" w:lineRule="exact"/>
        <w:rPr>
          <w:sz w:val="20"/>
          <w:szCs w:val="20"/>
          <w:color w:val="auto"/>
        </w:rPr>
      </w:pPr>
    </w:p>
    <w:p>
      <w:pPr>
        <w:ind w:right="360" w:firstLine="270"/>
        <w:spacing w:after="0" w:line="370" w:lineRule="auto"/>
        <w:rPr>
          <w:sz w:val="20"/>
          <w:szCs w:val="20"/>
          <w:color w:val="auto"/>
        </w:rPr>
      </w:pPr>
      <w:r>
        <w:rPr>
          <w:rFonts w:ascii="Arial" w:cs="Arial" w:eastAsia="Arial" w:hAnsi="Arial"/>
          <w:sz w:val="15"/>
          <w:szCs w:val="15"/>
          <w:color w:val="auto"/>
        </w:rPr>
        <w:t>Although the Company issued $115 million in convertible senior notes on March 28, 2011, the effects of the weakened global economy and the tightened credit market may make it increasingly difficult for the Company to obtain additional external sources, if necessary, of financing to fund its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ind w:right="20" w:firstLine="270"/>
        <w:spacing w:after="0" w:line="291" w:lineRule="auto"/>
        <w:rPr>
          <w:sz w:val="20"/>
          <w:szCs w:val="20"/>
          <w:color w:val="auto"/>
        </w:rPr>
      </w:pPr>
      <w:r>
        <w:rPr>
          <w:rFonts w:ascii="Arial" w:cs="Arial" w:eastAsia="Arial" w:hAnsi="Arial"/>
          <w:sz w:val="16"/>
          <w:szCs w:val="16"/>
          <w:color w:val="auto"/>
        </w:rPr>
        <w:t>The Company's ability to comply with the financial and other covenants in its debt agreements may be affected by economic or business conditions, or other events. Existing covenant restrictions limit the Company's ability to obtain additional debt financing and, should the Company be unable to meet one or more of these covenants, its lenders may require the Company to repay its outstanding balances prior to the expiration date of the agreements. The Company cannot assure that additional sources of financing would be available to the Company to pay off its long-term borrowings to avoid default. Should the Company default on any of its long-term borrowings, a cross default would occur on certain of its other long-term borrowings, unless amended or waived. As of May 1, 2011, the Company was in compliance with its debt covenants.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May 1, 2011 and May 2, 2010</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80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4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May 1,</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May 2,</w:t>
            </w:r>
          </w:p>
        </w:tc>
        <w:tc>
          <w:tcPr>
            <w:tcW w:w="260" w:type="dxa"/>
            <w:vAlign w:val="bottom"/>
          </w:tcPr>
          <w:p>
            <w:pPr>
              <w:spacing w:after="0"/>
              <w:rPr>
                <w:sz w:val="19"/>
                <w:szCs w:val="19"/>
                <w:color w:val="auto"/>
              </w:rPr>
            </w:pPr>
          </w:p>
        </w:tc>
        <w:tc>
          <w:tcPr>
            <w:tcW w:w="11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May 1,</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May 2,</w:t>
            </w:r>
          </w:p>
        </w:tc>
      </w:tr>
      <w:tr>
        <w:trPr>
          <w:trHeight w:val="251"/>
        </w:trPr>
        <w:tc>
          <w:tcPr>
            <w:tcW w:w="492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2010</w:t>
            </w: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49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0C0C0"/>
            </w:tcBorders>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(72.6)</w:t>
            </w:r>
          </w:p>
        </w:tc>
        <w:tc>
          <w:tcPr>
            <w:tcW w:w="260" w:type="dxa"/>
            <w:vAlign w:val="bottom"/>
            <w:tcBorders>
              <w:bottom w:val="single" w:sz="8" w:color="C0C0C0"/>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(79.0)</w:t>
            </w:r>
          </w:p>
        </w:tc>
        <w:tc>
          <w:tcPr>
            <w:tcW w:w="260" w:type="dxa"/>
            <w:vAlign w:val="bottom"/>
            <w:tcBorders>
              <w:bottom w:val="single" w:sz="8" w:color="C0C0C0"/>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(73.6)</w:t>
            </w:r>
          </w:p>
        </w:tc>
        <w:tc>
          <w:tcPr>
            <w:tcW w:w="280" w:type="dxa"/>
            <w:vAlign w:val="bottom"/>
            <w:tcBorders>
              <w:bottom w:val="single" w:sz="8" w:color="C0C0C0"/>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(80.2)</w:t>
            </w: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118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19.8</w:t>
            </w: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51"/>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w:t>
            </w:r>
          </w:p>
        </w:tc>
      </w:tr>
      <w:tr>
        <w:trPr>
          <w:trHeight w:val="228"/>
        </w:trPr>
        <w:tc>
          <w:tcPr>
            <w:tcW w:w="4920" w:type="dxa"/>
            <w:vAlign w:val="bottom"/>
          </w:tcPr>
          <w:p>
            <w:pPr>
              <w:spacing w:after="0"/>
              <w:rPr>
                <w:sz w:val="20"/>
                <w:szCs w:val="20"/>
                <w:color w:val="auto"/>
              </w:rPr>
            </w:pPr>
            <w:r>
              <w:rPr>
                <w:rFonts w:ascii="Arial" w:cs="Arial" w:eastAsia="Arial" w:hAnsi="Arial"/>
                <w:sz w:val="18"/>
                <w:szCs w:val="18"/>
                <w:color w:val="auto"/>
              </w:rPr>
              <w:t>Consolidation, restructuring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2"/>
        </w:trPr>
        <w:tc>
          <w:tcPr>
            <w:tcW w:w="49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related credits</w:t>
            </w:r>
          </w:p>
        </w:tc>
        <w:tc>
          <w:tcPr>
            <w:tcW w:w="26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1"/>
                <w:szCs w:val="21"/>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w:t>
            </w:r>
          </w:p>
        </w:tc>
      </w:tr>
      <w:tr>
        <w:trPr>
          <w:trHeight w:val="243"/>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8.1</w:t>
            </w:r>
          </w:p>
        </w:tc>
      </w:tr>
      <w:tr>
        <w:trPr>
          <w:trHeight w:val="235"/>
        </w:trPr>
        <w:tc>
          <w:tcPr>
            <w:tcW w:w="4920" w:type="dxa"/>
            <w:vAlign w:val="bottom"/>
          </w:tcPr>
          <w:p>
            <w:pPr>
              <w:spacing w:after="0"/>
              <w:rPr>
                <w:sz w:val="20"/>
                <w:szCs w:val="20"/>
                <w:color w:val="auto"/>
              </w:rPr>
            </w:pPr>
            <w:r>
              <w:rPr>
                <w:rFonts w:ascii="Arial" w:cs="Arial" w:eastAsia="Arial" w:hAnsi="Arial"/>
                <w:sz w:val="18"/>
                <w:szCs w:val="18"/>
                <w:color w:val="auto"/>
              </w:rPr>
              <w:t>Debt extinguishment loss</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1"/>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(2.3)</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5.8</w:t>
            </w:r>
          </w:p>
        </w:tc>
      </w:tr>
      <w:tr>
        <w:trPr>
          <w:trHeight w:val="251"/>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0C0C0"/>
          </w:tcPr>
          <w:p>
            <w:pPr>
              <w:spacing w:after="0"/>
              <w:rPr>
                <w:sz w:val="21"/>
                <w:szCs w:val="21"/>
                <w:color w:val="auto"/>
              </w:rPr>
            </w:pPr>
          </w:p>
        </w:tc>
        <w:tc>
          <w:tcPr>
            <w:tcW w:w="9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(1.4)</w:t>
            </w: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9"/>
                <w:szCs w:val="19"/>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4.4</w:t>
            </w:r>
          </w:p>
        </w:tc>
      </w:tr>
      <w:tr>
        <w:trPr>
          <w:trHeight w:val="235"/>
        </w:trPr>
        <w:tc>
          <w:tcPr>
            <w:tcW w:w="4920" w:type="dxa"/>
            <w:vAlign w:val="bottom"/>
            <w:shd w:val="clear" w:color="auto" w:fill="C0C0C0"/>
          </w:tcPr>
          <w:p>
            <w:pPr>
              <w:spacing w:after="0"/>
              <w:rPr>
                <w:sz w:val="20"/>
                <w:szCs w:val="20"/>
                <w:color w:val="auto"/>
              </w:rPr>
            </w:pPr>
            <w:r>
              <w:rPr>
                <w:rFonts w:ascii="Arial" w:cs="Arial" w:eastAsia="Arial" w:hAnsi="Arial"/>
                <w:sz w:val="18"/>
                <w:szCs w:val="18"/>
                <w:color w:val="auto"/>
              </w:rPr>
              <w:t>Net income attributable to</w:t>
            </w:r>
          </w:p>
        </w:tc>
        <w:tc>
          <w:tcPr>
            <w:tcW w:w="26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r>
      <w:tr>
        <w:trPr>
          <w:trHeight w:val="259"/>
        </w:trPr>
        <w:tc>
          <w:tcPr>
            <w:tcW w:w="49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0C0C0"/>
          </w:tcPr>
          <w:p>
            <w:pPr>
              <w:spacing w:after="0"/>
              <w:rPr>
                <w:sz w:val="22"/>
                <w:szCs w:val="22"/>
                <w:color w:val="auto"/>
              </w:rPr>
            </w:pPr>
          </w:p>
        </w:tc>
        <w:tc>
          <w:tcPr>
            <w:tcW w:w="7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(0.4)</w:t>
            </w:r>
          </w:p>
        </w:tc>
      </w:tr>
      <w:tr>
        <w:trPr>
          <w:trHeight w:val="221"/>
        </w:trPr>
        <w:tc>
          <w:tcPr>
            <w:tcW w:w="4920" w:type="dxa"/>
            <w:vAlign w:val="bottom"/>
          </w:tcPr>
          <w:p>
            <w:pPr>
              <w:spacing w:after="0"/>
              <w:rPr>
                <w:sz w:val="20"/>
                <w:szCs w:val="20"/>
                <w:color w:val="auto"/>
              </w:rPr>
            </w:pPr>
            <w:r>
              <w:rPr>
                <w:rFonts w:ascii="Arial" w:cs="Arial" w:eastAsia="Arial" w:hAnsi="Arial"/>
                <w:sz w:val="18"/>
                <w:szCs w:val="18"/>
                <w:color w:val="auto"/>
              </w:rPr>
              <w:t>Net income (loss) attributable to</w:t>
            </w: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r>
      <w:tr>
        <w:trPr>
          <w:trHeight w:val="279"/>
        </w:trPr>
        <w:tc>
          <w:tcPr>
            <w:tcW w:w="4920" w:type="dxa"/>
            <w:vAlign w:val="bottom"/>
          </w:tcPr>
          <w:p>
            <w:pPr>
              <w:ind w:left="320"/>
              <w:spacing w:after="0"/>
              <w:rPr>
                <w:sz w:val="20"/>
                <w:szCs w:val="20"/>
                <w:color w:val="auto"/>
              </w:rPr>
            </w:pPr>
            <w:r>
              <w:rPr>
                <w:rFonts w:ascii="Arial" w:cs="Arial" w:eastAsia="Arial" w:hAnsi="Arial"/>
                <w:sz w:val="18"/>
                <w:szCs w:val="18"/>
                <w:color w:val="auto"/>
              </w:rPr>
              <w:t>Photronics, Inc.</w:t>
            </w:r>
          </w:p>
        </w:tc>
        <w:tc>
          <w:tcPr>
            <w:tcW w:w="26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bl>
    <w:p>
      <w:pPr>
        <w:spacing w:after="0" w:line="262" w:lineRule="exact"/>
        <w:rPr>
          <w:sz w:val="20"/>
          <w:szCs w:val="20"/>
          <w:color w:val="auto"/>
        </w:rPr>
      </w:pPr>
    </w:p>
    <w:p>
      <w:pPr>
        <w:ind w:right="200" w:firstLine="270"/>
        <w:spacing w:after="0" w:line="268" w:lineRule="auto"/>
        <w:rPr>
          <w:sz w:val="20"/>
          <w:szCs w:val="20"/>
          <w:color w:val="auto"/>
        </w:rPr>
      </w:pPr>
      <w:r>
        <w:rPr>
          <w:rFonts w:ascii="Arial" w:cs="Arial" w:eastAsia="Arial" w:hAnsi="Arial"/>
          <w:sz w:val="18"/>
          <w:szCs w:val="18"/>
          <w:color w:val="auto"/>
        </w:rPr>
        <w:t>All of the following tabular comparisons, unless otherwise indicated, are for the three months ended May 1, 2011 (Q2-11) and May 2, 2010 (Q2-10) and for the six months ended May 1, 2011 (YTD-11) and May 2, 2010 (YTD-10) in millions of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3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3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2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160" w:type="dxa"/>
            <w:vAlign w:val="bottom"/>
            <w:gridSpan w:val="7"/>
          </w:tcPr>
          <w:p>
            <w:pPr>
              <w:jc w:val="right"/>
              <w:ind w:right="372"/>
              <w:spacing w:after="0"/>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Percent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w w:val="91"/>
              </w:rPr>
              <w:t>Q2-11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Q2-10</w:t>
            </w: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Change</w:t>
            </w:r>
          </w:p>
        </w:tc>
        <w:tc>
          <w:tcPr>
            <w:tcW w:w="280" w:type="dxa"/>
            <w:vAlign w:val="bottom"/>
          </w:tcPr>
          <w:p>
            <w:pPr>
              <w:spacing w:after="0"/>
              <w:rPr>
                <w:sz w:val="21"/>
                <w:szCs w:val="21"/>
                <w:color w:val="auto"/>
              </w:rPr>
            </w:pP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YTD-11</w:t>
            </w:r>
          </w:p>
        </w:tc>
        <w:tc>
          <w:tcPr>
            <w:tcW w:w="1000" w:type="dxa"/>
            <w:vAlign w:val="bottom"/>
            <w:gridSpan w:val="4"/>
          </w:tcPr>
          <w:p>
            <w:pPr>
              <w:ind w:left="140"/>
              <w:spacing w:after="0"/>
              <w:rPr>
                <w:sz w:val="20"/>
                <w:szCs w:val="20"/>
                <w:color w:val="auto"/>
              </w:rPr>
            </w:pPr>
            <w:r>
              <w:rPr>
                <w:rFonts w:ascii="Arial" w:cs="Arial" w:eastAsia="Arial" w:hAnsi="Arial"/>
                <w:sz w:val="18"/>
                <w:szCs w:val="18"/>
                <w:b w:val="1"/>
                <w:bCs w:val="1"/>
                <w:color w:val="auto"/>
              </w:rPr>
              <w:t>YTD-10</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4"/>
              </w:rPr>
              <w:t>Change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32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IC</w:t>
            </w:r>
          </w:p>
        </w:tc>
        <w:tc>
          <w:tcPr>
            <w:tcW w:w="3380" w:type="dxa"/>
            <w:vAlign w:val="bottom"/>
            <w:shd w:val="clear" w:color="auto" w:fill="C0C0C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20" w:type="dxa"/>
            <w:vAlign w:val="bottom"/>
            <w:vMerge w:val="continue"/>
            <w:shd w:val="clear" w:color="auto" w:fill="C0C0C0"/>
          </w:tcPr>
          <w:p>
            <w:pPr>
              <w:spacing w:after="0"/>
              <w:rPr>
                <w:sz w:val="21"/>
                <w:szCs w:val="21"/>
                <w:color w:val="auto"/>
              </w:rPr>
            </w:pPr>
          </w:p>
        </w:tc>
        <w:tc>
          <w:tcPr>
            <w:tcW w:w="402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$ 101.0</w:t>
            </w:r>
          </w:p>
        </w:tc>
        <w:tc>
          <w:tcPr>
            <w:tcW w:w="2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84.0</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3"/>
              </w:rPr>
              <w:t>189.8</w:t>
            </w:r>
          </w:p>
        </w:tc>
        <w:tc>
          <w:tcPr>
            <w:tcW w:w="28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w w:val="93"/>
              </w:rPr>
              <w:t>158.5</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FPD</w:t>
            </w:r>
          </w:p>
        </w:tc>
        <w:tc>
          <w:tcPr>
            <w:tcW w:w="33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580" w:type="dxa"/>
            <w:vAlign w:val="bottom"/>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20" w:type="dxa"/>
            <w:vAlign w:val="bottom"/>
            <w:shd w:val="clear" w:color="auto" w:fill="C0C0C0"/>
          </w:tcPr>
          <w:p>
            <w:pPr>
              <w:spacing w:after="0" w:line="20" w:lineRule="exact"/>
              <w:rPr>
                <w:sz w:val="1"/>
                <w:szCs w:val="1"/>
                <w:color w:val="auto"/>
              </w:rPr>
            </w:pPr>
          </w:p>
        </w:tc>
        <w:tc>
          <w:tcPr>
            <w:tcW w:w="3380" w:type="dxa"/>
            <w:vAlign w:val="bottom"/>
            <w:shd w:val="clear" w:color="auto" w:fill="C0C0C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58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320" w:type="dxa"/>
            <w:vAlign w:val="bottom"/>
            <w:shd w:val="clear" w:color="auto" w:fill="C0C0C0"/>
          </w:tcPr>
          <w:p>
            <w:pPr>
              <w:spacing w:after="0"/>
              <w:rPr>
                <w:sz w:val="20"/>
                <w:szCs w:val="20"/>
                <w:color w:val="auto"/>
              </w:rPr>
            </w:pPr>
            <w:r>
              <w:rPr>
                <w:rFonts w:ascii="Arial" w:cs="Arial" w:eastAsia="Arial" w:hAnsi="Arial"/>
                <w:sz w:val="18"/>
                <w:szCs w:val="18"/>
                <w:color w:val="auto"/>
              </w:rPr>
              <w:t>Total net sales</w:t>
            </w:r>
          </w:p>
        </w:tc>
        <w:tc>
          <w:tcPr>
            <w:tcW w:w="4020" w:type="dxa"/>
            <w:vAlign w:val="bottom"/>
            <w:gridSpan w:val="3"/>
            <w:shd w:val="clear" w:color="auto" w:fill="C0C0C0"/>
          </w:tcPr>
          <w:p>
            <w:pPr>
              <w:jc w:val="right"/>
              <w:ind w:right="140"/>
              <w:spacing w:after="0"/>
              <w:rPr>
                <w:sz w:val="20"/>
                <w:szCs w:val="20"/>
                <w:color w:val="auto"/>
              </w:rPr>
            </w:pPr>
            <w:r>
              <w:rPr>
                <w:rFonts w:ascii="Arial" w:cs="Arial" w:eastAsia="Arial" w:hAnsi="Arial"/>
                <w:sz w:val="18"/>
                <w:szCs w:val="18"/>
                <w:color w:val="auto"/>
              </w:rPr>
              <w:t>$ 133.1</w:t>
            </w:r>
          </w:p>
        </w:tc>
        <w:tc>
          <w:tcPr>
            <w:tcW w:w="24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84"/>
              </w:rPr>
              <w:t>105.1</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w w:val="93"/>
              </w:rPr>
              <w:t>253.9</w:t>
            </w:r>
          </w:p>
        </w:tc>
        <w:tc>
          <w:tcPr>
            <w:tcW w:w="280" w:type="dxa"/>
            <w:vAlign w:val="bottom"/>
            <w:gridSpan w:val="2"/>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w w:val="93"/>
              </w:rPr>
              <w:t>203.3</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3320" w:type="dxa"/>
            <w:vAlign w:val="bottom"/>
            <w:tcBorders>
              <w:top w:val="single" w:sz="8" w:color="C0C0C0"/>
            </w:tcBorders>
          </w:tcPr>
          <w:p>
            <w:pPr>
              <w:spacing w:after="0"/>
              <w:rPr>
                <w:sz w:val="24"/>
                <w:szCs w:val="24"/>
                <w:color w:val="auto"/>
              </w:rPr>
            </w:pPr>
          </w:p>
        </w:tc>
        <w:tc>
          <w:tcPr>
            <w:tcW w:w="3380" w:type="dxa"/>
            <w:vAlign w:val="bottom"/>
            <w:tcBorders>
              <w:top w:val="single" w:sz="8" w:color="C0C0C0"/>
            </w:tcBorders>
          </w:tcPr>
          <w:p>
            <w:pPr>
              <w:jc w:val="right"/>
              <w:ind w:right="812"/>
              <w:spacing w:after="0"/>
              <w:rPr>
                <w:sz w:val="20"/>
                <w:szCs w:val="20"/>
                <w:color w:val="auto"/>
              </w:rPr>
            </w:pPr>
            <w:r>
              <w:rPr>
                <w:rFonts w:ascii="Arial" w:cs="Arial" w:eastAsia="Arial" w:hAnsi="Arial"/>
                <w:sz w:val="18"/>
                <w:szCs w:val="18"/>
                <w:color w:val="auto"/>
              </w:rPr>
              <w:t>23</w:t>
            </w: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580" w:type="dxa"/>
            <w:vAlign w:val="bottom"/>
            <w:tcBorders>
              <w:top w:val="single" w:sz="8" w:color="C0C0C0"/>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C0C0C0"/>
            </w:tcBorders>
          </w:tcPr>
          <w:p>
            <w:pPr>
              <w:spacing w:after="0"/>
              <w:rPr>
                <w:sz w:val="24"/>
                <w:szCs w:val="24"/>
                <w:color w:val="auto"/>
              </w:rPr>
            </w:pPr>
          </w:p>
        </w:tc>
        <w:tc>
          <w:tcPr>
            <w:tcW w:w="580" w:type="dxa"/>
            <w:vAlign w:val="bottom"/>
            <w:tcBorders>
              <w:top w:val="single" w:sz="8" w:color="C0C0C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32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44" w:right="219" w:bottom="1440" w:gutter="0" w:footer="0" w:header="0"/>
        </w:sectPr>
      </w:pPr>
    </w:p>
    <w:bookmarkStart w:id="23" w:name="page24"/>
    <w:bookmarkEnd w:id="23"/>
    <w:p>
      <w:pPr>
        <w:ind w:right="20" w:firstLine="270"/>
        <w:spacing w:after="0" w:line="290" w:lineRule="auto"/>
        <w:rPr>
          <w:sz w:val="20"/>
          <w:szCs w:val="20"/>
          <w:color w:val="auto"/>
        </w:rPr>
      </w:pPr>
      <w:r>
        <w:rPr>
          <w:rFonts w:ascii="Arial" w:cs="Arial" w:eastAsia="Arial" w:hAnsi="Arial"/>
          <w:sz w:val="16"/>
          <w:szCs w:val="16"/>
          <w:color w:val="auto"/>
        </w:rPr>
        <w:t>Net sales for Q2-11 increased 26.7% to $133.1 million as compared to $105.1 million for Q2-10. The increase was due to increases in both IC and FPD photomask sales, primarily as a result of increased high-end unit demand, which typically have higher average selling prices (ASPs). To a lesser extent, mainstream photomasks also had increased sales, primarily for FPDs. Revenues attributable to high-end products increased by $17.4 million to $43.5 million in Q2-11 as compared to $26.1 million in Q2-10. High-end photomask applications include mask sets for 65 nanometer and below for IC products and G7 and above technologies for FPD products. By geographic area, net sales in Q2-11 as compared to Q2-10 increased by $17.7 million or 28.6% in Asia, increased by $8.0 million or 24.5% in North America, and increased by $2.4 million or 22.3% in Europe. As a percent of total sales, in Q2-11 net sales were 60% in Asia, 30% in North America, and 10% in Europe; and net sales in Q2-10 in Asia were 59%, North America 31%, and Europe 10%.</w:t>
      </w:r>
    </w:p>
    <w:p>
      <w:pPr>
        <w:spacing w:after="0" w:line="226"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Net sales for YTD-11 increased 24.9% to $253.9 million as compared to $203.3 million for YTD-10. The increase was due to increased sales of both IC and FPD photomasks. IC photomask sales increased $31.3 million primarily as a result of increased units for both high-end and mainstream products. FPD photomask sales increased $19.3 million, primarily as a result of increased units and ASPs for both high-end and mainstream products. The Company's quarterly revenues can be affected by the seasonal purchasing of its customers. Although demand for the Company's products is typically negatively impacted during the first six months of its fiscal year by the North American, European and Asian holiday periods, such seasonality was not experienced during YTD-11.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82"/>
        </w:trPr>
        <w:tc>
          <w:tcPr>
            <w:tcW w:w="5280" w:type="dxa"/>
            <w:vAlign w:val="bottom"/>
          </w:tcPr>
          <w:p>
            <w:pPr>
              <w:spacing w:after="0"/>
              <w:rPr>
                <w:sz w:val="24"/>
                <w:szCs w:val="24"/>
                <w:color w:val="auto"/>
              </w:rPr>
            </w:pPr>
          </w:p>
        </w:tc>
        <w:tc>
          <w:tcPr>
            <w:tcW w:w="3200" w:type="dxa"/>
            <w:vAlign w:val="bottom"/>
            <w:gridSpan w:val="6"/>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2180" w:type="dxa"/>
            <w:vAlign w:val="bottom"/>
            <w:gridSpan w:val="4"/>
          </w:tcPr>
          <w:p>
            <w:pPr>
              <w:ind w:left="780"/>
              <w:spacing w:after="0"/>
              <w:rPr>
                <w:sz w:val="20"/>
                <w:szCs w:val="20"/>
                <w:color w:val="auto"/>
              </w:rPr>
            </w:pPr>
            <w:r>
              <w:rPr>
                <w:rFonts w:ascii="Arial" w:cs="Arial" w:eastAsia="Arial" w:hAnsi="Arial"/>
                <w:sz w:val="18"/>
                <w:szCs w:val="18"/>
                <w:b w:val="1"/>
                <w:bCs w:val="1"/>
                <w:color w:val="auto"/>
                <w:w w:val="88"/>
              </w:rPr>
              <w:t>Six Months Ended</w:t>
            </w:r>
          </w:p>
        </w:tc>
        <w:tc>
          <w:tcPr>
            <w:tcW w:w="760" w:type="dxa"/>
            <w:vAlign w:val="bottom"/>
          </w:tcPr>
          <w:p>
            <w:pPr>
              <w:spacing w:after="0"/>
              <w:rPr>
                <w:sz w:val="24"/>
                <w:szCs w:val="24"/>
                <w:color w:val="auto"/>
              </w:rPr>
            </w:pPr>
          </w:p>
        </w:tc>
      </w:tr>
      <w:tr>
        <w:trPr>
          <w:trHeight w:val="228"/>
        </w:trPr>
        <w:tc>
          <w:tcPr>
            <w:tcW w:w="5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Percent</w:t>
            </w: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9"/>
              </w:rPr>
              <w:t>Percent</w:t>
            </w:r>
          </w:p>
        </w:tc>
      </w:tr>
      <w:tr>
        <w:trPr>
          <w:trHeight w:val="251"/>
        </w:trPr>
        <w:tc>
          <w:tcPr>
            <w:tcW w:w="528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Q2-11</w:t>
            </w: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Q2-10</w:t>
            </w:r>
          </w:p>
        </w:tc>
        <w:tc>
          <w:tcPr>
            <w:tcW w:w="26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Change</w:t>
            </w: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YTD-11</w:t>
            </w:r>
          </w:p>
        </w:tc>
        <w:tc>
          <w:tcPr>
            <w:tcW w:w="260" w:type="dxa"/>
            <w:vAlign w:val="bottom"/>
            <w:tcBorders>
              <w:bottom w:val="single" w:sz="8" w:color="C0C0C0"/>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YTD-10</w:t>
            </w:r>
          </w:p>
        </w:tc>
        <w:tc>
          <w:tcPr>
            <w:tcW w:w="280" w:type="dxa"/>
            <w:vAlign w:val="bottom"/>
            <w:tcBorders>
              <w:bottom w:val="single" w:sz="8" w:color="C0C0C0"/>
            </w:tcBorders>
          </w:tcPr>
          <w:p>
            <w:pPr>
              <w:spacing w:after="0"/>
              <w:rPr>
                <w:sz w:val="21"/>
                <w:szCs w:val="21"/>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Change</w:t>
            </w:r>
          </w:p>
        </w:tc>
      </w:tr>
      <w:tr>
        <w:trPr>
          <w:trHeight w:val="243"/>
        </w:trPr>
        <w:tc>
          <w:tcPr>
            <w:tcW w:w="528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36.5</w:t>
            </w:r>
          </w:p>
        </w:tc>
        <w:tc>
          <w:tcPr>
            <w:tcW w:w="10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22.1</w:t>
            </w:r>
          </w:p>
        </w:tc>
        <w:tc>
          <w:tcPr>
            <w:tcW w:w="26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67.1</w:t>
            </w:r>
          </w:p>
        </w:tc>
        <w:tc>
          <w:tcPr>
            <w:tcW w:w="26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40.3</w:t>
            </w:r>
          </w:p>
        </w:tc>
        <w:tc>
          <w:tcPr>
            <w:tcW w:w="280" w:type="dxa"/>
            <w:vAlign w:val="bottom"/>
            <w:shd w:val="clear" w:color="auto" w:fill="C0C0C0"/>
          </w:tcPr>
          <w:p>
            <w:pPr>
              <w:spacing w:after="0"/>
              <w:rPr>
                <w:sz w:val="21"/>
                <w:szCs w:val="21"/>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66.6%</w:t>
            </w:r>
          </w:p>
        </w:tc>
      </w:tr>
      <w:tr>
        <w:trPr>
          <w:trHeight w:val="228"/>
        </w:trPr>
        <w:tc>
          <w:tcPr>
            <w:tcW w:w="52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20" w:type="dxa"/>
            <w:vAlign w:val="bottom"/>
          </w:tcPr>
          <w:p>
            <w:pPr>
              <w:jc w:val="right"/>
              <w:spacing w:after="0"/>
              <w:rPr>
                <w:sz w:val="20"/>
                <w:szCs w:val="20"/>
                <w:color w:val="auto"/>
              </w:rPr>
            </w:pPr>
            <w:r>
              <w:rPr>
                <w:rFonts w:ascii="Arial" w:cs="Arial" w:eastAsia="Arial" w:hAnsi="Arial"/>
                <w:sz w:val="18"/>
                <w:szCs w:val="18"/>
                <w:color w:val="auto"/>
              </w:rPr>
              <w:t>27.4%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77" w:lineRule="exact"/>
        <w:rPr>
          <w:sz w:val="20"/>
          <w:szCs w:val="20"/>
          <w:color w:val="auto"/>
        </w:rPr>
      </w:pPr>
    </w:p>
    <w:p>
      <w:pPr>
        <w:jc w:val="both"/>
        <w:ind w:right="20" w:firstLine="270"/>
        <w:spacing w:after="0" w:line="306" w:lineRule="auto"/>
        <w:rPr>
          <w:sz w:val="20"/>
          <w:szCs w:val="20"/>
          <w:color w:val="auto"/>
        </w:rPr>
      </w:pPr>
      <w:r>
        <w:rPr>
          <w:rFonts w:ascii="Arial" w:cs="Arial" w:eastAsia="Arial" w:hAnsi="Arial"/>
          <w:sz w:val="16"/>
          <w:szCs w:val="16"/>
          <w:color w:val="auto"/>
        </w:rPr>
        <w:t>Gross margin percentage increased to 27.4% in Q2-11 from 21.0% in Q2-10 and increased to 26.4% in YTD-11 from 19.8% in YTD-10. These increases were a result of increased sales in all geographic regions, including increased high-end sales. The Company operates in a high fixed cost environment and, to the extent that the Company's revenues and utilization increase or decrease, gross margin will generally be positively or negatively impacted.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2"/>
        </w:trPr>
        <w:tc>
          <w:tcPr>
            <w:tcW w:w="4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4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16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w w:val="90"/>
              </w:rPr>
              <w:t>Six Months Ended</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w w:val="90"/>
              </w:rPr>
              <w:t>Percent</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w w:val="90"/>
              </w:rPr>
              <w:t>Percent</w:t>
            </w:r>
          </w:p>
        </w:tc>
        <w:tc>
          <w:tcPr>
            <w:tcW w:w="20" w:type="dxa"/>
            <w:vAlign w:val="bottom"/>
          </w:tcPr>
          <w:p>
            <w:pPr>
              <w:spacing w:after="0"/>
              <w:rPr>
                <w:sz w:val="19"/>
                <w:szCs w:val="19"/>
                <w:color w:val="auto"/>
              </w:rPr>
            </w:pPr>
          </w:p>
        </w:tc>
      </w:tr>
      <w:tr>
        <w:trPr>
          <w:trHeight w:val="251"/>
        </w:trPr>
        <w:tc>
          <w:tcPr>
            <w:tcW w:w="4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b w:val="1"/>
                <w:bCs w:val="1"/>
                <w:color w:val="auto"/>
              </w:rPr>
              <w:t>Q2-11</w:t>
            </w:r>
          </w:p>
        </w:tc>
        <w:tc>
          <w:tcPr>
            <w:tcW w:w="280" w:type="dxa"/>
            <w:vAlign w:val="bottom"/>
          </w:tcPr>
          <w:p>
            <w:pPr>
              <w:spacing w:after="0"/>
              <w:rPr>
                <w:sz w:val="21"/>
                <w:szCs w:val="21"/>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Q2-10</w:t>
            </w:r>
          </w:p>
        </w:tc>
        <w:tc>
          <w:tcPr>
            <w:tcW w:w="680" w:type="dxa"/>
            <w:vAlign w:val="bottom"/>
          </w:tcPr>
          <w:p>
            <w:pPr>
              <w:ind w:left="40"/>
              <w:spacing w:after="0"/>
              <w:rPr>
                <w:sz w:val="20"/>
                <w:szCs w:val="20"/>
                <w:color w:val="auto"/>
              </w:rPr>
            </w:pPr>
            <w:r>
              <w:rPr>
                <w:rFonts w:ascii="Arial" w:cs="Arial" w:eastAsia="Arial" w:hAnsi="Arial"/>
                <w:sz w:val="18"/>
                <w:szCs w:val="18"/>
                <w:b w:val="1"/>
                <w:bCs w:val="1"/>
                <w:color w:val="auto"/>
                <w:w w:val="93"/>
              </w:rPr>
              <w:t>Change</w:t>
            </w:r>
          </w:p>
        </w:tc>
        <w:tc>
          <w:tcPr>
            <w:tcW w:w="2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YTD-11</w:t>
            </w:r>
          </w:p>
        </w:tc>
        <w:tc>
          <w:tcPr>
            <w:tcW w:w="26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YTD-10</w:t>
            </w: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w w:val="90"/>
              </w:rPr>
              <w:t>Change</w:t>
            </w:r>
          </w:p>
        </w:tc>
        <w:tc>
          <w:tcPr>
            <w:tcW w:w="20" w:type="dxa"/>
            <w:vAlign w:val="bottom"/>
          </w:tcPr>
          <w:p>
            <w:pPr>
              <w:spacing w:after="0"/>
              <w:rPr>
                <w:sz w:val="21"/>
                <w:szCs w:val="21"/>
                <w:color w:val="auto"/>
              </w:rPr>
            </w:pPr>
          </w:p>
        </w:tc>
      </w:tr>
      <w:tr>
        <w:trPr>
          <w:trHeight w:val="228"/>
        </w:trPr>
        <w:tc>
          <w:tcPr>
            <w:tcW w:w="44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Selling, general and</w:t>
            </w:r>
          </w:p>
        </w:tc>
        <w:tc>
          <w:tcPr>
            <w:tcW w:w="1080" w:type="dxa"/>
            <w:vAlign w:val="bottom"/>
            <w:tcBorders>
              <w:top w:val="single" w:sz="8" w:color="C0C0C0"/>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800" w:type="dxa"/>
            <w:vAlign w:val="bottom"/>
            <w:tcBorders>
              <w:top w:val="single" w:sz="8" w:color="auto"/>
            </w:tcBorders>
            <w:shd w:val="clear" w:color="auto" w:fill="C0C0C0"/>
          </w:tcPr>
          <w:p>
            <w:pPr>
              <w:spacing w:after="0"/>
              <w:rPr>
                <w:sz w:val="19"/>
                <w:szCs w:val="19"/>
                <w:color w:val="auto"/>
              </w:rPr>
            </w:pPr>
          </w:p>
        </w:tc>
        <w:tc>
          <w:tcPr>
            <w:tcW w:w="280" w:type="dxa"/>
            <w:vAlign w:val="bottom"/>
            <w:tcBorders>
              <w:top w:val="single" w:sz="8" w:color="C0C0C0"/>
            </w:tcBorders>
            <w:shd w:val="clear" w:color="auto" w:fill="C0C0C0"/>
          </w:tcPr>
          <w:p>
            <w:pPr>
              <w:spacing w:after="0"/>
              <w:rPr>
                <w:sz w:val="19"/>
                <w:szCs w:val="19"/>
                <w:color w:val="auto"/>
              </w:rPr>
            </w:pPr>
          </w:p>
        </w:tc>
        <w:tc>
          <w:tcPr>
            <w:tcW w:w="68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68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44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administrative expenses</w:t>
            </w:r>
          </w:p>
        </w:tc>
        <w:tc>
          <w:tcPr>
            <w:tcW w:w="108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   11.5</w:t>
            </w:r>
          </w:p>
        </w:tc>
        <w:tc>
          <w:tcPr>
            <w:tcW w:w="1080" w:type="dxa"/>
            <w:vAlign w:val="bottom"/>
            <w:gridSpan w:val="2"/>
            <w:shd w:val="clear" w:color="auto" w:fill="C0C0C0"/>
          </w:tcPr>
          <w:p>
            <w:pPr>
              <w:jc w:val="right"/>
              <w:ind w:right="52"/>
              <w:spacing w:after="0"/>
              <w:rPr>
                <w:sz w:val="20"/>
                <w:szCs w:val="20"/>
                <w:color w:val="auto"/>
              </w:rPr>
            </w:pPr>
            <w:r>
              <w:rPr>
                <w:rFonts w:ascii="Arial" w:cs="Arial" w:eastAsia="Arial" w:hAnsi="Arial"/>
                <w:sz w:val="18"/>
                <w:szCs w:val="18"/>
                <w:color w:val="auto"/>
              </w:rPr>
              <w:t>$   10.9</w:t>
            </w:r>
          </w:p>
        </w:tc>
        <w:tc>
          <w:tcPr>
            <w:tcW w:w="28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w:t>
            </w:r>
          </w:p>
        </w:tc>
        <w:tc>
          <w:tcPr>
            <w:tcW w:w="10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22.2</w:t>
            </w:r>
          </w:p>
        </w:tc>
        <w:tc>
          <w:tcPr>
            <w:tcW w:w="1080" w:type="dxa"/>
            <w:vAlign w:val="bottom"/>
            <w:gridSpan w:val="2"/>
            <w:shd w:val="clear" w:color="auto" w:fill="C0C0C0"/>
          </w:tcPr>
          <w:p>
            <w:pPr>
              <w:jc w:val="right"/>
              <w:ind w:right="72"/>
              <w:spacing w:after="0"/>
              <w:rPr>
                <w:sz w:val="20"/>
                <w:szCs w:val="20"/>
                <w:color w:val="auto"/>
              </w:rPr>
            </w:pPr>
            <w:r>
              <w:rPr>
                <w:rFonts w:ascii="Arial" w:cs="Arial" w:eastAsia="Arial" w:hAnsi="Arial"/>
                <w:sz w:val="18"/>
                <w:szCs w:val="18"/>
                <w:color w:val="auto"/>
              </w:rPr>
              <w:t>$   21.0</w:t>
            </w:r>
          </w:p>
        </w:tc>
        <w:tc>
          <w:tcPr>
            <w:tcW w:w="260" w:type="dxa"/>
            <w:vAlign w:val="bottom"/>
            <w:shd w:val="clear" w:color="auto" w:fill="C0C0C0"/>
          </w:tcPr>
          <w:p>
            <w:pPr>
              <w:spacing w:after="0"/>
              <w:rPr>
                <w:sz w:val="22"/>
                <w:szCs w:val="22"/>
                <w:color w:val="auto"/>
              </w:rPr>
            </w:pP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2"/>
                <w:szCs w:val="22"/>
                <w:color w:val="auto"/>
              </w:rPr>
            </w:pPr>
          </w:p>
        </w:tc>
      </w:tr>
      <w:tr>
        <w:trPr>
          <w:trHeight w:val="228"/>
        </w:trPr>
        <w:tc>
          <w:tcPr>
            <w:tcW w:w="44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3"/>
        </w:trPr>
        <w:tc>
          <w:tcPr>
            <w:tcW w:w="4400" w:type="dxa"/>
            <w:vAlign w:val="bottom"/>
          </w:tcPr>
          <w:p>
            <w:pPr>
              <w:spacing w:after="0"/>
              <w:rPr>
                <w:sz w:val="24"/>
                <w:szCs w:val="24"/>
                <w:color w:val="auto"/>
              </w:rPr>
            </w:pPr>
          </w:p>
        </w:tc>
        <w:tc>
          <w:tcPr>
            <w:tcW w:w="1880" w:type="dxa"/>
            <w:vAlign w:val="bottom"/>
            <w:gridSpan w:val="2"/>
          </w:tcPr>
          <w:p>
            <w:pPr>
              <w:jc w:val="right"/>
              <w:ind w:right="392"/>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44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44" w:right="219" w:bottom="1440" w:gutter="0" w:footer="0" w:header="0"/>
        </w:sectPr>
      </w:pPr>
    </w:p>
    <w:bookmarkStart w:id="24" w:name="page25"/>
    <w:bookmarkEnd w:id="24"/>
    <w:p>
      <w:pPr>
        <w:ind w:right="180" w:firstLine="270"/>
        <w:spacing w:after="0" w:line="259" w:lineRule="auto"/>
        <w:rPr>
          <w:sz w:val="20"/>
          <w:szCs w:val="20"/>
          <w:color w:val="auto"/>
        </w:rPr>
      </w:pPr>
      <w:r>
        <w:rPr>
          <w:rFonts w:ascii="Arial" w:cs="Arial" w:eastAsia="Arial" w:hAnsi="Arial"/>
          <w:sz w:val="18"/>
          <w:szCs w:val="18"/>
          <w:color w:val="auto"/>
        </w:rPr>
        <w:t>Selling, general and administrative expenses increased to $11.5 million in Q2-11, compared with $10.9 million in Q2-10, and to $22.2 million in YTD-11 as compared to $21.0 million in YTD-10. These increases were primarily due to increased employee compensation and related benefit expenses, and increased selling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82"/>
        </w:trPr>
        <w:tc>
          <w:tcPr>
            <w:tcW w:w="5800" w:type="dxa"/>
            <w:vAlign w:val="bottom"/>
          </w:tcPr>
          <w:p>
            <w:pPr>
              <w:spacing w:after="0"/>
              <w:rPr>
                <w:sz w:val="24"/>
                <w:szCs w:val="24"/>
                <w:color w:val="auto"/>
              </w:rPr>
            </w:pPr>
          </w:p>
        </w:tc>
        <w:tc>
          <w:tcPr>
            <w:tcW w:w="29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2040" w:type="dxa"/>
            <w:vAlign w:val="bottom"/>
            <w:gridSpan w:val="5"/>
          </w:tcPr>
          <w:p>
            <w:pPr>
              <w:jc w:val="center"/>
              <w:ind w:left="572"/>
              <w:spacing w:after="0"/>
              <w:rPr>
                <w:sz w:val="20"/>
                <w:szCs w:val="20"/>
                <w:color w:val="auto"/>
              </w:rPr>
            </w:pPr>
            <w:r>
              <w:rPr>
                <w:rFonts w:ascii="Arial" w:cs="Arial" w:eastAsia="Arial" w:hAnsi="Arial"/>
                <w:sz w:val="18"/>
                <w:szCs w:val="18"/>
                <w:b w:val="1"/>
                <w:bCs w:val="1"/>
                <w:color w:val="auto"/>
                <w:w w:val="88"/>
              </w:rPr>
              <w:t>Six Months Ended</w:t>
            </w:r>
          </w:p>
        </w:tc>
        <w:tc>
          <w:tcPr>
            <w:tcW w:w="640" w:type="dxa"/>
            <w:vAlign w:val="bottom"/>
          </w:tcPr>
          <w:p>
            <w:pPr>
              <w:spacing w:after="0"/>
              <w:rPr>
                <w:sz w:val="24"/>
                <w:szCs w:val="24"/>
                <w:color w:val="auto"/>
              </w:rPr>
            </w:pPr>
          </w:p>
        </w:tc>
      </w:tr>
      <w:tr>
        <w:trPr>
          <w:trHeight w:val="228"/>
        </w:trPr>
        <w:tc>
          <w:tcPr>
            <w:tcW w:w="58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90"/>
              </w:rPr>
              <w:t>Percent</w:t>
            </w:r>
          </w:p>
        </w:tc>
        <w:tc>
          <w:tcPr>
            <w:tcW w:w="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Percent</w:t>
            </w:r>
          </w:p>
        </w:tc>
      </w:tr>
      <w:tr>
        <w:trPr>
          <w:trHeight w:val="251"/>
        </w:trPr>
        <w:tc>
          <w:tcPr>
            <w:tcW w:w="580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Q2-11</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Q2-10</w:t>
            </w: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YTD-11</w:t>
            </w:r>
          </w:p>
        </w:tc>
        <w:tc>
          <w:tcPr>
            <w:tcW w:w="10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YTD-10</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w w:val="90"/>
              </w:rPr>
              <w:t>Change</w:t>
            </w:r>
          </w:p>
        </w:tc>
      </w:tr>
      <w:tr>
        <w:trPr>
          <w:trHeight w:val="243"/>
        </w:trPr>
        <w:tc>
          <w:tcPr>
            <w:tcW w:w="5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3.9</w:t>
            </w:r>
          </w:p>
        </w:tc>
        <w:tc>
          <w:tcPr>
            <w:tcW w:w="260" w:type="dxa"/>
            <w:vAlign w:val="bottom"/>
            <w:tcBorders>
              <w:top w:val="single" w:sz="8" w:color="C0C0C0"/>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3.6</w:t>
            </w:r>
          </w:p>
        </w:tc>
        <w:tc>
          <w:tcPr>
            <w:tcW w:w="26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top w:val="single" w:sz="8" w:color="C0C0C0"/>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7.7</w:t>
            </w:r>
          </w:p>
        </w:tc>
        <w:tc>
          <w:tcPr>
            <w:tcW w:w="260" w:type="dxa"/>
            <w:vAlign w:val="bottom"/>
            <w:tcBorders>
              <w:top w:val="single" w:sz="8" w:color="C0C0C0"/>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7.6</w:t>
            </w:r>
          </w:p>
        </w:tc>
        <w:tc>
          <w:tcPr>
            <w:tcW w:w="260" w:type="dxa"/>
            <w:vAlign w:val="bottom"/>
            <w:tcBorders>
              <w:top w:val="single" w:sz="8" w:color="C0C0C0"/>
            </w:tcBorders>
            <w:shd w:val="clear" w:color="auto" w:fill="C0C0C0"/>
          </w:tcPr>
          <w:p>
            <w:pPr>
              <w:spacing w:after="0"/>
              <w:rPr>
                <w:sz w:val="21"/>
                <w:szCs w:val="21"/>
                <w:color w:val="auto"/>
              </w:rPr>
            </w:pPr>
          </w:p>
        </w:tc>
        <w:tc>
          <w:tcPr>
            <w:tcW w:w="40" w:type="dxa"/>
            <w:vAlign w:val="bottom"/>
            <w:tcBorders>
              <w:top w:val="single" w:sz="8" w:color="auto"/>
            </w:tcBorders>
            <w:shd w:val="clear" w:color="auto" w:fill="C0C0C0"/>
          </w:tcPr>
          <w:p>
            <w:pPr>
              <w:spacing w:after="0"/>
              <w:rPr>
                <w:sz w:val="21"/>
                <w:szCs w:val="21"/>
                <w:color w:val="auto"/>
              </w:rPr>
            </w:pPr>
          </w:p>
        </w:tc>
        <w:tc>
          <w:tcPr>
            <w:tcW w:w="6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w:t>
            </w:r>
          </w:p>
        </w:tc>
      </w:tr>
      <w:tr>
        <w:trPr>
          <w:trHeight w:val="228"/>
        </w:trPr>
        <w:tc>
          <w:tcPr>
            <w:tcW w:w="58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77" w:lineRule="exact"/>
        <w:rPr>
          <w:sz w:val="20"/>
          <w:szCs w:val="20"/>
          <w:color w:val="auto"/>
        </w:rPr>
      </w:pPr>
    </w:p>
    <w:p>
      <w:pPr>
        <w:ind w:right="220" w:firstLine="270"/>
        <w:spacing w:after="0" w:line="303" w:lineRule="auto"/>
        <w:rPr>
          <w:sz w:val="20"/>
          <w:szCs w:val="20"/>
          <w:color w:val="auto"/>
        </w:rPr>
      </w:pPr>
      <w:r>
        <w:rPr>
          <w:rFonts w:ascii="Arial" w:cs="Arial" w:eastAsia="Arial" w:hAnsi="Arial"/>
          <w:sz w:val="15"/>
          <w:szCs w:val="15"/>
          <w:color w:val="auto"/>
        </w:rPr>
        <w:t>Research and development expenses consist primarily of global development efforts related to high-end process technologies for advanced sub-wavelength reticle solutions for IC and FPD technologies. Research and development expenses increased by $0.3 million to $3.9 million in Q2-11, as compared to $3.6 million in Q2-10. On a YTD basis, research and development expenses increased $0.1 million to $7.7 million in YTD-11, as compared to $7.6 million in YTD-</w:t>
      </w:r>
    </w:p>
    <w:p>
      <w:pPr>
        <w:spacing w:after="0" w:line="1" w:lineRule="exact"/>
        <w:rPr>
          <w:sz w:val="20"/>
          <w:szCs w:val="20"/>
          <w:color w:val="auto"/>
        </w:rPr>
      </w:pPr>
    </w:p>
    <w:p>
      <w:pPr>
        <w:ind w:right="180" w:firstLine="8"/>
        <w:spacing w:after="0" w:line="261" w:lineRule="auto"/>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 in research and development expenses in Q2-11 and YTD-11 as compared to the same periods in the prior year were primarily due to increased expenditures in Asia.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Consolidation, Restructuring and Related Credits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82"/>
        </w:trPr>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8"/>
                <w:szCs w:val="18"/>
                <w:b w:val="1"/>
                <w:bCs w:val="1"/>
                <w:color w:val="auto"/>
                <w:w w:val="94"/>
              </w:rPr>
              <w:t>Six Months Ended</w:t>
            </w:r>
          </w:p>
        </w:tc>
      </w:tr>
      <w:tr>
        <w:trPr>
          <w:trHeight w:val="237"/>
        </w:trPr>
        <w:tc>
          <w:tcPr>
            <w:tcW w:w="446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Q2-11</w:t>
            </w: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Q2-10</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YTD-11</w:t>
            </w:r>
          </w:p>
        </w:tc>
        <w:tc>
          <w:tcPr>
            <w:tcW w:w="260" w:type="dxa"/>
            <w:vAlign w:val="bottom"/>
            <w:tcBorders>
              <w:bottom w:val="single" w:sz="8" w:color="C0C0C0"/>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YTD-10</w:t>
            </w:r>
          </w:p>
        </w:tc>
      </w:tr>
      <w:tr>
        <w:trPr>
          <w:trHeight w:val="243"/>
        </w:trPr>
        <w:tc>
          <w:tcPr>
            <w:tcW w:w="4460" w:type="dxa"/>
            <w:vAlign w:val="bottom"/>
            <w:shd w:val="clear" w:color="auto" w:fill="C0C0C0"/>
          </w:tcPr>
          <w:p>
            <w:pPr>
              <w:spacing w:after="0"/>
              <w:rPr>
                <w:sz w:val="20"/>
                <w:szCs w:val="20"/>
                <w:color w:val="auto"/>
              </w:rPr>
            </w:pPr>
            <w:r>
              <w:rPr>
                <w:rFonts w:ascii="Arial" w:cs="Arial" w:eastAsia="Arial" w:hAnsi="Arial"/>
                <w:sz w:val="18"/>
                <w:szCs w:val="18"/>
                <w:color w:val="auto"/>
              </w:rPr>
              <w:t>Net gain on sales of assets</w:t>
            </w:r>
          </w:p>
        </w:tc>
        <w:tc>
          <w:tcPr>
            <w:tcW w:w="1400" w:type="dxa"/>
            <w:vAlign w:val="bottom"/>
            <w:gridSpan w:val="2"/>
            <w:shd w:val="clear" w:color="auto" w:fill="C0C0C0"/>
          </w:tcPr>
          <w:p>
            <w:pPr>
              <w:jc w:val="right"/>
              <w:ind w:right="332"/>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0C0C0"/>
            </w:tcBorders>
            <w:shd w:val="clear" w:color="auto" w:fill="C0C0C0"/>
          </w:tcPr>
          <w:p>
            <w:pPr>
              <w:jc w:val="right"/>
              <w:ind w:right="58"/>
              <w:spacing w:after="0"/>
              <w:rPr>
                <w:sz w:val="20"/>
                <w:szCs w:val="20"/>
                <w:color w:val="auto"/>
              </w:rPr>
            </w:pPr>
            <w:r>
              <w:rPr>
                <w:rFonts w:ascii="Arial" w:cs="Arial" w:eastAsia="Arial" w:hAnsi="Arial"/>
                <w:sz w:val="16"/>
                <w:szCs w:val="16"/>
                <w:color w:val="auto"/>
                <w:w w:val="74"/>
              </w:rPr>
              <w:t>-</w:t>
            </w:r>
          </w:p>
        </w:tc>
        <w:tc>
          <w:tcPr>
            <w:tcW w:w="280" w:type="dxa"/>
            <w:vAlign w:val="bottom"/>
            <w:gridSpan w:val="2"/>
            <w:shd w:val="clear" w:color="auto" w:fill="C0C0C0"/>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Employee terminations and other</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464"/>
        </w:trPr>
        <w:tc>
          <w:tcPr>
            <w:tcW w:w="44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consolidation, restructuring</w:t>
            </w:r>
          </w:p>
        </w:tc>
        <w:tc>
          <w:tcPr>
            <w:tcW w:w="880" w:type="dxa"/>
            <w:vAlign w:val="bottom"/>
            <w:tcBorders>
              <w:top w:val="single" w:sz="8" w:color="C0C0C0"/>
            </w:tcBorders>
            <w:shd w:val="clear" w:color="auto" w:fill="C0C0C0"/>
          </w:tcPr>
          <w:p>
            <w:pPr>
              <w:spacing w:after="0"/>
              <w:rPr>
                <w:sz w:val="24"/>
                <w:szCs w:val="24"/>
                <w:color w:val="auto"/>
              </w:rPr>
            </w:pPr>
          </w:p>
        </w:tc>
        <w:tc>
          <w:tcPr>
            <w:tcW w:w="520" w:type="dxa"/>
            <w:vAlign w:val="bottom"/>
            <w:tcBorders>
              <w:top w:val="single" w:sz="8" w:color="auto"/>
            </w:tcBorders>
            <w:shd w:val="clear" w:color="auto" w:fill="C0C0C0"/>
          </w:tcPr>
          <w:p>
            <w:pPr>
              <w:spacing w:after="0"/>
              <w:rPr>
                <w:sz w:val="24"/>
                <w:szCs w:val="24"/>
                <w:color w:val="auto"/>
              </w:rPr>
            </w:pPr>
          </w:p>
        </w:tc>
        <w:tc>
          <w:tcPr>
            <w:tcW w:w="200" w:type="dxa"/>
            <w:vAlign w:val="bottom"/>
            <w:tcBorders>
              <w:top w:val="single" w:sz="8" w:color="C0C0C0"/>
              <w:left w:val="single" w:sz="8" w:color="C0C0C0"/>
            </w:tcBorders>
            <w:shd w:val="clear" w:color="auto" w:fill="C0C0C0"/>
          </w:tcPr>
          <w:p>
            <w:pPr>
              <w:spacing w:after="0"/>
              <w:rPr>
                <w:sz w:val="24"/>
                <w:szCs w:val="24"/>
                <w:color w:val="auto"/>
              </w:rPr>
            </w:pPr>
          </w:p>
        </w:tc>
        <w:tc>
          <w:tcPr>
            <w:tcW w:w="140" w:type="dxa"/>
            <w:vAlign w:val="bottom"/>
            <w:tcBorders>
              <w:top w:val="single" w:sz="8" w:color="C0C0C0"/>
            </w:tcBorders>
            <w:shd w:val="clear" w:color="auto" w:fill="C0C0C0"/>
          </w:tcPr>
          <w:p>
            <w:pPr>
              <w:spacing w:after="0"/>
              <w:rPr>
                <w:sz w:val="24"/>
                <w:szCs w:val="24"/>
                <w:color w:val="auto"/>
              </w:rPr>
            </w:pPr>
          </w:p>
        </w:tc>
        <w:tc>
          <w:tcPr>
            <w:tcW w:w="140" w:type="dxa"/>
            <w:vAlign w:val="bottom"/>
            <w:tcBorders>
              <w:top w:val="single" w:sz="8" w:color="auto"/>
            </w:tcBorders>
            <w:shd w:val="clear" w:color="auto" w:fill="C0C0C0"/>
          </w:tcPr>
          <w:p>
            <w:pPr>
              <w:spacing w:after="0"/>
              <w:rPr>
                <w:sz w:val="24"/>
                <w:szCs w:val="24"/>
                <w:color w:val="auto"/>
              </w:rPr>
            </w:pPr>
          </w:p>
        </w:tc>
        <w:tc>
          <w:tcPr>
            <w:tcW w:w="740" w:type="dxa"/>
            <w:vAlign w:val="bottom"/>
            <w:tcBorders>
              <w:top w:val="single" w:sz="8" w:color="auto"/>
            </w:tcBorders>
            <w:shd w:val="clear" w:color="auto" w:fill="C0C0C0"/>
          </w:tcPr>
          <w:p>
            <w:pPr>
              <w:spacing w:after="0"/>
              <w:rPr>
                <w:sz w:val="24"/>
                <w:szCs w:val="24"/>
                <w:color w:val="auto"/>
              </w:rPr>
            </w:pPr>
          </w:p>
        </w:tc>
        <w:tc>
          <w:tcPr>
            <w:tcW w:w="280" w:type="dxa"/>
            <w:vAlign w:val="bottom"/>
            <w:tcBorders>
              <w:top w:val="single" w:sz="8" w:color="C0C0C0"/>
            </w:tcBorders>
            <w:shd w:val="clear" w:color="auto" w:fill="C0C0C0"/>
          </w:tcPr>
          <w:p>
            <w:pPr>
              <w:spacing w:after="0"/>
              <w:rPr>
                <w:sz w:val="24"/>
                <w:szCs w:val="24"/>
                <w:color w:val="auto"/>
              </w:rPr>
            </w:pPr>
          </w:p>
        </w:tc>
        <w:tc>
          <w:tcPr>
            <w:tcW w:w="80" w:type="dxa"/>
            <w:vAlign w:val="bottom"/>
            <w:tcBorders>
              <w:top w:val="single" w:sz="8" w:color="auto"/>
            </w:tcBorders>
            <w:shd w:val="clear" w:color="auto" w:fill="C0C0C0"/>
          </w:tcPr>
          <w:p>
            <w:pPr>
              <w:spacing w:after="0"/>
              <w:rPr>
                <w:sz w:val="24"/>
                <w:szCs w:val="24"/>
                <w:color w:val="auto"/>
              </w:rPr>
            </w:pPr>
          </w:p>
        </w:tc>
        <w:tc>
          <w:tcPr>
            <w:tcW w:w="720" w:type="dxa"/>
            <w:vAlign w:val="bottom"/>
            <w:tcBorders>
              <w:top w:val="single" w:sz="8" w:color="auto"/>
            </w:tcBorders>
            <w:shd w:val="clear" w:color="auto" w:fill="C0C0C0"/>
          </w:tcPr>
          <w:p>
            <w:pPr>
              <w:spacing w:after="0"/>
              <w:rPr>
                <w:sz w:val="24"/>
                <w:szCs w:val="24"/>
                <w:color w:val="auto"/>
              </w:rPr>
            </w:pPr>
          </w:p>
        </w:tc>
        <w:tc>
          <w:tcPr>
            <w:tcW w:w="260" w:type="dxa"/>
            <w:vAlign w:val="bottom"/>
            <w:tcBorders>
              <w:top w:val="single" w:sz="8" w:color="C0C0C0"/>
            </w:tcBorders>
            <w:shd w:val="clear" w:color="auto" w:fill="C0C0C0"/>
          </w:tcPr>
          <w:p>
            <w:pPr>
              <w:spacing w:after="0"/>
              <w:rPr>
                <w:sz w:val="24"/>
                <w:szCs w:val="24"/>
                <w:color w:val="auto"/>
              </w:rPr>
            </w:pPr>
          </w:p>
        </w:tc>
        <w:tc>
          <w:tcPr>
            <w:tcW w:w="220" w:type="dxa"/>
            <w:vAlign w:val="bottom"/>
            <w:tcBorders>
              <w:top w:val="single" w:sz="8" w:color="auto"/>
            </w:tcBorders>
            <w:shd w:val="clear" w:color="auto" w:fill="C0C0C0"/>
          </w:tcPr>
          <w:p>
            <w:pPr>
              <w:spacing w:after="0"/>
              <w:rPr>
                <w:sz w:val="24"/>
                <w:szCs w:val="24"/>
                <w:color w:val="auto"/>
              </w:rPr>
            </w:pPr>
          </w:p>
        </w:tc>
        <w:tc>
          <w:tcPr>
            <w:tcW w:w="500" w:type="dxa"/>
            <w:vAlign w:val="bottom"/>
            <w:tcBorders>
              <w:top w:val="single" w:sz="8" w:color="auto"/>
            </w:tcBorders>
            <w:shd w:val="clear" w:color="auto" w:fill="C0C0C0"/>
          </w:tcPr>
          <w:p>
            <w:pPr>
              <w:spacing w:after="0"/>
              <w:rPr>
                <w:sz w:val="24"/>
                <w:szCs w:val="24"/>
                <w:color w:val="auto"/>
              </w:rPr>
            </w:pPr>
          </w:p>
        </w:tc>
      </w:tr>
      <w:tr>
        <w:trPr>
          <w:trHeight w:val="258"/>
        </w:trPr>
        <w:tc>
          <w:tcPr>
            <w:tcW w:w="4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and related credits</w:t>
            </w:r>
          </w:p>
        </w:tc>
        <w:tc>
          <w:tcPr>
            <w:tcW w:w="880" w:type="dxa"/>
            <w:vAlign w:val="bottom"/>
            <w:shd w:val="clear" w:color="auto" w:fill="C0C0C0"/>
          </w:tcPr>
          <w:p>
            <w:pPr>
              <w:spacing w:after="0"/>
              <w:rPr>
                <w:sz w:val="22"/>
                <w:szCs w:val="22"/>
                <w:color w:val="auto"/>
              </w:rPr>
            </w:pPr>
          </w:p>
        </w:tc>
        <w:tc>
          <w:tcPr>
            <w:tcW w:w="520" w:type="dxa"/>
            <w:vAlign w:val="bottom"/>
            <w:shd w:val="clear" w:color="auto" w:fill="C0C0C0"/>
          </w:tcPr>
          <w:p>
            <w:pPr>
              <w:jc w:val="right"/>
              <w:ind w:right="332"/>
              <w:spacing w:after="0"/>
              <w:rPr>
                <w:sz w:val="20"/>
                <w:szCs w:val="20"/>
                <w:color w:val="auto"/>
              </w:rPr>
            </w:pPr>
            <w:r>
              <w:rPr>
                <w:rFonts w:ascii="Arial" w:cs="Arial" w:eastAsia="Arial" w:hAnsi="Arial"/>
                <w:sz w:val="18"/>
                <w:szCs w:val="18"/>
                <w:color w:val="auto"/>
                <w:w w:val="79"/>
              </w:rPr>
              <w:t>$</w:t>
            </w:r>
          </w:p>
        </w:tc>
        <w:tc>
          <w:tcPr>
            <w:tcW w:w="200" w:type="dxa"/>
            <w:vAlign w:val="bottom"/>
            <w:tcBorders>
              <w:left w:val="single" w:sz="8" w:color="C0C0C0"/>
            </w:tcBorders>
            <w:shd w:val="clear" w:color="auto" w:fill="C0C0C0"/>
          </w:tcPr>
          <w:p>
            <w:pPr>
              <w:jc w:val="right"/>
              <w:ind w:right="58"/>
              <w:spacing w:after="0"/>
              <w:rPr>
                <w:sz w:val="20"/>
                <w:szCs w:val="20"/>
                <w:color w:val="auto"/>
              </w:rPr>
            </w:pPr>
            <w:r>
              <w:rPr>
                <w:rFonts w:ascii="Arial" w:cs="Arial" w:eastAsia="Arial" w:hAnsi="Arial"/>
                <w:sz w:val="16"/>
                <w:szCs w:val="16"/>
                <w:color w:val="auto"/>
                <w:w w:val="74"/>
              </w:rPr>
              <w:t>-</w:t>
            </w:r>
          </w:p>
        </w:tc>
        <w:tc>
          <w:tcPr>
            <w:tcW w:w="280" w:type="dxa"/>
            <w:vAlign w:val="bottom"/>
            <w:gridSpan w:val="2"/>
            <w:shd w:val="clear" w:color="auto" w:fill="C0C0C0"/>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r>
      <w:tr>
        <w:trPr>
          <w:trHeight w:val="28"/>
        </w:trPr>
        <w:tc>
          <w:tcPr>
            <w:tcW w:w="4460" w:type="dxa"/>
            <w:vAlign w:val="bottom"/>
            <w:shd w:val="clear" w:color="auto" w:fill="C0C0C0"/>
          </w:tcPr>
          <w:p>
            <w:pPr>
              <w:spacing w:after="0"/>
              <w:rPr>
                <w:sz w:val="2"/>
                <w:szCs w:val="2"/>
                <w:color w:val="auto"/>
              </w:rPr>
            </w:pPr>
          </w:p>
        </w:tc>
        <w:tc>
          <w:tcPr>
            <w:tcW w:w="880" w:type="dxa"/>
            <w:vAlign w:val="bottom"/>
            <w:shd w:val="clear" w:color="auto" w:fill="C0C0C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left w:val="single" w:sz="8" w:color="auto"/>
            </w:tcBorders>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-659765</wp:posOffset>
            </wp:positionV>
            <wp:extent cx="5797550"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7550" cy="334645"/>
                    </a:xfrm>
                    <a:prstGeom prst="rect">
                      <a:avLst/>
                    </a:prstGeom>
                    <a:noFill/>
                  </pic:spPr>
                </pic:pic>
              </a:graphicData>
            </a:graphic>
          </wp:anchor>
        </w:drawing>
      </w:r>
    </w:p>
    <w:p>
      <w:pPr>
        <w:spacing w:after="0" w:line="242" w:lineRule="exact"/>
        <w:rPr>
          <w:sz w:val="20"/>
          <w:szCs w:val="20"/>
          <w:color w:val="auto"/>
        </w:rPr>
      </w:pPr>
    </w:p>
    <w:p>
      <w:pPr>
        <w:jc w:val="both"/>
        <w:ind w:right="160" w:firstLine="270"/>
        <w:spacing w:after="0" w:line="306" w:lineRule="auto"/>
        <w:rPr>
          <w:sz w:val="20"/>
          <w:szCs w:val="20"/>
          <w:color w:val="auto"/>
        </w:rPr>
      </w:pPr>
      <w:r>
        <w:rPr>
          <w:rFonts w:ascii="Arial" w:cs="Arial" w:eastAsia="Arial" w:hAnsi="Arial"/>
          <w:sz w:val="16"/>
          <w:szCs w:val="16"/>
          <w:color w:val="auto"/>
        </w:rPr>
        <w:t>In the third quarter of fiscal 2009, the Company ceased the manufacture of photomasks at its Shanghai, China, facility. In connection with this restructuring, the Company has recorded total net charges of $5.2 million, including $4.7 million of net asset write-downs through its completion in fiscal 2010. The fair value of the assets written down was determined by management using a market approach. Approximately 75 employees were affected by this restructuring.</w:t>
      </w:r>
    </w:p>
    <w:p>
      <w:pPr>
        <w:spacing w:after="0" w:line="215"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The Company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which resulted in a gain of $5.4 million. The gain was recorded as a credit to the restructuring reserve in that quarter.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Other Expense, net</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2"/>
        </w:trPr>
        <w:tc>
          <w:tcPr>
            <w:tcW w:w="3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70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w w:val="94"/>
              </w:rPr>
              <w:t>Six Months Ended</w:t>
            </w:r>
          </w:p>
        </w:tc>
        <w:tc>
          <w:tcPr>
            <w:tcW w:w="2300" w:type="dxa"/>
            <w:vAlign w:val="bottom"/>
          </w:tcPr>
          <w:p>
            <w:pPr>
              <w:spacing w:after="0"/>
              <w:rPr>
                <w:sz w:val="24"/>
                <w:szCs w:val="24"/>
                <w:color w:val="auto"/>
              </w:rPr>
            </w:pPr>
          </w:p>
        </w:tc>
      </w:tr>
      <w:tr>
        <w:trPr>
          <w:trHeight w:val="237"/>
        </w:trPr>
        <w:tc>
          <w:tcPr>
            <w:tcW w:w="356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Q2-11</w:t>
            </w:r>
          </w:p>
        </w:tc>
        <w:tc>
          <w:tcPr>
            <w:tcW w:w="280" w:type="dxa"/>
            <w:vAlign w:val="bottom"/>
            <w:tcBorders>
              <w:top w:val="single" w:sz="8" w:color="auto"/>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Q2-10</w:t>
            </w:r>
          </w:p>
        </w:tc>
        <w:tc>
          <w:tcPr>
            <w:tcW w:w="260" w:type="dxa"/>
            <w:vAlign w:val="bottom"/>
            <w:tcBorders>
              <w:bottom w:val="single" w:sz="8" w:color="C0C0C0"/>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3"/>
              </w:rPr>
              <w:t>YTD-11</w:t>
            </w:r>
          </w:p>
        </w:tc>
        <w:tc>
          <w:tcPr>
            <w:tcW w:w="260" w:type="dxa"/>
            <w:vAlign w:val="bottom"/>
            <w:tcBorders>
              <w:top w:val="single" w:sz="8" w:color="auto"/>
              <w:bottom w:val="single" w:sz="8" w:color="C0C0C0"/>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YTD-10</w:t>
            </w:r>
          </w:p>
        </w:tc>
        <w:tc>
          <w:tcPr>
            <w:tcW w:w="2300" w:type="dxa"/>
            <w:vAlign w:val="bottom"/>
          </w:tcPr>
          <w:p>
            <w:pPr>
              <w:spacing w:after="0"/>
              <w:rPr>
                <w:sz w:val="20"/>
                <w:szCs w:val="20"/>
                <w:color w:val="auto"/>
              </w:rPr>
            </w:pPr>
          </w:p>
        </w:tc>
      </w:tr>
      <w:tr>
        <w:trPr>
          <w:trHeight w:val="243"/>
        </w:trPr>
        <w:tc>
          <w:tcPr>
            <w:tcW w:w="3560" w:type="dxa"/>
            <w:vAlign w:val="bottom"/>
            <w:shd w:val="clear" w:color="auto" w:fill="C0C0C0"/>
          </w:tcPr>
          <w:p>
            <w:pPr>
              <w:spacing w:after="0"/>
              <w:rPr>
                <w:sz w:val="20"/>
                <w:szCs w:val="20"/>
                <w:color w:val="auto"/>
              </w:rPr>
            </w:pPr>
            <w:r>
              <w:rPr>
                <w:rFonts w:ascii="Arial" w:cs="Arial" w:eastAsia="Arial" w:hAnsi="Arial"/>
                <w:sz w:val="18"/>
                <w:szCs w:val="18"/>
                <w:color w:val="auto"/>
              </w:rPr>
              <w:t>Debt extinguishment loss</w:t>
            </w:r>
          </w:p>
        </w:tc>
        <w:tc>
          <w:tcPr>
            <w:tcW w:w="1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(30.3)</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C0C0C0"/>
          </w:tcPr>
          <w:p>
            <w:pPr>
              <w:spacing w:after="0"/>
              <w:rPr>
                <w:sz w:val="21"/>
                <w:szCs w:val="21"/>
                <w:color w:val="auto"/>
              </w:rPr>
            </w:pPr>
          </w:p>
        </w:tc>
        <w:tc>
          <w:tcPr>
            <w:tcW w:w="220" w:type="dxa"/>
            <w:vAlign w:val="bottom"/>
            <w:shd w:val="clear" w:color="auto" w:fill="C0C0C0"/>
          </w:tcPr>
          <w:p>
            <w:pPr>
              <w:jc w:val="right"/>
              <w:ind w:right="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1"/>
                <w:szCs w:val="21"/>
                <w:color w:val="auto"/>
              </w:rPr>
            </w:pPr>
          </w:p>
        </w:tc>
      </w:tr>
      <w:tr>
        <w:trPr>
          <w:trHeight w:val="235"/>
        </w:trPr>
        <w:tc>
          <w:tcPr>
            <w:tcW w:w="356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2300" w:type="dxa"/>
            <w:vAlign w:val="bottom"/>
          </w:tcPr>
          <w:p>
            <w:pPr>
              <w:spacing w:after="0"/>
              <w:rPr>
                <w:sz w:val="20"/>
                <w:szCs w:val="20"/>
                <w:color w:val="auto"/>
              </w:rPr>
            </w:pPr>
          </w:p>
        </w:tc>
      </w:tr>
      <w:tr>
        <w:trPr>
          <w:trHeight w:val="235"/>
        </w:trPr>
        <w:tc>
          <w:tcPr>
            <w:tcW w:w="3560" w:type="dxa"/>
            <w:vAlign w:val="bottom"/>
            <w:shd w:val="clear" w:color="auto" w:fill="C0C0C0"/>
          </w:tcPr>
          <w:p>
            <w:pPr>
              <w:spacing w:after="0"/>
              <w:rPr>
                <w:sz w:val="20"/>
                <w:szCs w:val="20"/>
                <w:color w:val="auto"/>
              </w:rPr>
            </w:pPr>
            <w:r>
              <w:rPr>
                <w:rFonts w:ascii="Arial" w:cs="Arial" w:eastAsia="Arial" w:hAnsi="Arial"/>
                <w:sz w:val="18"/>
                <w:szCs w:val="18"/>
                <w:color w:val="auto"/>
              </w:rPr>
              <w:t>Investment and other</w:t>
            </w:r>
          </w:p>
        </w:tc>
        <w:tc>
          <w:tcPr>
            <w:tcW w:w="17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2300" w:type="dxa"/>
            <w:vAlign w:val="bottom"/>
          </w:tcPr>
          <w:p>
            <w:pPr>
              <w:spacing w:after="0"/>
              <w:rPr>
                <w:sz w:val="20"/>
                <w:szCs w:val="20"/>
                <w:color w:val="auto"/>
              </w:rPr>
            </w:pPr>
          </w:p>
        </w:tc>
      </w:tr>
      <w:tr>
        <w:trPr>
          <w:trHeight w:val="252"/>
        </w:trPr>
        <w:tc>
          <w:tcPr>
            <w:tcW w:w="35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income (expense), net</w:t>
            </w:r>
          </w:p>
        </w:tc>
        <w:tc>
          <w:tcPr>
            <w:tcW w:w="17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1.4</w:t>
            </w:r>
          </w:p>
        </w:tc>
        <w:tc>
          <w:tcPr>
            <w:tcW w:w="2300" w:type="dxa"/>
            <w:vAlign w:val="bottom"/>
          </w:tcPr>
          <w:p>
            <w:pPr>
              <w:spacing w:after="0"/>
              <w:rPr>
                <w:sz w:val="21"/>
                <w:szCs w:val="2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Other expense, net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c>
          <w:tcPr>
            <w:tcW w:w="260" w:type="dxa"/>
            <w:vAlign w:val="bottom"/>
          </w:tcPr>
          <w:p>
            <w:pPr>
              <w:spacing w:after="0"/>
              <w:rPr>
                <w:sz w:val="21"/>
                <w:szCs w:val="21"/>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2300" w:type="dxa"/>
            <w:vAlign w:val="bottom"/>
          </w:tcPr>
          <w:p>
            <w:pPr>
              <w:spacing w:after="0"/>
              <w:rPr>
                <w:sz w:val="21"/>
                <w:szCs w:val="21"/>
                <w:color w:val="auto"/>
              </w:rPr>
            </w:pPr>
          </w:p>
        </w:tc>
      </w:tr>
      <w:tr>
        <w:trPr>
          <w:trHeight w:val="457"/>
        </w:trPr>
        <w:tc>
          <w:tcPr>
            <w:tcW w:w="3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363"/>
        </w:trPr>
        <w:tc>
          <w:tcPr>
            <w:tcW w:w="3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44" w:right="219" w:bottom="1440" w:gutter="0" w:footer="0" w:header="0"/>
        </w:sectPr>
      </w:pPr>
    </w:p>
    <w:bookmarkStart w:id="25" w:name="page26"/>
    <w:bookmarkEnd w:id="25"/>
    <w:p>
      <w:pPr>
        <w:ind w:right="20" w:firstLine="270"/>
        <w:spacing w:after="0" w:line="298" w:lineRule="auto"/>
        <w:rPr>
          <w:sz w:val="20"/>
          <w:szCs w:val="20"/>
          <w:color w:val="auto"/>
        </w:rPr>
      </w:pPr>
      <w:r>
        <w:rPr>
          <w:rFonts w:ascii="Arial" w:cs="Arial" w:eastAsia="Arial" w:hAnsi="Arial"/>
          <w:sz w:val="16"/>
          <w:szCs w:val="16"/>
          <w:color w:val="auto"/>
        </w:rPr>
        <w:t>In the second quarter of fiscal 2011 the Company acquired $30.4 million aggregate principal amount of its 5.5% convertible senior notes by delivering $19.7 million in cash and approximately 4.5 million shares of its common stock, with an approximate fair value of $39.2 million. In connection with this acquisition the Company recorded a debt extinguishment loss of $30.1 million, which included the write-off of $1.7 million of deferred financing fees. A portion of the net proceeds of the Company’s March 28, 2011, 3.25% convertible senior notes offering was used to repay these obligations.</w:t>
      </w:r>
    </w:p>
    <w:p>
      <w:pPr>
        <w:spacing w:after="0" w:line="22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Interest expense decreased in Q2-11 as compared to Q2-10 and in YTD-11 as compared to YTD-10, primarily as a result of a $1.0 million write-off of deferred financing fees in Q2-10 in connection with an amendment of the Company's credit facility. Interest expense in YTD-11 decreased as compared to YTD-10 also as a result of lower weighted average borrowings and lower interest rates.</w:t>
      </w:r>
    </w:p>
    <w:p>
      <w:pPr>
        <w:spacing w:after="0" w:line="248"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Investment and other income (expense) decreased in Q2-11 as compared to Q2-10 by $1.6 million due to unfavorable foreign currency transaction results. On a comparative YTD basis, investment and other income (expense) increased by $0.6 million due to higher interest and investment income, which was offset in part by reduced foreign currency transaction gains.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82"/>
        </w:trPr>
        <w:tc>
          <w:tcPr>
            <w:tcW w:w="4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8"/>
                <w:szCs w:val="18"/>
                <w:b w:val="1"/>
                <w:bCs w:val="1"/>
                <w:color w:val="auto"/>
                <w:w w:val="98"/>
              </w:rPr>
              <w:t>Six Months Ended</w:t>
            </w:r>
          </w:p>
        </w:tc>
      </w:tr>
      <w:tr>
        <w:trPr>
          <w:trHeight w:val="237"/>
        </w:trPr>
        <w:tc>
          <w:tcPr>
            <w:tcW w:w="492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Q2-11</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Q2-10</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3"/>
              </w:rPr>
              <w:t>YTD-11</w:t>
            </w:r>
          </w:p>
        </w:tc>
        <w:tc>
          <w:tcPr>
            <w:tcW w:w="26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6"/>
              </w:rPr>
              <w:t>YTD-10</w:t>
            </w:r>
          </w:p>
        </w:tc>
      </w:tr>
      <w:tr>
        <w:trPr>
          <w:trHeight w:val="250"/>
        </w:trPr>
        <w:tc>
          <w:tcPr>
            <w:tcW w:w="49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w:t>
            </w:r>
          </w:p>
        </w:tc>
      </w:tr>
    </w:tbl>
    <w:p>
      <w:pPr>
        <w:spacing w:after="0" w:line="262" w:lineRule="exact"/>
        <w:rPr>
          <w:sz w:val="20"/>
          <w:szCs w:val="20"/>
          <w:color w:val="auto"/>
        </w:rPr>
      </w:pPr>
    </w:p>
    <w:p>
      <w:pPr>
        <w:ind w:right="140" w:firstLine="270"/>
        <w:spacing w:after="0" w:line="291" w:lineRule="auto"/>
        <w:rPr>
          <w:sz w:val="20"/>
          <w:szCs w:val="20"/>
          <w:color w:val="auto"/>
        </w:rPr>
      </w:pPr>
      <w:r>
        <w:rPr>
          <w:rFonts w:ascii="Arial" w:cs="Arial" w:eastAsia="Arial" w:hAnsi="Arial"/>
          <w:sz w:val="16"/>
          <w:szCs w:val="16"/>
          <w:color w:val="auto"/>
        </w:rPr>
        <w:t>The effective tax rate differs from the U.S. statutory rate of 35% in the second quarter and the first half of fiscal year 2011 primarily due to the impact of the non-deductible debt extinguishment loss recorded in the second quarter of 2011 and a higher level of earnings taxed at lowered statutory rates in foreign jurisdictions. In the second quarter and first half of fiscal year 2010, the effective tax rate differed from the U.S. statutory rate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in Korea and PSMC in Taiwan, various investment tax credits have been earned, which reduced the Company’s effective income tax rate.</w:t>
      </w:r>
    </w:p>
    <w:p>
      <w:pPr>
        <w:spacing w:after="0" w:line="228"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PKLT, the Company's FPD manufacturing facility in Taiwan, is accorded a tax holiday which commences in 2012 and expires in 2017. The availability of this tax holiday did not have a significant impact on the Company's decision to increase its Asian presence, as the Company's decision was in response to fundamental changes that took place in the semiconductor industry. This tax holiday had no dollar or per share effect in the six month periods ended May 1, 2011 and May 2,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79" w:lineRule="exact"/>
        <w:rPr>
          <w:sz w:val="20"/>
          <w:szCs w:val="20"/>
          <w:color w:val="auto"/>
        </w:rPr>
      </w:pPr>
    </w:p>
    <w:p>
      <w:pPr>
        <w:ind w:right="260" w:firstLine="270"/>
        <w:spacing w:after="0" w:line="306" w:lineRule="auto"/>
        <w:rPr>
          <w:sz w:val="20"/>
          <w:szCs w:val="20"/>
          <w:color w:val="auto"/>
        </w:rPr>
      </w:pPr>
      <w:r>
        <w:rPr>
          <w:rFonts w:ascii="Arial" w:cs="Arial" w:eastAsia="Arial" w:hAnsi="Arial"/>
          <w:sz w:val="16"/>
          <w:szCs w:val="16"/>
          <w:color w:val="auto"/>
        </w:rPr>
        <w:t>Net income attributable to noncontrolling interests increased $0.7 million to $1.4 million in Q2-11 as compared to Q2-10, primarily due to increased net income at the Company's non-wholly owned subsidiary in Taiwan. Year to date, net income attributable to noncontrolling interests increased to $2.9 million in 2011 as compared to $0.9 million in 2010, primarily as a result of increased net income at the Company’s non-wholly owned subsidiary in Taiwan.</w:t>
      </w:r>
    </w:p>
    <w:p>
      <w:pPr>
        <w:spacing w:after="0" w:line="215" w:lineRule="exact"/>
        <w:rPr>
          <w:sz w:val="20"/>
          <w:szCs w:val="20"/>
          <w:color w:val="auto"/>
        </w:rPr>
      </w:pPr>
    </w:p>
    <w:p>
      <w:pPr>
        <w:ind w:right="60" w:firstLine="270"/>
        <w:spacing w:after="0" w:line="323" w:lineRule="auto"/>
        <w:rPr>
          <w:sz w:val="20"/>
          <w:szCs w:val="20"/>
          <w:color w:val="auto"/>
        </w:rPr>
      </w:pPr>
      <w:r>
        <w:rPr>
          <w:rFonts w:ascii="Arial" w:cs="Arial" w:eastAsia="Arial" w:hAnsi="Arial"/>
          <w:sz w:val="15"/>
          <w:szCs w:val="15"/>
          <w:color w:val="auto"/>
        </w:rPr>
        <w:t>During the three month period ended May 1, 2011, the board of directors of PSMC authorized PSMC to repurchase for retirement up to 5% of its outstanding common stock. The program, which expired in April, 2011, resulted in approximately 7.7 million shares (or 2.7% of its outstanding shares) being purchased at a total cost of $3.3 million. PSMC’s repurchase of these shares increased the Company’s ownership percentage in PSMC from 57.53% at October 31, 2010, to 59.14% at May 1, 2011. The Company’s ownership percentage in its subsidiary in Korea was approximately 99.7% at May 1, 2011 and October 31, 2010.</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working capital was $179.5 million at May 1, 2011, and $86.6 million at October 31, 2010. The increase in working capital was primarily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related to net proceeds of the Company’s issuance of 3.25% convertible debt, offset in part by repayments of certain other higher interest rate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borrowings. Cash and cash equivalents increased to $186.1 million at May 1, 2011, as compared to $98.9 million at October 31, 2010, primarily due to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operations and the issuance of 3.25% convertible debt, which was partially offset by payments for capital expenditures and repayments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other long-term borrowings. Net cash provided by operating activities was $64.0 million for the six month period ended May 1, 2011,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$33.8 million for the six month period ended May 2, 1010, the increase primarily being due to the Company's increased net income before recognition of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portion of the debt extinguishment losses of $23.5 million and increases in accounts payable and accrued liabilities. Net cash used in investing activities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 period ended May 1, 2011, was $48.0 million, which was primarily comprised of capital expenditure payments and an increased investment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MP Mask joint venture. Net cash provided by financing activities of $64.6 million for the six month period ended May 1, 2011, was primarily comprised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March 2011 issuance of 3.25% convertible notes, partially offset by repayment of certain other long-term borrowings.</w:t>
      </w:r>
    </w:p>
    <w:p>
      <w:pPr>
        <w:spacing w:after="0" w:line="273" w:lineRule="exact"/>
        <w:rPr>
          <w:sz w:val="20"/>
          <w:szCs w:val="20"/>
          <w:color w:val="auto"/>
        </w:rPr>
      </w:pPr>
    </w:p>
    <w:p>
      <w:pPr>
        <w:ind w:right="200" w:firstLine="270"/>
        <w:spacing w:after="0" w:line="332" w:lineRule="auto"/>
        <w:rPr>
          <w:sz w:val="20"/>
          <w:szCs w:val="20"/>
          <w:color w:val="auto"/>
        </w:rPr>
      </w:pPr>
      <w:r>
        <w:rPr>
          <w:rFonts w:ascii="Arial" w:cs="Arial" w:eastAsia="Arial" w:hAnsi="Arial"/>
          <w:sz w:val="16"/>
          <w:szCs w:val="16"/>
          <w:color w:val="auto"/>
        </w:rPr>
        <w:t>On March 28, 2011, the company issued $115 million aggregate principal amount of 3.25% convertible senior notes. Net proceeds realized from the sale of the notes, which mature on April 1, 2016, and pay interest semiannually commencing on October 1, 2011, were approximately $110.5 million.</w:t>
      </w:r>
    </w:p>
    <w:p>
      <w:pPr>
        <w:spacing w:after="0" w:line="193"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During the three month period ended May 1, 2011, the Company used $19.7 million of the net proceeds of the 3.25% convertible senior note sale and issued common stock to extinguish approximately $30.4 million principal amount of its 5.5% convertible senior notes, and used an additional $19.8 million of the net proceeds to repay its outstanding principal obligations under capital leases. The Company may use the remaining net proceeds to retire additional debt and for capital expenditure and working capital purposes.</w:t>
      </w:r>
    </w:p>
    <w:p>
      <w:pPr>
        <w:spacing w:after="0" w:line="251" w:lineRule="exact"/>
        <w:rPr>
          <w:sz w:val="20"/>
          <w:szCs w:val="20"/>
          <w:color w:val="auto"/>
        </w:rPr>
      </w:pPr>
    </w:p>
    <w:p>
      <w:pPr>
        <w:ind w:right="540" w:firstLine="270"/>
        <w:spacing w:after="0" w:line="259" w:lineRule="auto"/>
        <w:rPr>
          <w:sz w:val="20"/>
          <w:szCs w:val="20"/>
          <w:color w:val="auto"/>
        </w:rPr>
      </w:pPr>
      <w:r>
        <w:rPr>
          <w:rFonts w:ascii="Arial" w:cs="Arial" w:eastAsia="Arial" w:hAnsi="Arial"/>
          <w:sz w:val="18"/>
          <w:szCs w:val="18"/>
          <w:color w:val="auto"/>
        </w:rPr>
        <w:t>On March 18, 2011, the Company and its lenders amended its revolving credit facility. Under the terms of the amended credit facility, the total amount available to the Company to borrow was reduced from $65 million to $30 million. The credit facility bears interest (2.75% at May 1, 2011), based on the Company’s total leverage ratio, at LIBOR plus a spread, as defined in the agreement.</w:t>
      </w:r>
    </w:p>
    <w:p>
      <w:pPr>
        <w:spacing w:after="0" w:line="24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w:t>
      </w:r>
    </w:p>
    <w:p>
      <w:pPr>
        <w:spacing w:after="0" w:line="248" w:lineRule="exact"/>
        <w:rPr>
          <w:sz w:val="20"/>
          <w:szCs w:val="20"/>
          <w:color w:val="auto"/>
        </w:rPr>
      </w:pPr>
    </w:p>
    <w:p>
      <w:pPr>
        <w:ind w:right="300" w:firstLine="270"/>
        <w:spacing w:after="0" w:line="332" w:lineRule="auto"/>
        <w:rPr>
          <w:sz w:val="20"/>
          <w:szCs w:val="20"/>
          <w:color w:val="auto"/>
        </w:rPr>
      </w:pPr>
      <w:r>
        <w:rPr>
          <w:rFonts w:ascii="Arial" w:cs="Arial" w:eastAsia="Arial" w:hAnsi="Arial"/>
          <w:sz w:val="16"/>
          <w:szCs w:val="16"/>
          <w:color w:val="auto"/>
        </w:rPr>
        <w:t>In January, 2011 a $10 million irrevocable stand-by letter of credit for the purchase of manufacturing equipment was issued under the credit facility. As of May 1, 2011, the Company had no outstanding borrowings under the credit facility and $20 million was available for borrowing.</w:t>
      </w:r>
    </w:p>
    <w:p>
      <w:pPr>
        <w:spacing w:after="0" w:line="19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On April 29, 2011, the Company entered into a 5 year, $21.2 million capital lease of manufacturing equipment. Payments under the lease, which bears interest at 3.09%, are $0.4 million per month through March 2016. As of May 1, 2011, the total lease amount payable through the end of the lease term was $22.5 million, of which $20.9 million represented principal and $1.6 million represented interest.</w:t>
      </w:r>
    </w:p>
    <w:p>
      <w:pPr>
        <w:spacing w:after="0" w:line="248" w:lineRule="exact"/>
        <w:rPr>
          <w:sz w:val="20"/>
          <w:szCs w:val="20"/>
          <w:color w:val="auto"/>
        </w:rPr>
      </w:pPr>
    </w:p>
    <w:p>
      <w:pPr>
        <w:ind w:right="260" w:firstLine="270"/>
        <w:spacing w:after="0" w:line="290"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period-to-period), as it operates in a high fixed cost environment. Depending on conditions in the IC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partially fund these needs. However, the Company cannot assure that additional sources of financing would be available to it on commercially favorable terms should its cash requirements exceed cash available from operations, existing cash, and cash available under its credit facility. The Company may, from time to time, opportunistically repurchase its convertible senior notes, in open market or privately negotiated transactions, on terms it believes to be favorable.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Share-Based Compensation</w:t>
      </w:r>
    </w:p>
    <w:p>
      <w:pPr>
        <w:spacing w:after="0" w:line="285"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Total share-based compensation expense for the three and six month periods ended May 1, 2011, was $0.6 million and $1.1 million, respectively, as compared to $0.5 million and $1.0 million, respectively, for the comparable prior year periods, substantially all of which is in selling, general and administrative expenses. No compensation cost was capitalized as part of inventory, and no income tax benefit has been recorded. As of May 1, 2011, total unrecognized compensation cost of $5.5 million is expected to be recognized over a weighted-average amortization period of 3.0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5" w:lineRule="exact"/>
        <w:rPr>
          <w:sz w:val="20"/>
          <w:szCs w:val="20"/>
          <w:color w:val="auto"/>
        </w:rPr>
      </w:pPr>
    </w:p>
    <w:p>
      <w:pPr>
        <w:ind w:right="60" w:firstLine="270"/>
        <w:spacing w:after="0" w:line="288" w:lineRule="auto"/>
        <w:rPr>
          <w:sz w:val="20"/>
          <w:szCs w:val="20"/>
          <w:color w:val="auto"/>
        </w:rPr>
      </w:pPr>
      <w:r>
        <w:rPr>
          <w:rFonts w:ascii="Arial" w:cs="Arial" w:eastAsia="Arial" w:hAnsi="Arial"/>
          <w:sz w:val="16"/>
          <w:szCs w:val="16"/>
          <w:color w:val="auto"/>
        </w:rPr>
        <w:t>Under the operating agreement related to the MP Mask joint venture, in order to maintain its 49.99% interest,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percentage may be reduced. Cumulatively, through May 1, 2011, the Company has contributed $16.3 million to the joint venture, and has received distributions from the joint venture totaling $10.0 million. During the three and six month periods ended May 1, 2011, the Company increased its investment in MP Mask by $6.2 million and $10.2 million, respectively, primarily related to capital calls requested by the joint venture. The Company received no distributions from the joint venture during the six month period ended May 1, 2011. During the six month period ended May 2, 2010, there were no contributions made to the joint venture by the Company, and no distributions were received by the Company from the joint venture.</w:t>
      </w:r>
    </w:p>
    <w:p>
      <w:pPr>
        <w:spacing w:after="0" w:line="228"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On May 19, 2009, the Company and Micron Technologies, Inc. (Micron) entered into a new lease agreement for the U.S. nanoFab building and cancelled its prior lease agreement. The new lease, among other changes discussed in Note 4 to the condensed consolidated financial statements, extends the lease term from December 31, 2012 to December 31, 2014. The Company will account for it as an operating lease for the period of the lease extension. Rental payments due during the lease extension period total $13.9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85"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A majority of the Company's revenue growth is expected to come from the Asian region, as customers increase their use of manufacturing foundries located outside of North America and Europe. Additional revenue growth is also anticipated in North America as the Company benefits from advanced technology under its technology license with Micron. The Company's Korean and Taiwanese operations are non-wholly owned subsidiaries, therefore, a portion of earnings generated at each of these locations is allocated to noncontrolling interests.</w:t>
      </w:r>
    </w:p>
    <w:p>
      <w:pPr>
        <w:spacing w:after="0" w:line="251" w:lineRule="exact"/>
        <w:rPr>
          <w:sz w:val="20"/>
          <w:szCs w:val="20"/>
          <w:color w:val="auto"/>
        </w:rPr>
      </w:pPr>
    </w:p>
    <w:p>
      <w:pPr>
        <w:ind w:right="540" w:firstLine="270"/>
        <w:spacing w:after="0" w:line="335"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85"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See Note 15 of the condensed consolidated financial statements for a summary of recent accounting pronouncements that may affect the Company’s financial reporting.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5" w:lineRule="exact"/>
        <w:rPr>
          <w:sz w:val="20"/>
          <w:szCs w:val="20"/>
          <w:color w:val="auto"/>
        </w:rPr>
      </w:pPr>
    </w:p>
    <w:p>
      <w:pPr>
        <w:ind w:right="80" w:firstLine="270"/>
        <w:spacing w:after="0" w:line="289" w:lineRule="auto"/>
        <w:rPr>
          <w:sz w:val="20"/>
          <w:szCs w:val="20"/>
          <w:color w:val="auto"/>
        </w:rPr>
      </w:pPr>
      <w:r>
        <w:rPr>
          <w:rFonts w:ascii="Arial" w:cs="Arial" w:eastAsia="Arial" w:hAnsi="Arial"/>
          <w:sz w:val="16"/>
          <w:szCs w:val="16"/>
          <w:color w:val="auto"/>
        </w:rPr>
        <w:t>The Company records derivatives on the condensed consolidated balance sheets as assets or liabilities, measured at fair value. The Company does not engage in derivative instruments for speculative purposes. Gains or losses resulting from changes in the values of those derivatives are reported in the condensed consolidated statements of operations, or as accumulated other comprehensive income, a separate component of equity, depending on the use of the derivatives and whether they qualify for hedge accounting. In order to qualify for hedge accounting, among other criteria, the derivative must be a hedge of an interest rate, price, foreign currency exchange rate, or credit risk, that is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85"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assets, liabilities, and equity. The functional currencies of the Company's Asian subsidiaries are the Korean won, New Taiwan dollar, and the Singapore dollar. The functional currencies of the Company's European subsidiaries are the pound sterling and the euro.</w:t>
      </w:r>
    </w:p>
    <w:p>
      <w:pPr>
        <w:spacing w:after="0" w:line="25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certain recent years the Company experienced significant foreign exchange losses on these transactions.</w:t>
      </w:r>
    </w:p>
    <w:p>
      <w:pPr>
        <w:spacing w:after="0" w:line="224"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The Company's primary net foreign currency exposures as of May 1, 2011 included the Korean won, the Japanese yen, the Singapore dollar, the New Taiwan dollar, the British pound, and the euro. As of May 1, 2011, a 10% adverse movement in the value of these currencies against the U.S. dollar would have resulted in a net unrealized pre-tax loss of $2.8 million. The Company does not believe that a 10% change in the exchange rates of other non-U.S. dollar currencies would have a material effect on its consolidated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5" w:lineRule="exact"/>
        <w:rPr>
          <w:sz w:val="20"/>
          <w:szCs w:val="20"/>
          <w:color w:val="auto"/>
        </w:rPr>
      </w:pPr>
    </w:p>
    <w:p>
      <w:pPr>
        <w:ind w:right="180" w:firstLine="270"/>
        <w:spacing w:after="0" w:line="332" w:lineRule="auto"/>
        <w:rPr>
          <w:sz w:val="20"/>
          <w:szCs w:val="20"/>
          <w:color w:val="auto"/>
        </w:rPr>
      </w:pPr>
      <w:r>
        <w:rPr>
          <w:rFonts w:ascii="Arial" w:cs="Arial" w:eastAsia="Arial" w:hAnsi="Arial"/>
          <w:sz w:val="16"/>
          <w:szCs w:val="16"/>
          <w:color w:val="auto"/>
        </w:rPr>
        <w:t>At May 1, 2011, the Company did not have any variable rate borrowings. Accordingly, a change in interest rates would not have had a material effect on the Company's consolidated financial position, results of operations, or cash flows in the three or six month period ended May 1, 2011.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5"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26"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6"/>
          <w:szCs w:val="16"/>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5" w:lineRule="exact"/>
        <w:rPr>
          <w:sz w:val="20"/>
          <w:szCs w:val="20"/>
          <w:color w:val="auto"/>
        </w:rPr>
      </w:pPr>
    </w:p>
    <w:p>
      <w:pPr>
        <w:ind w:right="460" w:firstLine="27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Company's second quarter of fiscal 2011 that has materially affected, or is reasonably likely to materially affect, the Company's internal control over financial reporting.</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5"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October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85" w:lineRule="exact"/>
        <w:rPr>
          <w:sz w:val="20"/>
          <w:szCs w:val="20"/>
          <w:color w:val="auto"/>
        </w:rPr>
      </w:pPr>
    </w:p>
    <w:p>
      <w:pPr>
        <w:ind w:left="1020" w:hanging="472"/>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7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2"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Description</w:t>
      </w:r>
    </w:p>
    <w:p>
      <w:pPr>
        <w:spacing w:after="0" w:line="28" w:lineRule="exact"/>
        <w:rPr>
          <w:rFonts w:ascii="Arial" w:cs="Arial" w:eastAsia="Arial" w:hAnsi="Arial"/>
          <w:sz w:val="18"/>
          <w:szCs w:val="18"/>
          <w:color w:val="auto"/>
        </w:rPr>
      </w:pPr>
    </w:p>
    <w:p>
      <w:pPr>
        <w:ind w:left="1920" w:right="520" w:hanging="899"/>
        <w:spacing w:after="0" w:line="268"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Indenture dated March 28, 2011 between the Company and Bank of Nova Scotia Trust Company of New York (incorporated by reference to Exhibit 4.1 of the Company's Current Report on Form 8-K filed on March 29,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26155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1556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shd w:val="clear" w:color="auto" w:fill="C0C0C0"/>
          </w:tcPr>
          <w:p>
            <w:pPr>
              <w:ind w:left="1020"/>
              <w:spacing w:after="0"/>
              <w:rPr>
                <w:sz w:val="20"/>
                <w:szCs w:val="20"/>
                <w:color w:val="auto"/>
              </w:rPr>
            </w:pPr>
            <w:r>
              <w:rPr>
                <w:rFonts w:ascii="Arial" w:cs="Arial" w:eastAsia="Arial" w:hAnsi="Arial"/>
                <w:sz w:val="18"/>
                <w:szCs w:val="18"/>
                <w:color w:val="auto"/>
              </w:rPr>
              <w:t>4.6</w:t>
            </w: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w w:val="92"/>
              </w:rPr>
              <w:t>First Supplemental Indenture dated April 27, 2011 between the Company and Bank of Nova Scotia Trust Company of New York.</w:t>
            </w:r>
          </w:p>
        </w:tc>
      </w:tr>
      <w:tr>
        <w:trPr>
          <w:trHeight w:val="243"/>
        </w:trPr>
        <w:tc>
          <w:tcPr>
            <w:tcW w:w="1680" w:type="dxa"/>
            <w:vAlign w:val="bottom"/>
          </w:tcPr>
          <w:p>
            <w:pPr>
              <w:spacing w:after="0"/>
              <w:rPr>
                <w:sz w:val="21"/>
                <w:szCs w:val="21"/>
                <w:color w:val="auto"/>
              </w:rPr>
            </w:pPr>
          </w:p>
        </w:tc>
        <w:tc>
          <w:tcPr>
            <w:tcW w:w="9740" w:type="dxa"/>
            <w:vAlign w:val="bottom"/>
          </w:tcPr>
          <w:p>
            <w:pPr>
              <w:spacing w:after="0"/>
              <w:rPr>
                <w:sz w:val="21"/>
                <w:szCs w:val="21"/>
                <w:color w:val="auto"/>
              </w:rPr>
            </w:pPr>
          </w:p>
        </w:tc>
      </w:tr>
      <w:tr>
        <w:trPr>
          <w:trHeight w:val="243"/>
        </w:trPr>
        <w:tc>
          <w:tcPr>
            <w:tcW w:w="1680" w:type="dxa"/>
            <w:vAlign w:val="bottom"/>
            <w:shd w:val="clear" w:color="auto" w:fill="C0C0C0"/>
          </w:tcPr>
          <w:p>
            <w:pPr>
              <w:ind w:left="1020"/>
              <w:spacing w:after="0"/>
              <w:rPr>
                <w:sz w:val="20"/>
                <w:szCs w:val="20"/>
                <w:color w:val="auto"/>
              </w:rPr>
            </w:pPr>
            <w:r>
              <w:rPr>
                <w:rFonts w:ascii="Arial" w:cs="Arial" w:eastAsia="Arial" w:hAnsi="Arial"/>
                <w:sz w:val="18"/>
                <w:szCs w:val="18"/>
                <w:color w:val="auto"/>
              </w:rPr>
              <w:t>10.40</w:t>
            </w: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rPr>
              <w:t>Executive Employment Agreement between the Company and Soo Hong Jeong dated May 31, 2011.</w:t>
            </w:r>
          </w:p>
        </w:tc>
      </w:tr>
      <w:tr>
        <w:trPr>
          <w:trHeight w:val="243"/>
        </w:trPr>
        <w:tc>
          <w:tcPr>
            <w:tcW w:w="1680" w:type="dxa"/>
            <w:vAlign w:val="bottom"/>
          </w:tcPr>
          <w:p>
            <w:pPr>
              <w:spacing w:after="0"/>
              <w:rPr>
                <w:sz w:val="21"/>
                <w:szCs w:val="21"/>
                <w:color w:val="auto"/>
              </w:rPr>
            </w:pPr>
          </w:p>
        </w:tc>
        <w:tc>
          <w:tcPr>
            <w:tcW w:w="9740" w:type="dxa"/>
            <w:vAlign w:val="bottom"/>
          </w:tcPr>
          <w:p>
            <w:pPr>
              <w:spacing w:after="0"/>
              <w:rPr>
                <w:sz w:val="21"/>
                <w:szCs w:val="21"/>
                <w:color w:val="auto"/>
              </w:rPr>
            </w:pPr>
          </w:p>
        </w:tc>
      </w:tr>
      <w:tr>
        <w:trPr>
          <w:trHeight w:val="208"/>
        </w:trPr>
        <w:tc>
          <w:tcPr>
            <w:tcW w:w="1680" w:type="dxa"/>
            <w:vAlign w:val="bottom"/>
            <w:shd w:val="clear" w:color="auto" w:fill="C0C0C0"/>
          </w:tcPr>
          <w:p>
            <w:pPr>
              <w:ind w:left="1020"/>
              <w:spacing w:after="0"/>
              <w:rPr>
                <w:sz w:val="20"/>
                <w:szCs w:val="20"/>
                <w:color w:val="auto"/>
              </w:rPr>
            </w:pPr>
            <w:r>
              <w:rPr>
                <w:rFonts w:ascii="Arial" w:cs="Arial" w:eastAsia="Arial" w:hAnsi="Arial"/>
                <w:sz w:val="18"/>
                <w:szCs w:val="18"/>
                <w:color w:val="auto"/>
              </w:rPr>
              <w:t>31.1</w:t>
            </w: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w w:val="92"/>
              </w:rPr>
              <w:t>Certification of Chief Executive Officer pursuant to Rule 13a-14(a)/15d-14(a) of the Securities Exchange Act of 1934, as adopted</w:t>
            </w:r>
          </w:p>
        </w:tc>
      </w:tr>
      <w:tr>
        <w:trPr>
          <w:trHeight w:val="224"/>
        </w:trPr>
        <w:tc>
          <w:tcPr>
            <w:tcW w:w="1680" w:type="dxa"/>
            <w:vAlign w:val="bottom"/>
            <w:shd w:val="clear" w:color="auto" w:fill="C0C0C0"/>
          </w:tcPr>
          <w:p>
            <w:pPr>
              <w:spacing w:after="0"/>
              <w:rPr>
                <w:sz w:val="19"/>
                <w:szCs w:val="19"/>
                <w:color w:val="auto"/>
              </w:rPr>
            </w:pP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43"/>
        </w:trPr>
        <w:tc>
          <w:tcPr>
            <w:tcW w:w="1680" w:type="dxa"/>
            <w:vAlign w:val="bottom"/>
          </w:tcPr>
          <w:p>
            <w:pPr>
              <w:spacing w:after="0"/>
              <w:rPr>
                <w:sz w:val="21"/>
                <w:szCs w:val="21"/>
                <w:color w:val="auto"/>
              </w:rPr>
            </w:pPr>
          </w:p>
        </w:tc>
        <w:tc>
          <w:tcPr>
            <w:tcW w:w="9740" w:type="dxa"/>
            <w:vAlign w:val="bottom"/>
          </w:tcPr>
          <w:p>
            <w:pPr>
              <w:spacing w:after="0"/>
              <w:rPr>
                <w:sz w:val="21"/>
                <w:szCs w:val="21"/>
                <w:color w:val="auto"/>
              </w:rPr>
            </w:pPr>
          </w:p>
        </w:tc>
      </w:tr>
      <w:tr>
        <w:trPr>
          <w:trHeight w:val="208"/>
        </w:trPr>
        <w:tc>
          <w:tcPr>
            <w:tcW w:w="1680" w:type="dxa"/>
            <w:vAlign w:val="bottom"/>
            <w:shd w:val="clear" w:color="auto" w:fill="C0C0C0"/>
          </w:tcPr>
          <w:p>
            <w:pPr>
              <w:ind w:left="1020"/>
              <w:spacing w:after="0"/>
              <w:rPr>
                <w:sz w:val="20"/>
                <w:szCs w:val="20"/>
                <w:color w:val="auto"/>
              </w:rPr>
            </w:pPr>
            <w:r>
              <w:rPr>
                <w:rFonts w:ascii="Arial" w:cs="Arial" w:eastAsia="Arial" w:hAnsi="Arial"/>
                <w:sz w:val="18"/>
                <w:szCs w:val="18"/>
                <w:color w:val="auto"/>
              </w:rPr>
              <w:t>31.2</w:t>
            </w: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w w:val="93"/>
              </w:rPr>
              <w:t>Certification of Chief Financial Officer pursuant to Rule 13a-14(a)/15d-14(a) of the Securities Exchange Act of 1934, as adopted</w:t>
            </w:r>
          </w:p>
        </w:tc>
      </w:tr>
      <w:tr>
        <w:trPr>
          <w:trHeight w:val="224"/>
        </w:trPr>
        <w:tc>
          <w:tcPr>
            <w:tcW w:w="1680" w:type="dxa"/>
            <w:vAlign w:val="bottom"/>
            <w:shd w:val="clear" w:color="auto" w:fill="C0C0C0"/>
          </w:tcPr>
          <w:p>
            <w:pPr>
              <w:spacing w:after="0"/>
              <w:rPr>
                <w:sz w:val="19"/>
                <w:szCs w:val="19"/>
                <w:color w:val="auto"/>
              </w:rPr>
            </w:pP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43"/>
        </w:trPr>
        <w:tc>
          <w:tcPr>
            <w:tcW w:w="1680" w:type="dxa"/>
            <w:vAlign w:val="bottom"/>
          </w:tcPr>
          <w:p>
            <w:pPr>
              <w:spacing w:after="0"/>
              <w:rPr>
                <w:sz w:val="21"/>
                <w:szCs w:val="21"/>
                <w:color w:val="auto"/>
              </w:rPr>
            </w:pPr>
          </w:p>
        </w:tc>
        <w:tc>
          <w:tcPr>
            <w:tcW w:w="9740" w:type="dxa"/>
            <w:vAlign w:val="bottom"/>
          </w:tcPr>
          <w:p>
            <w:pPr>
              <w:spacing w:after="0"/>
              <w:rPr>
                <w:sz w:val="21"/>
                <w:szCs w:val="21"/>
                <w:color w:val="auto"/>
              </w:rPr>
            </w:pPr>
          </w:p>
        </w:tc>
      </w:tr>
      <w:tr>
        <w:trPr>
          <w:trHeight w:val="208"/>
        </w:trPr>
        <w:tc>
          <w:tcPr>
            <w:tcW w:w="1680" w:type="dxa"/>
            <w:vAlign w:val="bottom"/>
            <w:shd w:val="clear" w:color="auto" w:fill="C0C0C0"/>
          </w:tcPr>
          <w:p>
            <w:pPr>
              <w:ind w:left="1020"/>
              <w:spacing w:after="0"/>
              <w:rPr>
                <w:sz w:val="20"/>
                <w:szCs w:val="20"/>
                <w:color w:val="auto"/>
              </w:rPr>
            </w:pPr>
            <w:r>
              <w:rPr>
                <w:rFonts w:ascii="Arial" w:cs="Arial" w:eastAsia="Arial" w:hAnsi="Arial"/>
                <w:sz w:val="18"/>
                <w:szCs w:val="18"/>
                <w:color w:val="auto"/>
              </w:rPr>
              <w:t>32.1</w:t>
            </w: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906 of the Sarbanes-Oxley</w:t>
            </w:r>
          </w:p>
        </w:tc>
      </w:tr>
      <w:tr>
        <w:trPr>
          <w:trHeight w:val="224"/>
        </w:trPr>
        <w:tc>
          <w:tcPr>
            <w:tcW w:w="1680" w:type="dxa"/>
            <w:vAlign w:val="bottom"/>
            <w:shd w:val="clear" w:color="auto" w:fill="C0C0C0"/>
          </w:tcPr>
          <w:p>
            <w:pPr>
              <w:spacing w:after="0"/>
              <w:rPr>
                <w:sz w:val="19"/>
                <w:szCs w:val="19"/>
                <w:color w:val="auto"/>
              </w:rPr>
            </w:pP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rPr>
              <w:t>Act of 2002.</w:t>
            </w:r>
          </w:p>
        </w:tc>
      </w:tr>
      <w:tr>
        <w:trPr>
          <w:trHeight w:val="243"/>
        </w:trPr>
        <w:tc>
          <w:tcPr>
            <w:tcW w:w="1680" w:type="dxa"/>
            <w:vAlign w:val="bottom"/>
          </w:tcPr>
          <w:p>
            <w:pPr>
              <w:spacing w:after="0"/>
              <w:rPr>
                <w:sz w:val="21"/>
                <w:szCs w:val="21"/>
                <w:color w:val="auto"/>
              </w:rPr>
            </w:pPr>
          </w:p>
        </w:tc>
        <w:tc>
          <w:tcPr>
            <w:tcW w:w="9740" w:type="dxa"/>
            <w:vAlign w:val="bottom"/>
          </w:tcPr>
          <w:p>
            <w:pPr>
              <w:spacing w:after="0"/>
              <w:rPr>
                <w:sz w:val="21"/>
                <w:szCs w:val="21"/>
                <w:color w:val="auto"/>
              </w:rPr>
            </w:pPr>
          </w:p>
        </w:tc>
      </w:tr>
      <w:tr>
        <w:trPr>
          <w:trHeight w:val="208"/>
        </w:trPr>
        <w:tc>
          <w:tcPr>
            <w:tcW w:w="1680" w:type="dxa"/>
            <w:vAlign w:val="bottom"/>
            <w:shd w:val="clear" w:color="auto" w:fill="C0C0C0"/>
          </w:tcPr>
          <w:p>
            <w:pPr>
              <w:ind w:left="1020"/>
              <w:spacing w:after="0"/>
              <w:rPr>
                <w:sz w:val="20"/>
                <w:szCs w:val="20"/>
                <w:color w:val="auto"/>
              </w:rPr>
            </w:pPr>
            <w:r>
              <w:rPr>
                <w:rFonts w:ascii="Arial" w:cs="Arial" w:eastAsia="Arial" w:hAnsi="Arial"/>
                <w:sz w:val="18"/>
                <w:szCs w:val="18"/>
                <w:color w:val="auto"/>
              </w:rPr>
              <w:t>32.2</w:t>
            </w: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w:t>
            </w:r>
          </w:p>
        </w:tc>
      </w:tr>
      <w:tr>
        <w:trPr>
          <w:trHeight w:val="224"/>
        </w:trPr>
        <w:tc>
          <w:tcPr>
            <w:tcW w:w="1680" w:type="dxa"/>
            <w:vAlign w:val="bottom"/>
            <w:shd w:val="clear" w:color="auto" w:fill="C0C0C0"/>
          </w:tcPr>
          <w:p>
            <w:pPr>
              <w:spacing w:after="0"/>
              <w:rPr>
                <w:sz w:val="19"/>
                <w:szCs w:val="19"/>
                <w:color w:val="auto"/>
              </w:rPr>
            </w:pPr>
          </w:p>
        </w:tc>
        <w:tc>
          <w:tcPr>
            <w:tcW w:w="9740" w:type="dxa"/>
            <w:vAlign w:val="bottom"/>
            <w:shd w:val="clear" w:color="auto" w:fill="C0C0C0"/>
          </w:tcPr>
          <w:p>
            <w:pPr>
              <w:ind w:left="240"/>
              <w:spacing w:after="0"/>
              <w:rPr>
                <w:sz w:val="20"/>
                <w:szCs w:val="20"/>
                <w:color w:val="auto"/>
              </w:rPr>
            </w:pPr>
            <w:r>
              <w:rPr>
                <w:rFonts w:ascii="Arial" w:cs="Arial" w:eastAsia="Arial" w:hAnsi="Arial"/>
                <w:sz w:val="18"/>
                <w:szCs w:val="18"/>
                <w:color w:val="auto"/>
              </w:rPr>
              <w:t>Act of 2002.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85"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Photronics, Inc.</w:t>
      </w:r>
    </w:p>
    <w:p>
      <w:pPr>
        <w:spacing w:after="0" w:line="36"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(Registrant)</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19685</wp:posOffset>
            </wp:positionV>
            <wp:extent cx="13290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Senior Vice President</w:t>
      </w:r>
    </w:p>
    <w:p>
      <w:pPr>
        <w:spacing w:after="0" w:line="36"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(Duly Authorized Officer and</w:t>
      </w:r>
    </w:p>
    <w:p>
      <w:pPr>
        <w:spacing w:after="0" w:line="36" w:lineRule="exact"/>
        <w:rPr>
          <w:sz w:val="20"/>
          <w:szCs w:val="20"/>
          <w:color w:val="auto"/>
        </w:rPr>
      </w:pPr>
    </w:p>
    <w:p>
      <w:pPr>
        <w:jc w:val="center"/>
        <w:ind w:right="826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FIRST SUPPLEMENTAL INDENTURE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April 27, 2011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3.25% Convertible Senior Notes due 2016</w:t>
      </w:r>
    </w:p>
    <w:p>
      <w:pPr>
        <w:spacing w:after="0" w:line="275" w:lineRule="exact"/>
        <w:rPr>
          <w:sz w:val="20"/>
          <w:szCs w:val="20"/>
          <w:color w:val="auto"/>
        </w:rPr>
      </w:pPr>
    </w:p>
    <w:p>
      <w:pPr>
        <w:ind w:right="380" w:firstLine="270"/>
        <w:spacing w:after="0" w:line="282" w:lineRule="auto"/>
        <w:rPr>
          <w:sz w:val="20"/>
          <w:szCs w:val="20"/>
          <w:color w:val="auto"/>
        </w:rPr>
      </w:pPr>
      <w:r>
        <w:rPr>
          <w:rFonts w:ascii="Arial" w:cs="Arial" w:eastAsia="Arial" w:hAnsi="Arial"/>
          <w:sz w:val="18"/>
          <w:szCs w:val="18"/>
          <w:color w:val="auto"/>
        </w:rPr>
        <w:t>FIRST SUPPLEMENTAL INDENTURE, dated as of April 27, 2011, between Photronics, Inc., a Connecticut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Nova Scotia Trust Company of New York,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269" w:lineRule="exact"/>
        <w:rPr>
          <w:sz w:val="20"/>
          <w:szCs w:val="20"/>
          <w:color w:val="auto"/>
        </w:rPr>
      </w:pPr>
    </w:p>
    <w:p>
      <w:pPr>
        <w:ind w:right="140" w:firstLine="270"/>
        <w:spacing w:after="0" w:line="266" w:lineRule="auto"/>
        <w:rPr>
          <w:sz w:val="20"/>
          <w:szCs w:val="20"/>
          <w:color w:val="auto"/>
        </w:rPr>
      </w:pPr>
      <w:r>
        <w:rPr>
          <w:rFonts w:ascii="Arial" w:cs="Arial" w:eastAsia="Arial" w:hAnsi="Arial"/>
          <w:sz w:val="18"/>
          <w:szCs w:val="18"/>
          <w:color w:val="auto"/>
        </w:rPr>
        <w:t>WHEREAS, the Company and the Trustee have executed and delivered an Indenture, dated as of March 28, 2011 (the “</w:t>
      </w:r>
      <w:r>
        <w:rPr>
          <w:rFonts w:ascii="Arial" w:cs="Arial" w:eastAsia="Arial" w:hAnsi="Arial"/>
          <w:sz w:val="18"/>
          <w:szCs w:val="18"/>
          <w:b w:val="1"/>
          <w:bCs w:val="1"/>
          <w:color w:val="auto"/>
        </w:rPr>
        <w:t>Indenture</w:t>
      </w:r>
      <w:r>
        <w:rPr>
          <w:rFonts w:ascii="Arial" w:cs="Arial" w:eastAsia="Arial" w:hAnsi="Arial"/>
          <w:sz w:val="18"/>
          <w:szCs w:val="18"/>
          <w:color w:val="auto"/>
        </w:rPr>
        <w:t>”), to provide for the issuance of 3.25% Convertible Senior Notes due 2016 of the Company (the “Notes”), initially in an aggregate principal amount not to exceed $115,000,000; and</w:t>
      </w:r>
    </w:p>
    <w:p>
      <w:pPr>
        <w:spacing w:after="0" w:line="207"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WHEREAS, Section 10.01(g) of the Indenture permits execution of supplemental indentures without the consent of any Holder for the purpose of changing any of the provisions of the Indenture;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that such change does not adversely affect the rights of any Holder; and</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WHEREAS, the entry into this First Supplemental Indenture by the parties hereto is authorized by the provisions of the Indenture;</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NOW, THEREFORE, the Company and the Trustee mutually covenant and agree, for the equal and proportionate benefit of the respective Holders, as follows: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ELATION</w:t>
      </w:r>
      <w:r>
        <w:rPr>
          <w:rFonts w:ascii="Arial" w:cs="Arial" w:eastAsia="Arial" w:hAnsi="Arial"/>
          <w:sz w:val="18"/>
          <w:szCs w:val="18"/>
          <w:color w:val="auto"/>
        </w:rPr>
        <w:t xml:space="preserve"> T</w:t>
      </w:r>
      <w:r>
        <w:rPr>
          <w:rFonts w:ascii="Arial" w:cs="Arial" w:eastAsia="Arial" w:hAnsi="Arial"/>
          <w:sz w:val="13"/>
          <w:szCs w:val="13"/>
          <w:color w:val="auto"/>
        </w:rPr>
        <w:t>O</w:t>
      </w:r>
      <w:r>
        <w:rPr>
          <w:rFonts w:ascii="Arial" w:cs="Arial" w:eastAsia="Arial" w:hAnsi="Arial"/>
          <w:sz w:val="18"/>
          <w:szCs w:val="18"/>
          <w:color w:val="auto"/>
        </w:rPr>
        <w:t xml:space="preserve"> T</w:t>
      </w:r>
      <w:r>
        <w:rPr>
          <w:rFonts w:ascii="Arial" w:cs="Arial" w:eastAsia="Arial" w:hAnsi="Arial"/>
          <w:sz w:val="13"/>
          <w:szCs w:val="13"/>
          <w:color w:val="auto"/>
        </w:rPr>
        <w:t>HE</w:t>
      </w:r>
      <w:r>
        <w:rPr>
          <w:rFonts w:ascii="Arial" w:cs="Arial" w:eastAsia="Arial" w:hAnsi="Arial"/>
          <w:sz w:val="18"/>
          <w:szCs w:val="18"/>
          <w:color w:val="auto"/>
        </w:rPr>
        <w:t xml:space="preserve"> I</w:t>
      </w:r>
      <w:r>
        <w:rPr>
          <w:rFonts w:ascii="Arial" w:cs="Arial" w:eastAsia="Arial" w:hAnsi="Arial"/>
          <w:sz w:val="13"/>
          <w:szCs w:val="13"/>
          <w:color w:val="auto"/>
        </w:rPr>
        <w:t>NDENTURE</w:t>
      </w:r>
      <w:r>
        <w:rPr>
          <w:rFonts w:ascii="Arial" w:cs="Arial" w:eastAsia="Arial" w:hAnsi="Arial"/>
          <w:sz w:val="18"/>
          <w:szCs w:val="18"/>
          <w:color w:val="auto"/>
        </w:rPr>
        <w:t>; D</w:t>
      </w:r>
      <w:r>
        <w:rPr>
          <w:rFonts w:ascii="Arial" w:cs="Arial" w:eastAsia="Arial" w:hAnsi="Arial"/>
          <w:sz w:val="13"/>
          <w:szCs w:val="13"/>
          <w:color w:val="auto"/>
        </w:rPr>
        <w:t>EFINITIONS</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Relation to the Indenture.</w:t>
      </w:r>
      <w:r>
        <w:rPr>
          <w:rFonts w:ascii="Arial" w:cs="Arial" w:eastAsia="Arial" w:hAnsi="Arial"/>
          <w:sz w:val="18"/>
          <w:szCs w:val="18"/>
          <w:color w:val="auto"/>
        </w:rPr>
        <w:t xml:space="preserve"> This First Supplemental Indenture constitutes an integral part of the Indenture.</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Section 1.02</w:t>
      </w:r>
      <w:r>
        <w:rPr>
          <w:rFonts w:ascii="Arial" w:cs="Arial" w:eastAsia="Arial" w:hAnsi="Arial"/>
          <w:sz w:val="16"/>
          <w:szCs w:val="16"/>
          <w:i w:val="1"/>
          <w:iCs w:val="1"/>
          <w:color w:val="auto"/>
        </w:rPr>
        <w:t>. Definitions.</w:t>
      </w:r>
      <w:r>
        <w:rPr>
          <w:rFonts w:ascii="Arial" w:cs="Arial" w:eastAsia="Arial" w:hAnsi="Arial"/>
          <w:sz w:val="16"/>
          <w:szCs w:val="16"/>
          <w:color w:val="auto"/>
        </w:rPr>
        <w:t xml:space="preserve"> Capitalized terms used herein and not otherwise defined herein shall have the meanings ascribed to such terms in the Indenture.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w:t>
      </w:r>
      <w:r>
        <w:rPr>
          <w:rFonts w:ascii="Arial" w:cs="Arial" w:eastAsia="Arial" w:hAnsi="Arial"/>
          <w:sz w:val="13"/>
          <w:szCs w:val="13"/>
          <w:color w:val="auto"/>
        </w:rPr>
        <w:t>MENDMENT OF THE</w:t>
      </w:r>
      <w:r>
        <w:rPr>
          <w:rFonts w:ascii="Arial" w:cs="Arial" w:eastAsia="Arial" w:hAnsi="Arial"/>
          <w:sz w:val="18"/>
          <w:szCs w:val="18"/>
          <w:color w:val="auto"/>
        </w:rPr>
        <w:t xml:space="preserve"> I</w:t>
      </w:r>
      <w:r>
        <w:rPr>
          <w:rFonts w:ascii="Arial" w:cs="Arial" w:eastAsia="Arial" w:hAnsi="Arial"/>
          <w:sz w:val="13"/>
          <w:szCs w:val="13"/>
          <w:color w:val="auto"/>
        </w:rPr>
        <w:t>NDENTURE</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i w:val="1"/>
          <w:iCs w:val="1"/>
          <w:color w:val="auto"/>
        </w:rPr>
        <w:t>Amendment to Article 14 of the Indenture.</w:t>
      </w:r>
      <w:r>
        <w:rPr>
          <w:rFonts w:ascii="Arial" w:cs="Arial" w:eastAsia="Arial" w:hAnsi="Arial"/>
          <w:sz w:val="17"/>
          <w:szCs w:val="17"/>
          <w:color w:val="auto"/>
        </w:rPr>
        <w:t xml:space="preserve"> Article 14 of the Indenture is hereby amended by inserting the following new Section 14.12:</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14.12. </w:t>
      </w:r>
      <w:r>
        <w:rPr>
          <w:rFonts w:ascii="Arial" w:cs="Arial" w:eastAsia="Arial" w:hAnsi="Arial"/>
          <w:sz w:val="18"/>
          <w:szCs w:val="18"/>
          <w:i w:val="1"/>
          <w:iCs w:val="1"/>
          <w:color w:val="auto"/>
        </w:rPr>
        <w:t>Limitation on Issuance of Common Stock</w:t>
      </w:r>
      <w:r>
        <w:rPr>
          <w:rFonts w:ascii="Arial" w:cs="Arial" w:eastAsia="Arial" w:hAnsi="Arial"/>
          <w:sz w:val="18"/>
          <w:szCs w:val="18"/>
          <w:color w:val="auto"/>
        </w:rPr>
        <w:t>.</w:t>
      </w:r>
    </w:p>
    <w:p>
      <w:pPr>
        <w:spacing w:after="0" w:line="252" w:lineRule="exact"/>
        <w:rPr>
          <w:sz w:val="20"/>
          <w:szCs w:val="20"/>
          <w:color w:val="auto"/>
        </w:rPr>
      </w:pPr>
    </w:p>
    <w:p>
      <w:pPr>
        <w:ind w:firstLine="8"/>
        <w:spacing w:after="0" w:line="257" w:lineRule="auto"/>
        <w:tabs>
          <w:tab w:leader="none" w:pos="239"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unless the Company shall have received the shareholder approval described in Section 14.12(c) (which the Company shall have no obligation to seek), the Company shall not issue any shares of Common Stock upon a conversion of Notes pursuant to this Indenture if, after giving effect to such conversion, the aggregate number of shares of Common Stock issued pursuant to this Indenture, after adjusting any previous conversions for the Conversion Rate as then in effect (collectively, the “</w:t>
      </w:r>
      <w:r>
        <w:rPr>
          <w:rFonts w:ascii="Arial" w:cs="Arial" w:eastAsia="Arial" w:hAnsi="Arial"/>
          <w:sz w:val="18"/>
          <w:szCs w:val="18"/>
          <w:b w:val="1"/>
          <w:bCs w:val="1"/>
          <w:color w:val="auto"/>
        </w:rPr>
        <w:t>Indenture Shares</w:t>
      </w:r>
      <w:r>
        <w:rPr>
          <w:rFonts w:ascii="Arial" w:cs="Arial" w:eastAsia="Arial" w:hAnsi="Arial"/>
          <w:sz w:val="18"/>
          <w:szCs w:val="18"/>
          <w:color w:val="auto"/>
        </w:rPr>
        <w:t>”), would exceed the “</w:t>
      </w:r>
      <w:r>
        <w:rPr>
          <w:rFonts w:ascii="Arial" w:cs="Arial" w:eastAsia="Arial" w:hAnsi="Arial"/>
          <w:sz w:val="18"/>
          <w:szCs w:val="18"/>
          <w:b w:val="1"/>
          <w:bCs w:val="1"/>
          <w:color w:val="auto"/>
        </w:rPr>
        <w:t>Maximum Shares</w:t>
      </w:r>
      <w:r>
        <w:rPr>
          <w:rFonts w:ascii="Arial" w:cs="Arial" w:eastAsia="Arial" w:hAnsi="Arial"/>
          <w:sz w:val="18"/>
          <w:szCs w:val="18"/>
          <w:color w:val="auto"/>
        </w:rPr>
        <w:t>” as calculated on the Conversion Date for such Notes by the following formula:</w:t>
      </w:r>
    </w:p>
    <w:p>
      <w:pPr>
        <w:spacing w:after="0" w:line="133" w:lineRule="exact"/>
        <w:rPr>
          <w:sz w:val="20"/>
          <w:szCs w:val="20"/>
          <w:color w:val="auto"/>
        </w:rPr>
      </w:pPr>
    </w:p>
    <w:p>
      <w:pPr>
        <w:spacing w:after="0"/>
        <w:tabs>
          <w:tab w:leader="none" w:pos="740" w:val="left"/>
          <w:tab w:leader="none" w:pos="1580" w:val="left"/>
          <w:tab w:leader="none" w:pos="2360" w:val="left"/>
        </w:tabs>
        <w:rPr>
          <w:sz w:val="20"/>
          <w:szCs w:val="20"/>
          <w:color w:val="auto"/>
        </w:rPr>
      </w:pPr>
      <w:r>
        <w:rPr>
          <w:rFonts w:ascii="Arial" w:cs="Arial" w:eastAsia="Arial" w:hAnsi="Arial"/>
          <w:sz w:val="18"/>
          <w:szCs w:val="18"/>
          <w:color w:val="auto"/>
        </w:rPr>
        <w:t>MS =</w:t>
      </w:r>
      <w:r>
        <w:rPr>
          <w:sz w:val="20"/>
          <w:szCs w:val="20"/>
          <w:color w:val="auto"/>
        </w:rPr>
        <w:tab/>
      </w:r>
      <w:r>
        <w:rPr>
          <w:rFonts w:ascii="Arial" w:cs="Arial" w:eastAsia="Arial" w:hAnsi="Arial"/>
          <w:sz w:val="18"/>
          <w:szCs w:val="18"/>
          <w:color w:val="auto"/>
        </w:rPr>
        <w:t>0.1999</w:t>
      </w:r>
      <w:r>
        <w:rPr>
          <w:sz w:val="20"/>
          <w:szCs w:val="20"/>
          <w:color w:val="auto"/>
        </w:rPr>
        <w:tab/>
      </w:r>
      <w:r>
        <w:rPr>
          <w:rFonts w:ascii="Arial" w:cs="Arial" w:eastAsia="Arial" w:hAnsi="Arial"/>
          <w:sz w:val="18"/>
          <w:szCs w:val="18"/>
          <w:color w:val="auto"/>
        </w:rPr>
        <w:t>(OS x</w:t>
      </w:r>
      <w:r>
        <w:rPr>
          <w:sz w:val="20"/>
          <w:szCs w:val="20"/>
          <w:color w:val="auto"/>
        </w:rPr>
        <w:tab/>
      </w:r>
      <w:r>
        <w:rPr>
          <w:rFonts w:ascii="Arial" w:cs="Arial" w:eastAsia="Arial" w:hAnsi="Arial"/>
          <w:sz w:val="15"/>
          <w:szCs w:val="15"/>
          <w:u w:val="single" w:color="auto"/>
          <w:color w:val="auto"/>
        </w:rPr>
        <w:t>CR</w:t>
      </w:r>
      <w:r>
        <w:rPr>
          <w:rFonts w:ascii="Arial" w:cs="Arial" w:eastAsia="Arial" w:hAnsi="Arial"/>
          <w:sz w:val="22"/>
          <w:szCs w:val="22"/>
          <w:u w:val="single" w:color="auto"/>
          <w:color w:val="auto"/>
          <w:vertAlign w:val="subscript"/>
        </w:rPr>
        <w:t>1</w:t>
      </w:r>
    </w:p>
    <w:p>
      <w:pPr>
        <w:spacing w:after="0" w:line="32"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CR</w:t>
      </w:r>
      <w:r>
        <w:rPr>
          <w:rFonts w:ascii="Arial" w:cs="Arial" w:eastAsia="Arial" w:hAnsi="Arial"/>
          <w:sz w:val="27"/>
          <w:szCs w:val="27"/>
          <w:color w:val="auto"/>
          <w:vertAlign w:val="subscript"/>
        </w:rPr>
        <w:t>0</w:t>
      </w:r>
      <w:r>
        <w:rPr>
          <w:rFonts w:ascii="Arial" w:cs="Arial" w:eastAsia="Arial" w:hAnsi="Arial"/>
          <w:sz w:val="18"/>
          <w:szCs w:val="18"/>
          <w:color w:val="auto"/>
        </w:rPr>
        <w:t xml:space="preserve"> )</w:t>
      </w:r>
    </w:p>
    <w:p>
      <w:pPr>
        <w:spacing w:after="0" w:line="2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where,</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MS = the Maximum Shares</w:t>
      </w:r>
    </w:p>
    <w:p>
      <w:pPr>
        <w:spacing w:after="0" w:line="36" w:lineRule="exact"/>
        <w:rPr>
          <w:sz w:val="20"/>
          <w:szCs w:val="20"/>
          <w:color w:val="auto"/>
        </w:rPr>
      </w:pPr>
    </w:p>
    <w:p>
      <w:pPr>
        <w:ind w:left="540" w:right="3520"/>
        <w:spacing w:after="0" w:line="239" w:lineRule="auto"/>
        <w:rPr>
          <w:sz w:val="20"/>
          <w:szCs w:val="20"/>
          <w:color w:val="auto"/>
        </w:rPr>
      </w:pPr>
      <w:r>
        <w:rPr>
          <w:rFonts w:ascii="Arial" w:cs="Arial" w:eastAsia="Arial" w:hAnsi="Arial"/>
          <w:sz w:val="17"/>
          <w:szCs w:val="17"/>
          <w:color w:val="auto"/>
        </w:rPr>
        <w:t>OS = the number of shares of Common Stock outstanding on the date of the initial issuance of the Notes CR</w:t>
      </w:r>
      <w:r>
        <w:rPr>
          <w:rFonts w:ascii="Arial" w:cs="Arial" w:eastAsia="Arial" w:hAnsi="Arial"/>
          <w:sz w:val="26"/>
          <w:szCs w:val="26"/>
          <w:color w:val="auto"/>
          <w:vertAlign w:val="subscript"/>
        </w:rPr>
        <w:t>0</w:t>
      </w:r>
      <w:r>
        <w:rPr>
          <w:rFonts w:ascii="Arial" w:cs="Arial" w:eastAsia="Arial" w:hAnsi="Arial"/>
          <w:sz w:val="17"/>
          <w:szCs w:val="17"/>
          <w:color w:val="auto"/>
        </w:rPr>
        <w:t xml:space="preserve"> = the Conversion Rate in effect on the date of the initial issuance of the Notes</w:t>
      </w:r>
    </w:p>
    <w:p>
      <w:pPr>
        <w:ind w:left="540"/>
        <w:spacing w:after="0" w:line="199" w:lineRule="auto"/>
        <w:rPr>
          <w:sz w:val="20"/>
          <w:szCs w:val="20"/>
          <w:color w:val="auto"/>
        </w:rPr>
      </w:pPr>
      <w:r>
        <w:rPr>
          <w:rFonts w:ascii="Arial" w:cs="Arial" w:eastAsia="Arial" w:hAnsi="Arial"/>
          <w:sz w:val="18"/>
          <w:szCs w:val="18"/>
          <w:color w:val="auto"/>
        </w:rPr>
        <w:t>CR</w:t>
      </w:r>
      <w:r>
        <w:rPr>
          <w:rFonts w:ascii="Arial" w:cs="Arial" w:eastAsia="Arial" w:hAnsi="Arial"/>
          <w:sz w:val="27"/>
          <w:szCs w:val="27"/>
          <w:color w:val="auto"/>
          <w:vertAlign w:val="subscript"/>
        </w:rPr>
        <w:t>1</w:t>
      </w:r>
      <w:r>
        <w:rPr>
          <w:rFonts w:ascii="Arial" w:cs="Arial" w:eastAsia="Arial" w:hAnsi="Arial"/>
          <w:sz w:val="18"/>
          <w:szCs w:val="18"/>
          <w:color w:val="auto"/>
        </w:rPr>
        <w:t xml:space="preserve"> = the Conversion Rate in effect on the relevant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2" w:name="page33"/>
    <w:bookmarkEnd w:id="32"/>
    <w:p>
      <w:pPr>
        <w:ind w:right="260" w:firstLine="8"/>
        <w:spacing w:after="0" w:line="25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conversion of any Note would cause the Indenture Shares to exceed the Maximum Shares as determined pursuant to Section 14.12(a) in the sole discretion of the Company (consistent with Nasdaq listing standards), then upon conversion of such Notes, a Holder will receive, in lieu of any shares of Common Stock in excess of the Maximum Shares (the “Excess Shares”), cash in an amount equal to (i) the number of Excess Shares, multiplied by (ii) the Last Reported Sale Price of the Common Stock on the relevant Conversion Date.</w:t>
      </w:r>
    </w:p>
    <w:p>
      <w:pPr>
        <w:spacing w:after="0" w:line="213" w:lineRule="exact"/>
        <w:rPr>
          <w:rFonts w:ascii="Arial" w:cs="Arial" w:eastAsia="Arial" w:hAnsi="Arial"/>
          <w:sz w:val="18"/>
          <w:szCs w:val="18"/>
          <w:color w:val="auto"/>
        </w:rPr>
      </w:pPr>
    </w:p>
    <w:p>
      <w:pPr>
        <w:ind w:right="580" w:firstLine="8"/>
        <w:spacing w:after="0" w:line="342" w:lineRule="auto"/>
        <w:tabs>
          <w:tab w:leader="none" w:pos="23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restrictions of Section 14.12 shall automatically terminate if and when the shareholders of the Company duly approve the issuance of shares of Common Stock under this Indenture in excess of the Maximum Shares for purposes of NASDAQ Listing Rule 5635(d) or any successor rule.</w:t>
      </w:r>
    </w:p>
    <w:p>
      <w:pPr>
        <w:spacing w:after="0" w:line="150"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avoidance of doubt, the Conversion Rate for purposes of determining the “Maximum Shares” issuable under the Indenture pursuant to Section</w:t>
      </w:r>
    </w:p>
    <w:p>
      <w:pPr>
        <w:spacing w:after="0" w:line="46"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14.12(a) shall be determined pursuant to Section 14.04, without giving effect to any Additional Shares that would be added to the Conversion Rate pursuant to Section 14.03.”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ISCELLANEOUS</w:t>
      </w:r>
      <w:r>
        <w:rPr>
          <w:rFonts w:ascii="Arial" w:cs="Arial" w:eastAsia="Arial" w:hAnsi="Arial"/>
          <w:sz w:val="18"/>
          <w:szCs w:val="18"/>
          <w:color w:val="auto"/>
        </w:rPr>
        <w:t xml:space="preserve"> P</w:t>
      </w:r>
      <w:r>
        <w:rPr>
          <w:rFonts w:ascii="Arial" w:cs="Arial" w:eastAsia="Arial" w:hAnsi="Arial"/>
          <w:sz w:val="13"/>
          <w:szCs w:val="13"/>
          <w:color w:val="auto"/>
        </w:rPr>
        <w:t>ROVISIONS</w:t>
      </w:r>
    </w:p>
    <w:p>
      <w:pPr>
        <w:spacing w:after="0" w:line="267" w:lineRule="exact"/>
        <w:rPr>
          <w:sz w:val="20"/>
          <w:szCs w:val="20"/>
          <w:color w:val="auto"/>
        </w:rPr>
      </w:pPr>
    </w:p>
    <w:p>
      <w:pPr>
        <w:ind w:right="600" w:firstLine="27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Supplemental Indenture</w:t>
      </w:r>
      <w:r>
        <w:rPr>
          <w:rFonts w:ascii="Arial" w:cs="Arial" w:eastAsia="Arial" w:hAnsi="Arial"/>
          <w:sz w:val="18"/>
          <w:szCs w:val="18"/>
          <w:color w:val="auto"/>
        </w:rPr>
        <w:t>. The Indenture, as supplemented and amended by this First Supplemental Indenture, is in all respects hereby adopted, ratified and confirmed.</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Effectiveness</w:t>
      </w:r>
      <w:r>
        <w:rPr>
          <w:rFonts w:ascii="Arial" w:cs="Arial" w:eastAsia="Arial" w:hAnsi="Arial"/>
          <w:sz w:val="18"/>
          <w:szCs w:val="18"/>
          <w:color w:val="auto"/>
        </w:rPr>
        <w:t>. This First Supplemental Indenture shall take effect as of the date hereof.</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i w:val="1"/>
          <w:iCs w:val="1"/>
          <w:color w:val="auto"/>
        </w:rPr>
        <w:t>Effect of Headings.</w:t>
      </w:r>
      <w:r>
        <w:rPr>
          <w:rFonts w:ascii="Arial" w:cs="Arial" w:eastAsia="Arial" w:hAnsi="Arial"/>
          <w:sz w:val="17"/>
          <w:szCs w:val="17"/>
          <w:color w:val="auto"/>
        </w:rPr>
        <w:t xml:space="preserve"> The Article and Section headings herein are for convenience only and shall not affect the construction hereof.</w:t>
      </w:r>
    </w:p>
    <w:p>
      <w:pPr>
        <w:spacing w:after="0" w:line="291"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Separability Clause.</w:t>
      </w:r>
      <w:r>
        <w:rPr>
          <w:rFonts w:ascii="Arial" w:cs="Arial" w:eastAsia="Arial" w:hAnsi="Arial"/>
          <w:sz w:val="18"/>
          <w:szCs w:val="18"/>
          <w:color w:val="auto"/>
        </w:rPr>
        <w:t xml:space="preserve"> In case any provision in this First Supplemental Indenture shall be invalid, illegal or unenforceable, the validity, legality and enforceability of the remaining provisions herein shall not in any way be affected or impaired thereby.</w:t>
      </w:r>
    </w:p>
    <w:p>
      <w:pPr>
        <w:spacing w:after="0" w:line="22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Governing Law</w:t>
      </w:r>
      <w:r>
        <w:rPr>
          <w:rFonts w:ascii="Arial" w:cs="Arial" w:eastAsia="Arial" w:hAnsi="Arial"/>
          <w:sz w:val="18"/>
          <w:szCs w:val="18"/>
          <w:color w:val="auto"/>
        </w:rPr>
        <w:t>. This First Supplemental Indenture shall be governed by and construed in accordance with the laws of the State of New York (without regard to conflicts of laws principles that would result in the application of the laws of any other jurisdiction).</w:t>
      </w:r>
    </w:p>
    <w:p>
      <w:pPr>
        <w:spacing w:after="0" w:line="224"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i w:val="1"/>
          <w:iCs w:val="1"/>
          <w:color w:val="auto"/>
        </w:rPr>
        <w:t>Execution by the Trustee.</w:t>
      </w:r>
      <w:r>
        <w:rPr>
          <w:rFonts w:ascii="Arial" w:cs="Arial" w:eastAsia="Arial" w:hAnsi="Arial"/>
          <w:sz w:val="17"/>
          <w:szCs w:val="17"/>
          <w:color w:val="auto"/>
        </w:rPr>
        <w:t xml:space="preserve"> The Trustee has executed this First Supplemental Indenture only upon the terms and conditions set forth in the Indenture. Without limiting the generality of the foregoing, the Trustee shall not be responsible for the correctness of the recitals contained herein, which shall be taken as statements of the Company, and the Trustee makes no representation as to and shall have no responsibility for, or in respect of, the validity or sufficiency of this First Supplemental Indenture or the execution hereof by any Person (other than the Trustee).</w:t>
      </w:r>
    </w:p>
    <w:p>
      <w:pPr>
        <w:spacing w:after="0" w:line="198" w:lineRule="exact"/>
        <w:rPr>
          <w:sz w:val="20"/>
          <w:szCs w:val="20"/>
          <w:color w:val="auto"/>
        </w:rPr>
      </w:pPr>
    </w:p>
    <w:p>
      <w:pPr>
        <w:ind w:right="360" w:firstLine="270"/>
        <w:spacing w:after="0" w:line="308"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First Supplemental Indenture may be executed in any number of counterparts (including by facsimile, “.pdf” or other electronic means), each of which shall be an original; but such counterparts shall together constitute but one and the same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3" w:name="page34"/>
    <w:bookmarkEnd w:id="33"/>
    <w:p>
      <w:pPr>
        <w:ind w:firstLine="270"/>
        <w:spacing w:after="0" w:line="277" w:lineRule="auto"/>
        <w:rPr>
          <w:sz w:val="20"/>
          <w:szCs w:val="20"/>
          <w:color w:val="auto"/>
        </w:rPr>
      </w:pPr>
      <w:r>
        <w:rPr>
          <w:rFonts w:ascii="Arial" w:cs="Arial" w:eastAsia="Arial" w:hAnsi="Arial"/>
          <w:sz w:val="18"/>
          <w:szCs w:val="18"/>
          <w:color w:val="auto"/>
        </w:rPr>
        <w:t>IN WITNESS WHEREOF, the parties hereto have caused this First Supplemental Indenture to be duly executed, all as of the day and year first above written.</w:t>
      </w:r>
    </w:p>
    <w:p>
      <w:pPr>
        <w:spacing w:after="0" w:line="2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Photronics, Inc.</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Richelle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3395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Richelle Burr</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General Counsel</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Bank of Nova Scotia Trust Company</w:t>
      </w:r>
    </w:p>
    <w:p>
      <w:pPr>
        <w:spacing w:after="0" w:line="3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of New York, as Trustee</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Warren A. Goshine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19685</wp:posOffset>
            </wp:positionV>
            <wp:extent cx="3395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Warren A. Goshine</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40"/>
          </w:cols>
          <w:pgMar w:left="240" w:top="638" w:right="61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EMPLOYMENT AGREEMENT</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THIS EMPLOYMENT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January 1, 2011 among Photronics, Inc., a Connecticut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having a principal place of business at 15 Secor Road, Brookfield, CT 06804, PKL, a company incorporated under the laws of Korea (“PKL”)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Soo Hoo Jeong residing at 272-3, Gumi-Dong, Bundang, Seongnam, Kyeonggi, Korea 463-802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85" w:lineRule="exact"/>
        <w:rPr>
          <w:sz w:val="20"/>
          <w:szCs w:val="20"/>
          <w:color w:val="auto"/>
        </w:rPr>
      </w:pPr>
    </w:p>
    <w:p>
      <w:pPr>
        <w:ind w:right="220" w:firstLine="270"/>
        <w:spacing w:after="0" w:line="268" w:lineRule="auto"/>
        <w:rPr>
          <w:sz w:val="20"/>
          <w:szCs w:val="20"/>
          <w:color w:val="auto"/>
        </w:rPr>
      </w:pPr>
      <w:r>
        <w:rPr>
          <w:rFonts w:ascii="Arial" w:cs="Arial" w:eastAsia="Arial" w:hAnsi="Arial"/>
          <w:sz w:val="18"/>
          <w:szCs w:val="18"/>
          <w:color w:val="auto"/>
        </w:rPr>
        <w:t>WHEREAS, the Company, PKL and Executive desire to enter into this Agreement to assure the Company of the continuing service of Executive and to set forth the terms and conditions of Executive’s employment with the Company.</w:t>
      </w:r>
    </w:p>
    <w:p>
      <w:pPr>
        <w:spacing w:after="0" w:line="2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NOW, THEREFORE, in consideration of the mutual promises and covenants set forth herein, the parties agree as follows:</w:t>
      </w:r>
    </w:p>
    <w:p>
      <w:pPr>
        <w:spacing w:after="0" w:line="246" w:lineRule="exact"/>
        <w:rPr>
          <w:sz w:val="20"/>
          <w:szCs w:val="20"/>
          <w:color w:val="auto"/>
        </w:rPr>
      </w:pPr>
    </w:p>
    <w:p>
      <w:pPr>
        <w:ind w:firstLine="8"/>
        <w:spacing w:after="0" w:line="296"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to employ Executive and Executive hereby accepts such employment, in accordance with the terms of this Agreement.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on each anniversary of the date hereof, the Term of this Agreement shall automatically be extended for an additional one (1) year period.</w:t>
      </w:r>
    </w:p>
    <w:p>
      <w:pPr>
        <w:spacing w:after="0" w:line="188" w:lineRule="exact"/>
        <w:rPr>
          <w:rFonts w:ascii="Arial" w:cs="Arial" w:eastAsia="Arial" w:hAnsi="Arial"/>
          <w:sz w:val="16"/>
          <w:szCs w:val="16"/>
          <w:b w:val="1"/>
          <w:bCs w:val="1"/>
          <w:color w:val="auto"/>
        </w:rPr>
      </w:pPr>
    </w:p>
    <w:p>
      <w:pPr>
        <w:ind w:right="80" w:firstLine="8"/>
        <w:spacing w:after="0" w:line="258"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So long as this Agreement shall continue in effect, Executive shall devote Executive’s full business time, energy and ability to the business, affairs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217" w:lineRule="exact"/>
        <w:rPr>
          <w:rFonts w:ascii="Arial" w:cs="Arial" w:eastAsia="Arial" w:hAnsi="Arial"/>
          <w:sz w:val="18"/>
          <w:szCs w:val="18"/>
          <w:b w:val="1"/>
          <w:bCs w:val="1"/>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and Responsibilities.</w:t>
      </w:r>
    </w:p>
    <w:p>
      <w:pPr>
        <w:spacing w:after="0" w:line="285" w:lineRule="exact"/>
        <w:rPr>
          <w:rFonts w:ascii="Arial" w:cs="Arial" w:eastAsia="Arial" w:hAnsi="Arial"/>
          <w:sz w:val="18"/>
          <w:szCs w:val="18"/>
          <w:b w:val="1"/>
          <w:bCs w:val="1"/>
          <w:color w:val="auto"/>
        </w:rPr>
      </w:pPr>
    </w:p>
    <w:p>
      <w:pPr>
        <w:ind w:right="40" w:firstLine="278"/>
        <w:spacing w:after="0" w:line="256" w:lineRule="auto"/>
        <w:tabs>
          <w:tab w:leader="none" w:pos="509" w:val="left"/>
        </w:tabs>
        <w:numPr>
          <w:ilvl w:val="1"/>
          <w:numId w:val="7"/>
        </w:numPr>
        <w:rPr>
          <w:rFonts w:ascii="Arial" w:cs="Arial" w:eastAsia="Arial" w:hAnsi="Arial"/>
          <w:sz w:val="18"/>
          <w:szCs w:val="18"/>
          <w:color w:val="auto"/>
        </w:rPr>
      </w:pPr>
      <w:r>
        <w:rPr>
          <w:rFonts w:ascii="Arial" w:cs="Arial" w:eastAsia="Arial" w:hAnsi="Arial"/>
          <w:sz w:val="18"/>
          <w:szCs w:val="18"/>
          <w:color w:val="auto"/>
        </w:rPr>
        <w:t>Executive shall serve as the Chief Operating Officer of the Company, President Asia Operations and shall also service as the Chairman and Chief Executive Officer of PK, Ltd (“PKL”), a majority owned subsidiary of the Company. In the performance of Executive’s duties, Executive shall report directly to the CEO or as otherwise directed by the CEO or the Company’s Board of Directors, and shall have such duties, responsibilities and authority as may from time to time be assigned to the Executive by the CEO or the Company’s Board of Directors.</w:t>
      </w:r>
    </w:p>
    <w:p>
      <w:pPr>
        <w:spacing w:after="0" w:line="251" w:lineRule="exact"/>
        <w:rPr>
          <w:rFonts w:ascii="Arial" w:cs="Arial" w:eastAsia="Arial" w:hAnsi="Arial"/>
          <w:sz w:val="18"/>
          <w:szCs w:val="18"/>
          <w:color w:val="auto"/>
        </w:rPr>
      </w:pPr>
    </w:p>
    <w:p>
      <w:pPr>
        <w:ind w:right="180" w:firstLine="278"/>
        <w:spacing w:after="0" w:line="306" w:lineRule="auto"/>
        <w:tabs>
          <w:tab w:leader="none" w:pos="519"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addition, Executive agrees to observe and comply with the policies, rules and regulations of the Company. The Company agrees that the duties which may be assigned to Executive shall be the customary duties of the office of Chief Operating Officer, President of Asia Operations and Chairman and Chief Executive Officer of PKL and shall not be inconsistent with the provisions of the charter documents of the Company, PKL or applicable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5" w:name="page36"/>
    <w:bookmarkEnd w:id="35"/>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85" w:lineRule="exact"/>
        <w:rPr>
          <w:rFonts w:ascii="Arial" w:cs="Arial" w:eastAsia="Arial" w:hAnsi="Arial"/>
          <w:sz w:val="18"/>
          <w:szCs w:val="18"/>
          <w:b w:val="1"/>
          <w:bCs w:val="1"/>
          <w:color w:val="auto"/>
        </w:rPr>
      </w:pPr>
    </w:p>
    <w:p>
      <w:pPr>
        <w:ind w:right="300" w:firstLine="278"/>
        <w:spacing w:after="0" w:line="291" w:lineRule="auto"/>
        <w:tabs>
          <w:tab w:leader="none" w:pos="509"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During the Term, Executive will receive a base salary at the rate of U.S. $475,000 per year payable in accordance with the Company’s customary payroll practices generally applicable to similarly situated employees as may be in effect from time to time (the “</w:t>
      </w:r>
      <w:r>
        <w:rPr>
          <w:rFonts w:ascii="Arial" w:cs="Arial" w:eastAsia="Arial" w:hAnsi="Arial"/>
          <w:sz w:val="16"/>
          <w:szCs w:val="16"/>
          <w:u w:val="single" w:color="auto"/>
          <w:color w:val="auto"/>
        </w:rPr>
        <w:t>Base Salary</w:t>
      </w:r>
      <w:r>
        <w:rPr>
          <w:rFonts w:ascii="Arial" w:cs="Arial" w:eastAsia="Arial" w:hAnsi="Arial"/>
          <w:sz w:val="16"/>
          <w:szCs w:val="16"/>
          <w:color w:val="auto"/>
        </w:rPr>
        <w:t>”). Executive’s base salary will be paid by PKL in Korea. At the end of each fiscal quarter PKL shall prepare a calculation of the average exchange rate for converting US dollar to Korean Won for each month in that quarter. PKL will then use the average exchange rate and compare that to the base salary paid to Executive for that quarter. As a result of the comparison, any overpayments by PKL will be reimbursed by Executive within ten days of receiving notification from PKL and any underpayments by PKL will be paid by PKL to Executive within ten days of completing the review.</w:t>
      </w:r>
    </w:p>
    <w:p>
      <w:pPr>
        <w:spacing w:after="0" w:line="228" w:lineRule="exact"/>
        <w:rPr>
          <w:rFonts w:ascii="Arial" w:cs="Arial" w:eastAsia="Arial" w:hAnsi="Arial"/>
          <w:sz w:val="16"/>
          <w:szCs w:val="16"/>
          <w:color w:val="auto"/>
        </w:rPr>
      </w:pPr>
    </w:p>
    <w:p>
      <w:pPr>
        <w:ind w:right="100" w:firstLine="278"/>
        <w:spacing w:after="0" w:line="256" w:lineRule="auto"/>
        <w:tabs>
          <w:tab w:leader="none" w:pos="519"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Periodic Review</w:t>
      </w:r>
      <w:r>
        <w:rPr>
          <w:rFonts w:ascii="Arial" w:cs="Arial" w:eastAsia="Arial" w:hAnsi="Arial"/>
          <w:sz w:val="18"/>
          <w:szCs w:val="18"/>
          <w:color w:val="auto"/>
        </w:rPr>
        <w:t>. The Compensation Committee or the Board of Directors of the Company shall review Executive’s Base Salary 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251" w:lineRule="exact"/>
        <w:rPr>
          <w:rFonts w:ascii="Arial" w:cs="Arial" w:eastAsia="Arial" w:hAnsi="Arial"/>
          <w:sz w:val="18"/>
          <w:szCs w:val="18"/>
          <w:color w:val="auto"/>
        </w:rPr>
      </w:pPr>
    </w:p>
    <w:p>
      <w:pPr>
        <w:ind w:firstLine="278"/>
        <w:spacing w:after="0" w:line="289" w:lineRule="auto"/>
        <w:tabs>
          <w:tab w:leader="none" w:pos="509"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Additional Benefits</w:t>
      </w:r>
      <w:r>
        <w:rPr>
          <w:rFonts w:ascii="Arial" w:cs="Arial" w:eastAsia="Arial" w:hAnsi="Arial"/>
          <w:sz w:val="16"/>
          <w:szCs w:val="16"/>
          <w:color w:val="auto"/>
        </w:rPr>
        <w:t>. During the Term, the Executive shall be entitled to participate in the PKL employee benefit plans and arrangements as may be established from time to time in Korea (which may include, without limitation, medical plan, dental plan, disability plan, basic life insurance and business travel accident insurance plan, and the Company’s bonus plan(s), or stock award plans or any successor plans thereto (the “</w:t>
      </w:r>
      <w:r>
        <w:rPr>
          <w:rFonts w:ascii="Arial" w:cs="Arial" w:eastAsia="Arial" w:hAnsi="Arial"/>
          <w:sz w:val="16"/>
          <w:szCs w:val="16"/>
          <w:u w:val="single" w:color="auto"/>
          <w:color w:val="auto"/>
        </w:rPr>
        <w:t>Benefits</w:t>
      </w:r>
      <w:r>
        <w:rPr>
          <w:rFonts w:ascii="Arial" w:cs="Arial" w:eastAsia="Arial" w:hAnsi="Arial"/>
          <w:sz w:val="16"/>
          <w:szCs w:val="16"/>
          <w:color w:val="auto"/>
        </w:rPr>
        <w:t>”)). The Company or PKL shall have the right to terminate or change any such plans or programs at any time. Upon termination of Executive’s employment with PKL, Executive will receive a lump sum payment of U.S. $108,000 multiplied by the total number of years that Executive was employed by PKL (including years prior to the date of this Agreement). The sum of $108,000 shall be fixed and is not subject to escalation or increase based on any bonus or salary increase that Executive may receive during the term of this Agreement (said retirement payment being referred to as the “PKL Retirement Payment”). The PKL Retirement Payment shall be paid either in U.S. dollars or the equivalent amount in Korean Won at the time of payment.</w:t>
      </w:r>
    </w:p>
    <w:p>
      <w:pPr>
        <w:spacing w:after="0" w:line="226" w:lineRule="exact"/>
        <w:rPr>
          <w:rFonts w:ascii="Arial" w:cs="Arial" w:eastAsia="Arial" w:hAnsi="Arial"/>
          <w:sz w:val="16"/>
          <w:szCs w:val="16"/>
          <w:color w:val="auto"/>
        </w:rPr>
      </w:pPr>
    </w:p>
    <w:p>
      <w:pPr>
        <w:ind w:left="520" w:hanging="242"/>
        <w:spacing w:after="0"/>
        <w:tabs>
          <w:tab w:leader="none" w:pos="520"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Automobile Allowance</w:t>
      </w:r>
      <w:r>
        <w:rPr>
          <w:rFonts w:ascii="Arial" w:cs="Arial" w:eastAsia="Arial" w:hAnsi="Arial"/>
          <w:sz w:val="16"/>
          <w:szCs w:val="16"/>
          <w:color w:val="auto"/>
        </w:rPr>
        <w:t>. During the Term of this Agreement, the Company shall provide the Executive with a company car and driver as is customary in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-1012825</wp:posOffset>
            </wp:positionV>
            <wp:extent cx="279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36" w:name="page37"/>
    <w:bookmarkEnd w:id="36"/>
    <w:p>
      <w:pPr>
        <w:ind w:right="840" w:firstLine="278"/>
        <w:spacing w:after="0" w:line="268" w:lineRule="auto"/>
        <w:tabs>
          <w:tab w:leader="none" w:pos="50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of this Agreement, Executive shall be entitled to four (4) weeks’ paid vacation per calendar year, which shall not be transferable to any subsequent year.</w:t>
      </w:r>
    </w:p>
    <w:p>
      <w:pPr>
        <w:spacing w:after="0" w:line="199" w:lineRule="exact"/>
        <w:rPr>
          <w:rFonts w:ascii="Arial" w:cs="Arial" w:eastAsia="Arial" w:hAnsi="Arial"/>
          <w:sz w:val="18"/>
          <w:szCs w:val="18"/>
          <w:color w:val="auto"/>
        </w:rPr>
      </w:pPr>
    </w:p>
    <w:p>
      <w:pPr>
        <w:ind w:right="120" w:firstLine="278"/>
        <w:spacing w:after="0" w:line="274" w:lineRule="auto"/>
        <w:tabs>
          <w:tab w:leader="none" w:pos="48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Country Club Membership</w:t>
      </w:r>
      <w:r>
        <w:rPr>
          <w:rFonts w:ascii="Arial" w:cs="Arial" w:eastAsia="Arial" w:hAnsi="Arial"/>
          <w:sz w:val="21"/>
          <w:szCs w:val="21"/>
          <w:u w:val="single" w:color="auto"/>
          <w:color w:val="auto"/>
        </w:rPr>
        <w:t>.</w:t>
      </w:r>
      <w:r>
        <w:rPr>
          <w:rFonts w:ascii="Arial" w:cs="Arial" w:eastAsia="Arial" w:hAnsi="Arial"/>
          <w:sz w:val="18"/>
          <w:szCs w:val="18"/>
          <w:color w:val="auto"/>
        </w:rPr>
        <w:t xml:space="preserve"> The Company will pay the annual </w:t>
      </w:r>
      <w:r>
        <w:rPr>
          <w:rFonts w:ascii="Arial" w:cs="Arial" w:eastAsia="Arial" w:hAnsi="Arial"/>
          <w:sz w:val="18"/>
          <w:szCs w:val="18"/>
          <w:u w:val="single" w:color="auto"/>
          <w:color w:val="auto"/>
        </w:rPr>
        <w:t>membership</w:t>
      </w:r>
      <w:r>
        <w:rPr>
          <w:rFonts w:ascii="Arial" w:cs="Arial" w:eastAsia="Arial" w:hAnsi="Arial"/>
          <w:sz w:val="18"/>
          <w:szCs w:val="18"/>
          <w:color w:val="auto"/>
        </w:rPr>
        <w:t xml:space="preserve"> fee on behalf of Executive to Two Country Clubs in Korea that Executive has membership to and uses for business purposes as is customary in Korea</w:t>
      </w:r>
    </w:p>
    <w:p>
      <w:pPr>
        <w:spacing w:after="0" w:line="197" w:lineRule="exact"/>
        <w:rPr>
          <w:rFonts w:ascii="Arial" w:cs="Arial" w:eastAsia="Arial" w:hAnsi="Arial"/>
          <w:sz w:val="18"/>
          <w:szCs w:val="18"/>
          <w:color w:val="auto"/>
        </w:rPr>
      </w:pPr>
    </w:p>
    <w:p>
      <w:pPr>
        <w:jc w:val="both"/>
        <w:ind w:right="240" w:firstLine="8"/>
        <w:spacing w:after="0" w:line="262"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rights and obligations hereunder, except the rights and obligations contained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(Intellectual Property)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which shall survive any termination hereunder, shall terminate upon the earliest to occur of any of the following:</w:t>
      </w:r>
    </w:p>
    <w:p>
      <w:pPr>
        <w:spacing w:after="0" w:line="246" w:lineRule="exact"/>
        <w:rPr>
          <w:rFonts w:ascii="Arial" w:cs="Arial" w:eastAsia="Arial" w:hAnsi="Arial"/>
          <w:sz w:val="18"/>
          <w:szCs w:val="18"/>
          <w:b w:val="1"/>
          <w:bCs w:val="1"/>
          <w:color w:val="auto"/>
        </w:rPr>
      </w:pPr>
    </w:p>
    <w:p>
      <w:pPr>
        <w:ind w:firstLine="278"/>
        <w:spacing w:after="0" w:line="290" w:lineRule="auto"/>
        <w:tabs>
          <w:tab w:leader="none" w:pos="509"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Resignation without Good Reason; Retirement</w:t>
      </w:r>
      <w:r>
        <w:rPr>
          <w:rFonts w:ascii="Arial" w:cs="Arial" w:eastAsia="Arial" w:hAnsi="Arial"/>
          <w:sz w:val="16"/>
          <w:szCs w:val="16"/>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last day of employment to the extent not theretofore paid, (B) any compensation previously deferred by Executive (together with any accrued interest or earnings thereon), (C) any accrued vacation pay according to PKL’s local policy, and (D) the total amount of the PKL Retirement Payment as set forth in 4 (c) above in each case to the extent not theretofore already paid (the sum of the amounts described in clauses (A), (B), (C) and (D) shall be hereinafter referred to as the “</w:t>
      </w:r>
      <w:r>
        <w:rPr>
          <w:rFonts w:ascii="Arial" w:cs="Arial" w:eastAsia="Arial" w:hAnsi="Arial"/>
          <w:sz w:val="16"/>
          <w:szCs w:val="16"/>
          <w:u w:val="single" w:color="auto"/>
          <w:color w:val="auto"/>
        </w:rPr>
        <w:t>Accrued Obligations</w:t>
      </w:r>
      <w:r>
        <w:rPr>
          <w:rFonts w:ascii="Arial" w:cs="Arial" w:eastAsia="Arial" w:hAnsi="Arial"/>
          <w:sz w:val="16"/>
          <w:szCs w:val="16"/>
          <w:color w:val="auto"/>
        </w:rPr>
        <w:t>”), in a lump sum, subject to statutory deductions and withholdings, in cash within ten (10) business days after the last day of employment or any earlier time required by applicable law.</w:t>
      </w:r>
    </w:p>
    <w:p>
      <w:pPr>
        <w:spacing w:after="0" w:line="226" w:lineRule="exact"/>
        <w:rPr>
          <w:rFonts w:ascii="Arial" w:cs="Arial" w:eastAsia="Arial" w:hAnsi="Arial"/>
          <w:sz w:val="16"/>
          <w:szCs w:val="16"/>
          <w:color w:val="auto"/>
        </w:rPr>
      </w:pPr>
    </w:p>
    <w:p>
      <w:pPr>
        <w:ind w:left="520" w:hanging="242"/>
        <w:spacing w:after="0"/>
        <w:tabs>
          <w:tab w:leader="none" w:pos="52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Death or Disability of Executive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360" w:firstLine="548"/>
        <w:spacing w:after="0" w:line="268" w:lineRule="auto"/>
        <w:tabs>
          <w:tab w:leader="none" w:pos="750" w:val="left"/>
        </w:tabs>
        <w:numPr>
          <w:ilvl w:val="2"/>
          <w:numId w:val="10"/>
        </w:numPr>
        <w:rPr>
          <w:rFonts w:ascii="Arial" w:cs="Arial" w:eastAsia="Arial" w:hAnsi="Arial"/>
          <w:sz w:val="18"/>
          <w:szCs w:val="18"/>
          <w:color w:val="auto"/>
        </w:rPr>
      </w:pPr>
      <w:r>
        <w:rPr>
          <w:rFonts w:ascii="Arial" w:cs="Arial" w:eastAsia="Arial" w:hAnsi="Arial"/>
          <w:sz w:val="18"/>
          <w:szCs w:val="18"/>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240" w:lineRule="exact"/>
        <w:rPr>
          <w:rFonts w:ascii="Arial" w:cs="Arial" w:eastAsia="Arial" w:hAnsi="Arial"/>
          <w:sz w:val="18"/>
          <w:szCs w:val="18"/>
          <w:color w:val="auto"/>
        </w:rPr>
      </w:pPr>
    </w:p>
    <w:p>
      <w:pPr>
        <w:ind w:firstLine="818"/>
        <w:spacing w:after="0" w:line="332" w:lineRule="auto"/>
        <w:tabs>
          <w:tab w:leader="none" w:pos="1059" w:val="left"/>
        </w:tabs>
        <w:numPr>
          <w:ilvl w:val="3"/>
          <w:numId w:val="10"/>
        </w:numPr>
        <w:rPr>
          <w:rFonts w:ascii="Arial" w:cs="Arial" w:eastAsia="Arial" w:hAnsi="Arial"/>
          <w:sz w:val="16"/>
          <w:szCs w:val="16"/>
          <w:color w:val="auto"/>
        </w:rPr>
      </w:pPr>
      <w:r>
        <w:rPr>
          <w:rFonts w:ascii="Arial" w:cs="Arial" w:eastAsia="Arial" w:hAnsi="Arial"/>
          <w:sz w:val="16"/>
          <w:szCs w:val="16"/>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93" w:lineRule="exact"/>
        <w:rPr>
          <w:rFonts w:ascii="Arial" w:cs="Arial" w:eastAsia="Arial" w:hAnsi="Arial"/>
          <w:sz w:val="16"/>
          <w:szCs w:val="16"/>
          <w:color w:val="auto"/>
        </w:rPr>
      </w:pPr>
    </w:p>
    <w:p>
      <w:pPr>
        <w:ind w:left="1060" w:hanging="242"/>
        <w:spacing w:after="0"/>
        <w:tabs>
          <w:tab w:leader="none" w:pos="1060" w:val="left"/>
        </w:tabs>
        <w:numPr>
          <w:ilvl w:val="3"/>
          <w:numId w:val="10"/>
        </w:numPr>
        <w:rPr>
          <w:rFonts w:ascii="Arial" w:cs="Arial" w:eastAsia="Arial" w:hAnsi="Arial"/>
          <w:sz w:val="16"/>
          <w:szCs w:val="16"/>
          <w:color w:val="auto"/>
        </w:rPr>
      </w:pPr>
      <w:r>
        <w:rPr>
          <w:rFonts w:ascii="Arial" w:cs="Arial" w:eastAsia="Arial" w:hAnsi="Arial"/>
          <w:sz w:val="16"/>
          <w:szCs w:val="16"/>
          <w:color w:val="auto"/>
        </w:rPr>
        <w:t>Payment to Executive or Executive’s estate or beneficiary, as applicable, of any amount accrued pursuant to the terms of any other applicable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 plan.</w:t>
      </w:r>
    </w:p>
    <w:p>
      <w:pPr>
        <w:spacing w:after="0" w:line="272" w:lineRule="exact"/>
        <w:rPr>
          <w:rFonts w:ascii="Arial" w:cs="Arial" w:eastAsia="Arial" w:hAnsi="Arial"/>
          <w:sz w:val="16"/>
          <w:szCs w:val="16"/>
          <w:color w:val="auto"/>
        </w:rPr>
      </w:pPr>
    </w:p>
    <w:p>
      <w:pPr>
        <w:ind w:left="800" w:hanging="252"/>
        <w:spacing w:after="0"/>
        <w:tabs>
          <w:tab w:leader="none" w:pos="800" w:val="left"/>
        </w:tabs>
        <w:numPr>
          <w:ilvl w:val="2"/>
          <w:numId w:val="10"/>
        </w:numPr>
        <w:rPr>
          <w:rFonts w:ascii="Arial" w:cs="Arial" w:eastAsia="Arial" w:hAnsi="Arial"/>
          <w:sz w:val="16"/>
          <w:szCs w:val="16"/>
          <w:color w:val="auto"/>
        </w:rPr>
      </w:pPr>
      <w:r>
        <w:rPr>
          <w:rFonts w:ascii="Arial" w:cs="Arial" w:eastAsia="Arial" w:hAnsi="Arial"/>
          <w:sz w:val="16"/>
          <w:szCs w:val="16"/>
          <w:color w:val="auto"/>
        </w:rPr>
        <w:t>If Executive shall become disabled, Executive’s employment may be terminated only by written notice from the Company to Executive.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37" w:name="page38"/>
    <w:bookmarkEnd w:id="37"/>
    <w:p>
      <w:pPr>
        <w:jc w:val="both"/>
        <w:ind w:right="40" w:firstLine="548"/>
        <w:spacing w:after="0" w:line="259" w:lineRule="auto"/>
        <w:tabs>
          <w:tab w:leader="none" w:pos="8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248" w:lineRule="exact"/>
        <w:rPr>
          <w:rFonts w:ascii="Arial" w:cs="Arial" w:eastAsia="Arial" w:hAnsi="Arial"/>
          <w:sz w:val="18"/>
          <w:szCs w:val="18"/>
          <w:color w:val="auto"/>
        </w:rPr>
      </w:pPr>
    </w:p>
    <w:p>
      <w:pPr>
        <w:ind w:left="520" w:hanging="24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760" w:hanging="212"/>
        <w:spacing w:after="0"/>
        <w:tabs>
          <w:tab w:leader="none" w:pos="7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may terminate Executive’s employment and all of Executive’s rights to receive Base Salary, and any Benefits hereunder for Cause.</w:t>
      </w:r>
    </w:p>
    <w:p>
      <w:pPr>
        <w:spacing w:after="0" w:line="302" w:lineRule="exact"/>
        <w:rPr>
          <w:sz w:val="20"/>
          <w:szCs w:val="20"/>
          <w:color w:val="auto"/>
        </w:rPr>
      </w:pPr>
    </w:p>
    <w:p>
      <w:pPr>
        <w:ind w:firstLine="548"/>
        <w:spacing w:after="0" w:line="370" w:lineRule="auto"/>
        <w:tabs>
          <w:tab w:leader="none" w:pos="799" w:val="left"/>
        </w:tabs>
        <w:numPr>
          <w:ilvl w:val="0"/>
          <w:numId w:val="13"/>
        </w:numPr>
        <w:rPr>
          <w:rFonts w:ascii="Arial" w:cs="Arial" w:eastAsia="Arial" w:hAnsi="Arial"/>
          <w:sz w:val="15"/>
          <w:szCs w:val="15"/>
          <w:color w:val="auto"/>
        </w:rPr>
      </w:pPr>
      <w:r>
        <w:rPr>
          <w:rFonts w:ascii="Arial" w:cs="Arial" w:eastAsia="Arial" w:hAnsi="Arial"/>
          <w:sz w:val="15"/>
          <w:szCs w:val="15"/>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70" w:lineRule="exact"/>
        <w:rPr>
          <w:rFonts w:ascii="Arial" w:cs="Arial" w:eastAsia="Arial" w:hAnsi="Arial"/>
          <w:sz w:val="15"/>
          <w:szCs w:val="15"/>
          <w:color w:val="auto"/>
        </w:rPr>
      </w:pPr>
    </w:p>
    <w:p>
      <w:pPr>
        <w:ind w:left="860" w:hanging="312"/>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Cause</w:t>
      </w:r>
      <w:r>
        <w:rPr>
          <w:rFonts w:ascii="Arial" w:cs="Arial" w:eastAsia="Arial" w:hAnsi="Arial"/>
          <w:sz w:val="18"/>
          <w:szCs w:val="18"/>
          <w:color w:val="auto"/>
        </w:rPr>
        <w:t>” shall be defined as any of the following:</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Executive’s material breach of any of any obligations under this Agreement (other than by reason of physical or mental illness, injury,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w:t>
      </w:r>
    </w:p>
    <w:p>
      <w:pPr>
        <w:spacing w:after="0" w:line="272" w:lineRule="exact"/>
        <w:rPr>
          <w:rFonts w:ascii="Arial" w:cs="Arial" w:eastAsia="Arial" w:hAnsi="Arial"/>
          <w:sz w:val="16"/>
          <w:szCs w:val="16"/>
          <w:color w:val="auto"/>
        </w:rPr>
      </w:pPr>
    </w:p>
    <w:p>
      <w:pPr>
        <w:ind w:right="360" w:firstLine="818"/>
        <w:spacing w:after="0" w:line="268" w:lineRule="auto"/>
        <w:tabs>
          <w:tab w:leader="none" w:pos="10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240" w:lineRule="exact"/>
        <w:rPr>
          <w:rFonts w:ascii="Arial" w:cs="Arial" w:eastAsia="Arial" w:hAnsi="Arial"/>
          <w:sz w:val="18"/>
          <w:szCs w:val="18"/>
          <w:color w:val="auto"/>
        </w:rPr>
      </w:pPr>
    </w:p>
    <w:p>
      <w:pPr>
        <w:ind w:left="1060" w:hanging="242"/>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commission of an act of fraud upon the Company;</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Executive’s engaging in willful or reckless misconduct or gross negligence in connection with any property or activity of the Company or its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Affiliates;</w:t>
      </w:r>
    </w:p>
    <w:p>
      <w:pPr>
        <w:spacing w:after="0" w:line="272" w:lineRule="exact"/>
        <w:rPr>
          <w:rFonts w:ascii="Arial" w:cs="Arial" w:eastAsia="Arial" w:hAnsi="Arial"/>
          <w:sz w:val="16"/>
          <w:szCs w:val="16"/>
          <w:color w:val="auto"/>
        </w:rPr>
      </w:pPr>
    </w:p>
    <w:p>
      <w:pPr>
        <w:ind w:left="1060" w:hanging="242"/>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repeated and intemperate use of alcohol or illegal drugs after written notice from the Board or Directors;</w:t>
      </w:r>
    </w:p>
    <w:p>
      <w:pPr>
        <w:spacing w:after="0" w:line="279" w:lineRule="exact"/>
        <w:rPr>
          <w:rFonts w:ascii="Arial" w:cs="Arial" w:eastAsia="Arial" w:hAnsi="Arial"/>
          <w:sz w:val="18"/>
          <w:szCs w:val="18"/>
          <w:color w:val="auto"/>
        </w:rPr>
      </w:pPr>
    </w:p>
    <w:p>
      <w:pPr>
        <w:ind w:right="620" w:firstLine="818"/>
        <w:spacing w:after="0" w:line="268" w:lineRule="auto"/>
        <w:tabs>
          <w:tab w:leader="none" w:pos="10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240" w:lineRule="exact"/>
        <w:rPr>
          <w:rFonts w:ascii="Arial" w:cs="Arial" w:eastAsia="Arial" w:hAnsi="Arial"/>
          <w:sz w:val="18"/>
          <w:szCs w:val="18"/>
          <w:color w:val="auto"/>
        </w:rPr>
      </w:pPr>
    </w:p>
    <w:p>
      <w:pPr>
        <w:ind w:left="1060" w:hanging="242"/>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becoming insolvent or filing for bankruptcy;</w:t>
      </w:r>
    </w:p>
    <w:p>
      <w:pPr>
        <w:spacing w:after="0" w:line="279" w:lineRule="exact"/>
        <w:rPr>
          <w:rFonts w:ascii="Arial" w:cs="Arial" w:eastAsia="Arial" w:hAnsi="Arial"/>
          <w:sz w:val="18"/>
          <w:szCs w:val="18"/>
          <w:color w:val="auto"/>
        </w:rPr>
      </w:pPr>
    </w:p>
    <w:p>
      <w:pPr>
        <w:ind w:left="1060" w:hanging="242"/>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becoming barred or prohibited by the SEC from holding Executive’s position with the Company; or</w:t>
      </w:r>
    </w:p>
    <w:p>
      <w:pPr>
        <w:spacing w:after="0" w:line="279" w:lineRule="exact"/>
        <w:rPr>
          <w:rFonts w:ascii="Arial" w:cs="Arial" w:eastAsia="Arial" w:hAnsi="Arial"/>
          <w:sz w:val="18"/>
          <w:szCs w:val="18"/>
          <w:color w:val="auto"/>
        </w:rPr>
      </w:pPr>
    </w:p>
    <w:p>
      <w:pPr>
        <w:ind w:firstLine="818"/>
        <w:spacing w:after="0" w:line="268" w:lineRule="auto"/>
        <w:tabs>
          <w:tab w:leader="none" w:pos="10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violation of any duty of loyalty (i.e., engaging in self-interested transactions, misappropriation of business opportunities that belong to the Company or PKL, or a breach of Executive’s fiduciary duties to the Company or PKL).</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44" w:right="299" w:bottom="1440" w:gutter="0" w:footer="0" w:header="0"/>
        </w:sectPr>
      </w:pPr>
    </w:p>
    <w:bookmarkStart w:id="38" w:name="page39"/>
    <w:bookmarkEnd w:id="38"/>
    <w:p>
      <w:pPr>
        <w:ind w:left="500" w:hanging="24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Resignation For Good Reason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20" w:firstLine="548"/>
        <w:spacing w:after="0" w:line="290" w:lineRule="auto"/>
        <w:tabs>
          <w:tab w:leader="none" w:pos="730"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w:t>
      </w:r>
      <w:r>
        <w:rPr>
          <w:rFonts w:ascii="Arial" w:cs="Arial" w:eastAsia="Arial" w:hAnsi="Arial"/>
          <w:sz w:val="16"/>
          <w:szCs w:val="16"/>
          <w:u w:val="single" w:color="auto"/>
          <w:color w:val="auto"/>
        </w:rPr>
        <w:t>Section 5</w:t>
      </w:r>
      <w:r>
        <w:rPr>
          <w:rFonts w:ascii="Arial" w:cs="Arial" w:eastAsia="Arial" w:hAnsi="Arial"/>
          <w:sz w:val="16"/>
          <w:szCs w:val="16"/>
          <w:color w:val="auto"/>
        </w:rPr>
        <w:t>, (i) the Company may, at its option and at any time, provide to Executive: (A) up to twelve (12) months’ advance written notice of termination of employment without Cause, or (B) written notice of a current material adverse change in the Executive’s position (such notice in (A) or (B) being referred to herein as a “Working Notice”). If the Company issues a Working Notice to the Executive, any entitlement to a Severance Payment and Benefit Period (as defined below) shall be reduced in proportion to the period covered by the Working Notice. During the period covered by the Working Notice, the Executive shall continue to provide the services according to Section 2, hereof as an employee of the Company. If the Executive resigns during the period covered by the Working Notice, then Executive shall receive only the Accrued Obligations through the date of termination. Executive, upon thirty (30) days advance notice to the Company, shall have the right to resign for Good Reason.</w:t>
      </w:r>
    </w:p>
    <w:p>
      <w:pPr>
        <w:spacing w:after="0" w:line="226" w:lineRule="exact"/>
        <w:rPr>
          <w:rFonts w:ascii="Arial" w:cs="Arial" w:eastAsia="Arial" w:hAnsi="Arial"/>
          <w:sz w:val="16"/>
          <w:szCs w:val="16"/>
          <w:color w:val="auto"/>
        </w:rPr>
      </w:pPr>
    </w:p>
    <w:p>
      <w:pPr>
        <w:ind w:left="780" w:hanging="252"/>
        <w:spacing w:after="0"/>
        <w:tabs>
          <w:tab w:leader="none" w:pos="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Executive is so terminated without Cause or resigns for Good Reason, Executive shall receive from the Company:</w:t>
      </w:r>
    </w:p>
    <w:p>
      <w:pPr>
        <w:spacing w:after="0" w:line="279" w:lineRule="exact"/>
        <w:rPr>
          <w:rFonts w:ascii="Arial" w:cs="Arial" w:eastAsia="Arial" w:hAnsi="Arial"/>
          <w:sz w:val="18"/>
          <w:szCs w:val="18"/>
          <w:color w:val="auto"/>
        </w:rPr>
      </w:pPr>
    </w:p>
    <w:p>
      <w:pPr>
        <w:ind w:left="-20" w:right="360" w:firstLine="818"/>
        <w:spacing w:after="0" w:line="332" w:lineRule="auto"/>
        <w:tabs>
          <w:tab w:leader="none" w:pos="1039" w:val="left"/>
        </w:tabs>
        <w:numPr>
          <w:ilvl w:val="2"/>
          <w:numId w:val="14"/>
        </w:numPr>
        <w:rPr>
          <w:rFonts w:ascii="Arial" w:cs="Arial" w:eastAsia="Arial" w:hAnsi="Arial"/>
          <w:sz w:val="16"/>
          <w:szCs w:val="16"/>
          <w:color w:val="auto"/>
        </w:rPr>
      </w:pPr>
      <w:r>
        <w:rPr>
          <w:rFonts w:ascii="Arial" w:cs="Arial" w:eastAsia="Arial" w:hAnsi="Arial"/>
          <w:sz w:val="16"/>
          <w:szCs w:val="16"/>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93" w:lineRule="exact"/>
        <w:rPr>
          <w:rFonts w:ascii="Arial" w:cs="Arial" w:eastAsia="Arial" w:hAnsi="Arial"/>
          <w:sz w:val="16"/>
          <w:szCs w:val="16"/>
          <w:color w:val="auto"/>
        </w:rPr>
      </w:pPr>
    </w:p>
    <w:p>
      <w:pPr>
        <w:ind w:left="-20" w:right="200" w:firstLine="818"/>
        <w:spacing w:after="0" w:line="256" w:lineRule="auto"/>
        <w:tabs>
          <w:tab w:leader="none" w:pos="1039" w:val="left"/>
        </w:tabs>
        <w:numPr>
          <w:ilvl w:val="2"/>
          <w:numId w:val="14"/>
        </w:numPr>
        <w:rPr>
          <w:rFonts w:ascii="Arial" w:cs="Arial" w:eastAsia="Arial" w:hAnsi="Arial"/>
          <w:sz w:val="18"/>
          <w:szCs w:val="18"/>
          <w:color w:val="auto"/>
        </w:rPr>
      </w:pPr>
      <w:r>
        <w:rPr>
          <w:rFonts w:ascii="Arial" w:cs="Arial" w:eastAsia="Arial" w:hAnsi="Arial"/>
          <w:sz w:val="18"/>
          <w:szCs w:val="18"/>
          <w:color w:val="auto"/>
        </w:rPr>
        <w:t>A payment (“</w:t>
      </w:r>
      <w:r>
        <w:rPr>
          <w:rFonts w:ascii="Arial" w:cs="Arial" w:eastAsia="Arial" w:hAnsi="Arial"/>
          <w:sz w:val="18"/>
          <w:szCs w:val="18"/>
          <w:u w:val="single" w:color="auto"/>
          <w:color w:val="auto"/>
        </w:rPr>
        <w:t>Severance Payment</w:t>
      </w:r>
      <w:r>
        <w:rPr>
          <w:rFonts w:ascii="Arial" w:cs="Arial" w:eastAsia="Arial" w:hAnsi="Arial"/>
          <w:sz w:val="18"/>
          <w:szCs w:val="18"/>
          <w:color w:val="auto"/>
        </w:rPr>
        <w:t xml:space="preserve">”) equal to twelve (12) months of Executive’s current Base Salary. The Severance Payment shall be paid by the Company to Executive in equal installments,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 in accordance with the Company’s customary payroll practices generally applicable to similarly situated employees as may be in effect from time and shall be subject to statutory deductions and withholdings.</w:t>
      </w:r>
    </w:p>
    <w:p>
      <w:pPr>
        <w:spacing w:after="0" w:line="251" w:lineRule="exact"/>
        <w:rPr>
          <w:rFonts w:ascii="Arial" w:cs="Arial" w:eastAsia="Arial" w:hAnsi="Arial"/>
          <w:sz w:val="18"/>
          <w:szCs w:val="18"/>
          <w:color w:val="auto"/>
        </w:rPr>
      </w:pPr>
    </w:p>
    <w:p>
      <w:pPr>
        <w:ind w:left="-20" w:right="380" w:firstLine="548"/>
        <w:spacing w:after="0" w:line="306" w:lineRule="auto"/>
        <w:tabs>
          <w:tab w:leader="none" w:pos="827" w:val="left"/>
        </w:tabs>
        <w:numPr>
          <w:ilvl w:val="1"/>
          <w:numId w:val="14"/>
        </w:numPr>
        <w:rPr>
          <w:rFonts w:ascii="Arial" w:cs="Arial" w:eastAsia="Arial" w:hAnsi="Arial"/>
          <w:sz w:val="16"/>
          <w:szCs w:val="16"/>
          <w:color w:val="auto"/>
        </w:rPr>
      </w:pPr>
      <w:r>
        <w:rPr>
          <w:rFonts w:ascii="Arial" w:cs="Arial" w:eastAsia="Arial" w:hAnsi="Arial"/>
          <w:sz w:val="16"/>
          <w:szCs w:val="16"/>
          <w:color w:val="auto"/>
        </w:rPr>
        <w:t xml:space="preserve">As used in this Agreement, the term “Good Reason” shall mean (i) (except as set forth in </w:t>
      </w:r>
      <w:r>
        <w:rPr>
          <w:rFonts w:ascii="Arial" w:cs="Arial" w:eastAsia="Arial" w:hAnsi="Arial"/>
          <w:sz w:val="16"/>
          <w:szCs w:val="16"/>
          <w:u w:val="single" w:color="auto"/>
          <w:color w:val="auto"/>
        </w:rPr>
        <w:t>Section 5(e)</w:t>
      </w:r>
      <w:r>
        <w:rPr>
          <w:rFonts w:ascii="Arial" w:cs="Arial" w:eastAsia="Arial" w:hAnsi="Arial"/>
          <w:sz w:val="16"/>
          <w:szCs w:val="16"/>
          <w:color w:val="auto"/>
        </w:rPr>
        <w:t>) the relocation of the Company’s principal executive offices to a location outside the contiguous 48 United States without the consent of Executive or (ii) a material diminution in Executive’s overall employee benefits not the result of changes in benefit plans affecting other employees, without the consent of Executive.</w:t>
      </w:r>
    </w:p>
    <w:p>
      <w:pPr>
        <w:spacing w:after="0" w:line="214" w:lineRule="exact"/>
        <w:rPr>
          <w:rFonts w:ascii="Arial" w:cs="Arial" w:eastAsia="Arial" w:hAnsi="Arial"/>
          <w:sz w:val="16"/>
          <w:szCs w:val="16"/>
          <w:color w:val="auto"/>
        </w:rPr>
      </w:pPr>
    </w:p>
    <w:p>
      <w:pPr>
        <w:ind w:left="-20" w:right="180" w:firstLine="548"/>
        <w:spacing w:after="0" w:line="268" w:lineRule="auto"/>
        <w:tabs>
          <w:tab w:leader="none" w:pos="8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As a condition to receiving the payment and benefits extension contemplated by </w:t>
      </w:r>
      <w:r>
        <w:rPr>
          <w:rFonts w:ascii="Arial" w:cs="Arial" w:eastAsia="Arial" w:hAnsi="Arial"/>
          <w:sz w:val="18"/>
          <w:szCs w:val="18"/>
          <w:u w:val="single" w:color="auto"/>
          <w:color w:val="auto"/>
        </w:rPr>
        <w:t>Section 5(d) or 5(e)</w:t>
      </w:r>
      <w:r>
        <w:rPr>
          <w:rFonts w:ascii="Arial" w:cs="Arial" w:eastAsia="Arial" w:hAnsi="Arial"/>
          <w:sz w:val="18"/>
          <w:szCs w:val="18"/>
          <w:color w:val="auto"/>
        </w:rPr>
        <w:t xml:space="preserve">, Executive agrees to execute and deliver to the Company the Release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ind w:left="500" w:hanging="24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740" w:hanging="212"/>
        <w:spacing w:after="0"/>
        <w:tabs>
          <w:tab w:leader="none" w:pos="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purposes of the Agreement, a “change of control” means, and shall be deemed to have taken place, if;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60" w:top="644" w:right="259" w:bottom="1440" w:gutter="0" w:footer="0" w:header="0"/>
        </w:sectPr>
      </w:pPr>
    </w:p>
    <w:bookmarkStart w:id="39" w:name="page40"/>
    <w:bookmarkEnd w:id="39"/>
    <w:p>
      <w:pPr>
        <w:ind w:left="-120" w:right="120" w:firstLine="818"/>
        <w:spacing w:after="0" w:line="298" w:lineRule="auto"/>
        <w:tabs>
          <w:tab w:leader="none" w:pos="939"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220" w:lineRule="exact"/>
        <w:rPr>
          <w:rFonts w:ascii="Arial" w:cs="Arial" w:eastAsia="Arial" w:hAnsi="Arial"/>
          <w:sz w:val="16"/>
          <w:szCs w:val="16"/>
          <w:color w:val="auto"/>
        </w:rPr>
      </w:pPr>
    </w:p>
    <w:p>
      <w:pPr>
        <w:ind w:left="-120" w:right="200" w:firstLine="818"/>
        <w:spacing w:after="0" w:line="298" w:lineRule="auto"/>
        <w:tabs>
          <w:tab w:leader="none" w:pos="93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220" w:lineRule="exact"/>
        <w:rPr>
          <w:rFonts w:ascii="Arial" w:cs="Arial" w:eastAsia="Arial" w:hAnsi="Arial"/>
          <w:sz w:val="16"/>
          <w:szCs w:val="16"/>
          <w:color w:val="auto"/>
        </w:rPr>
      </w:pPr>
    </w:p>
    <w:p>
      <w:pPr>
        <w:ind w:left="-120" w:right="80" w:firstLine="818"/>
        <w:spacing w:after="0" w:line="259" w:lineRule="auto"/>
        <w:tabs>
          <w:tab w:leader="none" w:pos="939"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there occurs a reorganization, merger, consolidation or other corporate transaction involving the Company (a “</w:t>
      </w:r>
      <w:r>
        <w:rPr>
          <w:rFonts w:ascii="Arial" w:cs="Arial" w:eastAsia="Arial" w:hAnsi="Arial"/>
          <w:sz w:val="18"/>
          <w:szCs w:val="18"/>
          <w:u w:val="single" w:color="auto"/>
          <w:color w:val="auto"/>
        </w:rPr>
        <w:t>Transaction</w:t>
      </w:r>
      <w:r>
        <w:rPr>
          <w:rFonts w:ascii="Arial" w:cs="Arial" w:eastAsia="Arial" w:hAnsi="Arial"/>
          <w:sz w:val="18"/>
          <w:szCs w:val="18"/>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248" w:lineRule="exact"/>
        <w:rPr>
          <w:rFonts w:ascii="Arial" w:cs="Arial" w:eastAsia="Arial" w:hAnsi="Arial"/>
          <w:sz w:val="18"/>
          <w:szCs w:val="18"/>
          <w:color w:val="auto"/>
        </w:rPr>
      </w:pPr>
    </w:p>
    <w:p>
      <w:pPr>
        <w:ind w:left="940" w:hanging="242"/>
        <w:spacing w:after="0"/>
        <w:tabs>
          <w:tab w:leader="none" w:pos="9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there is a “change in control” of the Company.</w:t>
      </w:r>
    </w:p>
    <w:p>
      <w:pPr>
        <w:spacing w:after="0" w:line="279" w:lineRule="exact"/>
        <w:rPr>
          <w:rFonts w:ascii="Arial" w:cs="Arial" w:eastAsia="Arial" w:hAnsi="Arial"/>
          <w:sz w:val="18"/>
          <w:szCs w:val="18"/>
          <w:color w:val="auto"/>
        </w:rPr>
      </w:pPr>
    </w:p>
    <w:p>
      <w:pPr>
        <w:ind w:left="-120" w:firstLine="548"/>
        <w:spacing w:after="0" w:line="290" w:lineRule="auto"/>
        <w:tabs>
          <w:tab w:leader="none" w:pos="727"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If during the period three (3) months before or two (2) years following a “change in control” of the Company (or any successor), the Executive is terminated by the Company for any reason (other than for Cause as defined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thereof), including an election by the Company or its successor not to extend this Agreement pursuant to Section 1, or the Executive resigns for Good Reason as defined in </w:t>
      </w:r>
      <w:r>
        <w:rPr>
          <w:rFonts w:ascii="Arial" w:cs="Arial" w:eastAsia="Arial" w:hAnsi="Arial"/>
          <w:sz w:val="16"/>
          <w:szCs w:val="16"/>
          <w:u w:val="single" w:color="auto"/>
          <w:color w:val="auto"/>
        </w:rPr>
        <w:t>Section 5(e)(ii)</w:t>
      </w:r>
      <w:r>
        <w:rPr>
          <w:rFonts w:ascii="Arial" w:cs="Arial" w:eastAsia="Arial" w:hAnsi="Arial"/>
          <w:sz w:val="16"/>
          <w:szCs w:val="16"/>
          <w:color w:val="auto"/>
        </w:rPr>
        <w:t xml:space="preserve">), “ ”Executive shall be entitled to receive a cash payment equal to eighteen (18) months of Executive’s current Base Salary and the benefits described in </w:t>
      </w:r>
      <w:r>
        <w:rPr>
          <w:rFonts w:ascii="Arial" w:cs="Arial" w:eastAsia="Arial" w:hAnsi="Arial"/>
          <w:sz w:val="16"/>
          <w:szCs w:val="16"/>
          <w:u w:val="single" w:color="auto"/>
          <w:color w:val="auto"/>
        </w:rPr>
        <w:t>Section 5(d)(ii)</w:t>
      </w:r>
      <w:r>
        <w:rPr>
          <w:rFonts w:ascii="Arial" w:cs="Arial" w:eastAsia="Arial" w:hAnsi="Arial"/>
          <w:sz w:val="16"/>
          <w:szCs w:val="16"/>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hereof and the “change of control” payment described in this </w:t>
      </w:r>
      <w:r>
        <w:rPr>
          <w:rFonts w:ascii="Arial" w:cs="Arial" w:eastAsia="Arial" w:hAnsi="Arial"/>
          <w:sz w:val="16"/>
          <w:szCs w:val="16"/>
          <w:u w:val="single" w:color="auto"/>
          <w:color w:val="auto"/>
        </w:rPr>
        <w:t>Section 5(e)</w:t>
      </w:r>
      <w:r>
        <w:rPr>
          <w:rFonts w:ascii="Arial" w:cs="Arial" w:eastAsia="Arial" w:hAnsi="Arial"/>
          <w:sz w:val="16"/>
          <w:szCs w:val="16"/>
          <w:color w:val="auto"/>
        </w:rPr>
        <w:t>.</w:t>
      </w:r>
    </w:p>
    <w:p>
      <w:pPr>
        <w:spacing w:after="0" w:line="226" w:lineRule="exact"/>
        <w:rPr>
          <w:rFonts w:ascii="Arial" w:cs="Arial" w:eastAsia="Arial" w:hAnsi="Arial"/>
          <w:sz w:val="16"/>
          <w:szCs w:val="16"/>
          <w:color w:val="auto"/>
        </w:rPr>
      </w:pPr>
    </w:p>
    <w:p>
      <w:pPr>
        <w:ind w:left="-120" w:right="260" w:firstLine="548"/>
        <w:spacing w:after="0" w:line="259" w:lineRule="auto"/>
        <w:tabs>
          <w:tab w:leader="none" w:pos="7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Any payments to be made to Executive in connection with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made in a lump sum, subject to statutory deductions and withholdings, in cash within ten (10) business days after the date of termination or any earlier time required by applicable law, following the expiration of the Revocation Period defined in the Release referred to in </w:t>
      </w:r>
      <w:r>
        <w:rPr>
          <w:rFonts w:ascii="Arial" w:cs="Arial" w:eastAsia="Arial" w:hAnsi="Arial"/>
          <w:sz w:val="18"/>
          <w:szCs w:val="18"/>
          <w:u w:val="single" w:color="auto"/>
          <w:color w:val="auto"/>
        </w:rPr>
        <w:t>Section 5(d)(iv)</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231775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360" w:top="644" w:right="339" w:bottom="1440" w:gutter="0" w:footer="0" w:header="0"/>
        </w:sectPr>
      </w:pPr>
    </w:p>
    <w:bookmarkStart w:id="40" w:name="page41"/>
    <w:bookmarkEnd w:id="40"/>
    <w:p>
      <w:pPr>
        <w:ind w:left="520" w:hanging="24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Treatment of Stock Options Upon Change of Control or a Termination</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40" w:firstLine="548"/>
        <w:spacing w:after="0" w:line="268" w:lineRule="auto"/>
        <w:tabs>
          <w:tab w:leader="none" w:pos="75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240" w:lineRule="exact"/>
        <w:rPr>
          <w:rFonts w:ascii="Arial" w:cs="Arial" w:eastAsia="Arial" w:hAnsi="Arial"/>
          <w:sz w:val="18"/>
          <w:szCs w:val="18"/>
          <w:color w:val="auto"/>
        </w:rPr>
      </w:pPr>
    </w:p>
    <w:p>
      <w:pPr>
        <w:ind w:right="220" w:firstLine="548"/>
        <w:spacing w:after="0" w:line="268" w:lineRule="auto"/>
        <w:tabs>
          <w:tab w:leader="none" w:pos="7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clause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if Executive resigns his employment, all unvested stock options granted to Executive pursuant to the Company’s stock plans shall terminate immediately.</w:t>
      </w:r>
    </w:p>
    <w:p>
      <w:pPr>
        <w:spacing w:after="0" w:line="240" w:lineRule="exact"/>
        <w:rPr>
          <w:sz w:val="20"/>
          <w:szCs w:val="20"/>
          <w:color w:val="auto"/>
        </w:rPr>
      </w:pPr>
    </w:p>
    <w:p>
      <w:pPr>
        <w:ind w:firstLine="810"/>
        <w:spacing w:after="0" w:line="335" w:lineRule="auto"/>
        <w:rPr>
          <w:sz w:val="20"/>
          <w:szCs w:val="20"/>
          <w:color w:val="auto"/>
        </w:rPr>
      </w:pPr>
      <w:r>
        <w:rPr>
          <w:rFonts w:ascii="Arial" w:cs="Arial" w:eastAsia="Arial" w:hAnsi="Arial"/>
          <w:sz w:val="15"/>
          <w:szCs w:val="15"/>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96" w:lineRule="exact"/>
        <w:rPr>
          <w:sz w:val="20"/>
          <w:szCs w:val="20"/>
          <w:color w:val="auto"/>
        </w:rPr>
      </w:pPr>
    </w:p>
    <w:p>
      <w:pPr>
        <w:ind w:right="260" w:firstLine="810"/>
        <w:spacing w:after="0" w:line="332" w:lineRule="auto"/>
        <w:rPr>
          <w:sz w:val="20"/>
          <w:szCs w:val="20"/>
          <w:color w:val="auto"/>
        </w:rPr>
      </w:pPr>
      <w:r>
        <w:rPr>
          <w:rFonts w:ascii="Arial" w:cs="Arial" w:eastAsia="Arial" w:hAnsi="Arial"/>
          <w:sz w:val="16"/>
          <w:szCs w:val="16"/>
          <w:color w:val="auto"/>
        </w:rPr>
        <w:t xml:space="preserve">Except as expressly modified by this clause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w:t>
      </w:r>
      <w:r>
        <w:rPr>
          <w:rFonts w:ascii="Arial" w:cs="Arial" w:eastAsia="Arial" w:hAnsi="Arial"/>
          <w:sz w:val="16"/>
          <w:szCs w:val="16"/>
          <w:color w:val="auto"/>
        </w:rPr>
        <w:t>, all stock options and similar rights granted under the Company’s stock plans shall remain subject to all of the terms and conditions of the applicable stock plans and agreements evidencing the grants thereof.</w:t>
      </w:r>
    </w:p>
    <w:p>
      <w:pPr>
        <w:spacing w:after="0" w:line="193" w:lineRule="exact"/>
        <w:rPr>
          <w:sz w:val="20"/>
          <w:szCs w:val="20"/>
          <w:color w:val="auto"/>
        </w:rPr>
      </w:pPr>
    </w:p>
    <w:p>
      <w:pPr>
        <w:ind w:right="40" w:firstLine="278"/>
        <w:spacing w:after="0" w:line="291" w:lineRule="auto"/>
        <w:tabs>
          <w:tab w:leader="none" w:pos="51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Exclusive Remedy</w:t>
      </w:r>
      <w:r>
        <w:rPr>
          <w:rFonts w:ascii="Arial" w:cs="Arial" w:eastAsia="Arial" w:hAnsi="Arial"/>
          <w:sz w:val="16"/>
          <w:szCs w:val="16"/>
          <w:color w:val="auto"/>
        </w:rPr>
        <w:t>. Executive agrees that the payments and other benefits provided and contemplated by this Agreement shall constitute the sole and exclusive obligation of the Company in respect of Executive’s employment with and relationship to the Company and PKL and that the full payment thereof shall be the sole and exclusive remedy for any termination of Executive’s employment. Executive covenants not to assert or pursue any other remedies, at law (including Korean statutory law) or in equity, with respect to any termination of employment. Executive further agrees that all previous employment agreements with either the Company or PKL will be terminated and except as set forth herein neither PKL nor the Company will have any other obligations or liabilities to Executive. Lastly, Executive further agrees that it waives any and all rights or remedies it may have under any Korean statutory or labor laws.</w:t>
      </w:r>
    </w:p>
    <w:p>
      <w:pPr>
        <w:spacing w:after="0" w:line="195" w:lineRule="exact"/>
        <w:rPr>
          <w:rFonts w:ascii="Arial" w:cs="Arial" w:eastAsia="Arial" w:hAnsi="Arial"/>
          <w:sz w:val="16"/>
          <w:szCs w:val="16"/>
          <w:color w:val="auto"/>
        </w:rPr>
      </w:pPr>
    </w:p>
    <w:p>
      <w:pPr>
        <w:jc w:val="both"/>
        <w:ind w:right="60" w:firstLine="8"/>
        <w:spacing w:after="0" w:line="310" w:lineRule="auto"/>
        <w:tabs>
          <w:tab w:leader="none" w:pos="176"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to the extent that such expenditures satisfy the criteria under applicable laws for deductibility by PKL</w:t>
      </w:r>
      <w:r>
        <w:rPr>
          <w:rFonts w:ascii="Arial" w:cs="Arial" w:eastAsia="Arial" w:hAnsi="Arial"/>
          <w:sz w:val="16"/>
          <w:szCs w:val="16"/>
          <w:b w:val="1"/>
          <w:bCs w:val="1"/>
          <w:color w:val="auto"/>
        </w:rPr>
        <w:t xml:space="preserve"> </w:t>
      </w:r>
      <w:r>
        <w:rPr>
          <w:rFonts w:ascii="Arial" w:cs="Arial" w:eastAsia="Arial" w:hAnsi="Arial"/>
          <w:sz w:val="16"/>
          <w:szCs w:val="16"/>
          <w:color w:val="auto"/>
        </w:rPr>
        <w:t>as ordinary and necessary business expenses, PKL shall provide the Executive with reimbursement of reasonable business expenses incurred by the Executive in a manner consistent with the Company’s policies and provisions applicable to the Executives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41" w:name="page42"/>
    <w:bookmarkEnd w:id="41"/>
    <w:p>
      <w:pPr>
        <w:ind w:left="172" w:hanging="172"/>
        <w:spacing w:after="0"/>
        <w:tabs>
          <w:tab w:leader="none" w:pos="17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w:t>
      </w:r>
    </w:p>
    <w:p>
      <w:pPr>
        <w:spacing w:after="0" w:line="285" w:lineRule="exact"/>
        <w:rPr>
          <w:rFonts w:ascii="Arial" w:cs="Arial" w:eastAsia="Arial" w:hAnsi="Arial"/>
          <w:sz w:val="18"/>
          <w:szCs w:val="18"/>
          <w:b w:val="1"/>
          <w:bCs w:val="1"/>
          <w:color w:val="auto"/>
        </w:rPr>
      </w:pPr>
    </w:p>
    <w:p>
      <w:pPr>
        <w:ind w:left="-8" w:right="20" w:firstLine="278"/>
        <w:spacing w:after="0" w:line="289" w:lineRule="auto"/>
        <w:tabs>
          <w:tab w:leader="none" w:pos="50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226" w:lineRule="exact"/>
        <w:rPr>
          <w:rFonts w:ascii="Arial" w:cs="Arial" w:eastAsia="Arial" w:hAnsi="Arial"/>
          <w:sz w:val="16"/>
          <w:szCs w:val="16"/>
          <w:color w:val="auto"/>
        </w:rPr>
      </w:pPr>
    </w:p>
    <w:p>
      <w:pPr>
        <w:ind w:left="-8" w:firstLine="278"/>
        <w:spacing w:after="0" w:line="294" w:lineRule="auto"/>
        <w:tabs>
          <w:tab w:leader="none" w:pos="51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90" w:lineRule="exact"/>
        <w:rPr>
          <w:rFonts w:ascii="Arial" w:cs="Arial" w:eastAsia="Arial" w:hAnsi="Arial"/>
          <w:sz w:val="16"/>
          <w:szCs w:val="16"/>
          <w:color w:val="auto"/>
        </w:rPr>
      </w:pPr>
    </w:p>
    <w:p>
      <w:pPr>
        <w:ind w:left="-8" w:firstLine="8"/>
        <w:spacing w:after="0" w:line="275" w:lineRule="auto"/>
        <w:tabs>
          <w:tab w:leader="none" w:pos="16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covenants and agrees that commencing on the date hereof and continuing for the entire Term of Executive’s employment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twelve (12) months thereafter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shall not:</w:t>
      </w:r>
    </w:p>
    <w:p>
      <w:pPr>
        <w:spacing w:after="0" w:line="233" w:lineRule="exact"/>
        <w:rPr>
          <w:rFonts w:ascii="Arial" w:cs="Arial" w:eastAsia="Arial" w:hAnsi="Arial"/>
          <w:sz w:val="18"/>
          <w:szCs w:val="18"/>
          <w:b w:val="1"/>
          <w:bCs w:val="1"/>
          <w:color w:val="auto"/>
        </w:rPr>
      </w:pPr>
    </w:p>
    <w:p>
      <w:pPr>
        <w:ind w:left="-8" w:right="60" w:firstLine="278"/>
        <w:spacing w:after="0" w:line="298" w:lineRule="auto"/>
        <w:tabs>
          <w:tab w:leader="none" w:pos="501" w:val="left"/>
        </w:tabs>
        <w:numPr>
          <w:ilvl w:val="1"/>
          <w:numId w:val="20"/>
        </w:numPr>
        <w:rPr>
          <w:rFonts w:ascii="Arial" w:cs="Arial" w:eastAsia="Arial" w:hAnsi="Arial"/>
          <w:sz w:val="16"/>
          <w:szCs w:val="16"/>
          <w:color w:val="auto"/>
        </w:rPr>
      </w:pPr>
      <w:r>
        <w:rPr>
          <w:rFonts w:ascii="Arial" w:cs="Arial" w:eastAsia="Arial" w:hAnsi="Arial"/>
          <w:sz w:val="16"/>
          <w:szCs w:val="16"/>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220" w:lineRule="exact"/>
        <w:rPr>
          <w:rFonts w:ascii="Arial" w:cs="Arial" w:eastAsia="Arial" w:hAnsi="Arial"/>
          <w:sz w:val="16"/>
          <w:szCs w:val="16"/>
          <w:color w:val="auto"/>
        </w:rPr>
      </w:pPr>
    </w:p>
    <w:p>
      <w:pPr>
        <w:ind w:left="-8" w:right="140" w:firstLine="278"/>
        <w:spacing w:after="0" w:line="294" w:lineRule="auto"/>
        <w:tabs>
          <w:tab w:leader="none" w:pos="511"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Arial" w:cs="Arial" w:eastAsia="Arial" w:hAnsi="Arial"/>
          <w:sz w:val="16"/>
          <w:szCs w:val="16"/>
          <w:u w:val="single" w:color="auto"/>
          <w:color w:val="auto"/>
        </w:rPr>
        <w:t>Section 8</w:t>
      </w:r>
      <w:r>
        <w:rPr>
          <w:rFonts w:ascii="Arial" w:cs="Arial" w:eastAsia="Arial" w:hAnsi="Arial"/>
          <w:sz w:val="16"/>
          <w:szCs w:val="16"/>
          <w:color w:val="auto"/>
        </w:rPr>
        <w:t>, the term “</w:t>
      </w:r>
      <w:r>
        <w:rPr>
          <w:rFonts w:ascii="Arial" w:cs="Arial" w:eastAsia="Arial" w:hAnsi="Arial"/>
          <w:sz w:val="16"/>
          <w:szCs w:val="16"/>
          <w:u w:val="single" w:color="auto"/>
          <w:color w:val="auto"/>
        </w:rPr>
        <w:t>customer</w:t>
      </w:r>
      <w:r>
        <w:rPr>
          <w:rFonts w:ascii="Arial" w:cs="Arial" w:eastAsia="Arial" w:hAnsi="Arial"/>
          <w:sz w:val="16"/>
          <w:szCs w:val="16"/>
          <w:color w:val="auto"/>
        </w:rPr>
        <w:t>” means any entity or person who is or has been a client or customer of the Company during the time which Executive was employed with the Company, and the term “</w:t>
      </w:r>
      <w:r>
        <w:rPr>
          <w:rFonts w:ascii="Arial" w:cs="Arial" w:eastAsia="Arial" w:hAnsi="Arial"/>
          <w:sz w:val="16"/>
          <w:szCs w:val="16"/>
          <w:u w:val="single" w:color="auto"/>
          <w:color w:val="auto"/>
        </w:rPr>
        <w:t>prospective customer</w:t>
      </w:r>
      <w:r>
        <w:rPr>
          <w:rFonts w:ascii="Arial" w:cs="Arial" w:eastAsia="Arial" w:hAnsi="Arial"/>
          <w:sz w:val="16"/>
          <w:szCs w:val="16"/>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611" w:right="299" w:bottom="1440" w:gutter="0" w:footer="0" w:header="0"/>
        </w:sectPr>
      </w:pPr>
    </w:p>
    <w:bookmarkStart w:id="42" w:name="page43"/>
    <w:bookmarkEnd w:id="42"/>
    <w:p>
      <w:pPr>
        <w:ind w:left="-8" w:right="40" w:firstLine="278"/>
        <w:spacing w:after="0" w:line="259" w:lineRule="auto"/>
        <w:tabs>
          <w:tab w:leader="none" w:pos="501"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248" w:lineRule="exact"/>
        <w:rPr>
          <w:rFonts w:ascii="Arial" w:cs="Arial" w:eastAsia="Arial" w:hAnsi="Arial"/>
          <w:sz w:val="18"/>
          <w:szCs w:val="18"/>
          <w:color w:val="auto"/>
        </w:rPr>
      </w:pPr>
    </w:p>
    <w:p>
      <w:pPr>
        <w:ind w:left="-8" w:right="340" w:firstLine="278"/>
        <w:spacing w:after="0" w:line="268" w:lineRule="auto"/>
        <w:tabs>
          <w:tab w:leader="none" w:pos="5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Executive acknowledges that in the event of his employment with the Company terminates for any reason, Executive will be able to earn a livelihood without violating the foregoing restrictions.</w:t>
      </w:r>
    </w:p>
    <w:p>
      <w:pPr>
        <w:spacing w:after="0" w:line="240" w:lineRule="exact"/>
        <w:rPr>
          <w:rFonts w:ascii="Arial" w:cs="Arial" w:eastAsia="Arial" w:hAnsi="Arial"/>
          <w:sz w:val="18"/>
          <w:szCs w:val="18"/>
          <w:color w:val="auto"/>
        </w:rPr>
      </w:pPr>
    </w:p>
    <w:p>
      <w:pPr>
        <w:ind w:left="-8" w:right="40" w:firstLine="278"/>
        <w:spacing w:after="0" w:line="294" w:lineRule="auto"/>
        <w:tabs>
          <w:tab w:leader="none" w:pos="501"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If any provision or clause, or portion thereof, within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6"/>
          <w:szCs w:val="16"/>
          <w:u w:val="single" w:color="auto"/>
          <w:color w:val="auto"/>
        </w:rPr>
        <w:t>Section 8</w:t>
      </w:r>
      <w:r>
        <w:rPr>
          <w:rFonts w:ascii="Arial" w:cs="Arial" w:eastAsia="Arial" w:hAnsi="Arial"/>
          <w:sz w:val="16"/>
          <w:szCs w:val="16"/>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90" w:lineRule="exact"/>
        <w:rPr>
          <w:rFonts w:ascii="Arial" w:cs="Arial" w:eastAsia="Arial" w:hAnsi="Arial"/>
          <w:sz w:val="16"/>
          <w:szCs w:val="16"/>
          <w:color w:val="auto"/>
        </w:rPr>
      </w:pPr>
    </w:p>
    <w:p>
      <w:pPr>
        <w:ind w:left="172" w:hanging="172"/>
        <w:spacing w:after="0"/>
        <w:tabs>
          <w:tab w:leader="none" w:pos="17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85" w:lineRule="exact"/>
        <w:rPr>
          <w:rFonts w:ascii="Arial" w:cs="Arial" w:eastAsia="Arial" w:hAnsi="Arial"/>
          <w:sz w:val="18"/>
          <w:szCs w:val="18"/>
          <w:b w:val="1"/>
          <w:bCs w:val="1"/>
          <w:color w:val="auto"/>
        </w:rPr>
      </w:pPr>
    </w:p>
    <w:p>
      <w:pPr>
        <w:ind w:left="-8" w:right="60" w:firstLine="278"/>
        <w:spacing w:after="0" w:line="253" w:lineRule="auto"/>
        <w:tabs>
          <w:tab w:leader="none" w:pos="5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Executive has no interest (except as disclosed to the Company) in any inventions, designs, improvements, patents, copyrights and discoveries which are useful in or directly or indirectly related to the business of PKL or the Company or to any experimental work carried on by the Company or PKL. Except as may be limited by applicable law, all inventions, designs, improvements, patents, copyrights and discoveries conceived by Executive during the Term of this Agreement which are useful in or directly or indirectly related to the business of PKL or the Company or to any experimental work carried on by PKL or the Company, shall be the property of PKL or the Company. Executive will promptly and fully disclose to PKL or the Company all such inventions, designs, improvements, patents, copyrights and discoveries (whether developed individually or with other persons) and will take all steps necessary and reasonably required to assure PKL or the Company’s ownership thereof and to assist PKL or the Company in protecting or defending PKL or the Company’s proprietary rights therein.</w:t>
      </w:r>
    </w:p>
    <w:p>
      <w:pPr>
        <w:spacing w:after="0" w:line="253" w:lineRule="exact"/>
        <w:rPr>
          <w:rFonts w:ascii="Arial" w:cs="Arial" w:eastAsia="Arial" w:hAnsi="Arial"/>
          <w:sz w:val="18"/>
          <w:szCs w:val="18"/>
          <w:color w:val="auto"/>
        </w:rPr>
      </w:pPr>
    </w:p>
    <w:p>
      <w:pPr>
        <w:ind w:left="-8" w:firstLine="278"/>
        <w:spacing w:after="0" w:line="286" w:lineRule="auto"/>
        <w:tabs>
          <w:tab w:leader="none" w:pos="51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20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644" w:right="299" w:bottom="1440" w:gutter="0" w:footer="0" w:header="0"/>
        </w:sectPr>
      </w:pPr>
    </w:p>
    <w:bookmarkStart w:id="43" w:name="page44"/>
    <w:bookmarkEnd w:id="43"/>
    <w:p>
      <w:pPr>
        <w:ind w:left="-8" w:firstLine="8"/>
        <w:spacing w:after="0" w:line="293" w:lineRule="auto"/>
        <w:tabs>
          <w:tab w:leader="none" w:pos="25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agree that the services to be rendered by Executive pursuant to this Agreement, and the rights and privileges granted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and PKL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PKL or the Company great and irreparable injury and damage. Executive hereby expressly agrees that the PKL or Company shall be entitled to the remedies of injunction, specific performance and other equitable relief to prevent a breach of this Agreement by Executive. This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shall not be construed as a waiver of any other rights or remedies which the Company or PKL may have for damages or otherwise.</w:t>
      </w:r>
    </w:p>
    <w:p>
      <w:pPr>
        <w:spacing w:after="0" w:line="191" w:lineRule="exact"/>
        <w:rPr>
          <w:rFonts w:ascii="Arial" w:cs="Arial" w:eastAsia="Arial" w:hAnsi="Arial"/>
          <w:sz w:val="16"/>
          <w:szCs w:val="16"/>
          <w:b w:val="1"/>
          <w:bCs w:val="1"/>
          <w:color w:val="auto"/>
        </w:rPr>
      </w:pPr>
    </w:p>
    <w:p>
      <w:pPr>
        <w:ind w:left="-8" w:right="100" w:firstLine="8"/>
        <w:spacing w:after="0" w:line="339" w:lineRule="auto"/>
        <w:tabs>
          <w:tab w:leader="none" w:pos="246"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Return of Property</w:t>
      </w:r>
      <w:r>
        <w:rPr>
          <w:rFonts w:ascii="Arial" w:cs="Arial" w:eastAsia="Arial" w:hAnsi="Arial"/>
          <w:sz w:val="16"/>
          <w:szCs w:val="16"/>
          <w:color w:val="auto"/>
        </w:rPr>
        <w:t>. Executive agrees to return, on or before his last day of employment, all property belonging to the Company,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computers, PDA, telephone and other credit cards, PKL or Company business records, PKL or Company automobile (if applicable), etc.</w:t>
      </w:r>
    </w:p>
    <w:p>
      <w:pPr>
        <w:spacing w:after="0" w:line="155" w:lineRule="exact"/>
        <w:rPr>
          <w:rFonts w:ascii="Arial" w:cs="Arial" w:eastAsia="Arial" w:hAnsi="Arial"/>
          <w:sz w:val="16"/>
          <w:szCs w:val="16"/>
          <w:b w:val="1"/>
          <w:bCs w:val="1"/>
          <w:color w:val="auto"/>
        </w:rPr>
      </w:pPr>
    </w:p>
    <w:p>
      <w:pPr>
        <w:ind w:left="-8" w:right="140" w:firstLine="8"/>
        <w:spacing w:after="0" w:line="339" w:lineRule="auto"/>
        <w:tabs>
          <w:tab w:leader="none" w:pos="25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is held to be unenforceable for any reason, it shall be adjusted rather than voided, if possible, to achieve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intent of the parties to the extent possible. In any event, all other provisions of this Agreement shall be deemed valid and enforceable to the extent possible.</w:t>
      </w:r>
    </w:p>
    <w:p>
      <w:pPr>
        <w:spacing w:after="0" w:line="155" w:lineRule="exact"/>
        <w:rPr>
          <w:rFonts w:ascii="Arial" w:cs="Arial" w:eastAsia="Arial" w:hAnsi="Arial"/>
          <w:sz w:val="16"/>
          <w:szCs w:val="16"/>
          <w:b w:val="1"/>
          <w:bCs w:val="1"/>
          <w:color w:val="auto"/>
        </w:rPr>
      </w:pPr>
    </w:p>
    <w:p>
      <w:pPr>
        <w:ind w:left="-8" w:right="40" w:firstLine="8"/>
        <w:spacing w:after="0" w:line="255" w:lineRule="auto"/>
        <w:tabs>
          <w:tab w:leader="none" w:pos="2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Succession</w:t>
      </w:r>
      <w:r>
        <w:rPr>
          <w:rFonts w:ascii="Arial" w:cs="Arial" w:eastAsia="Arial" w:hAnsi="Arial"/>
          <w:sz w:val="18"/>
          <w:szCs w:val="18"/>
          <w:color w:val="auto"/>
        </w:rPr>
        <w:t>. This Agreement shall inure to the benefit of and be binding upon the Company and its successors and assigns and any such successor or assignee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2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611" w:right="239" w:bottom="1440" w:gutter="0" w:footer="0" w:header="0"/>
        </w:sectPr>
      </w:pPr>
    </w:p>
    <w:bookmarkStart w:id="44" w:name="page45"/>
    <w:bookmarkEnd w:id="44"/>
    <w:p>
      <w:pPr>
        <w:ind w:left="280" w:hanging="272"/>
        <w:spacing w:after="0"/>
        <w:tabs>
          <w:tab w:leader="none" w:pos="2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or other communication provided for in this Agreement shall be in writing and sent if to the Company to its principal office at: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 Secor Road, PO Box 5226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 06804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the Vice President, General Counsel of Photronics, Inc.</w:t>
      </w:r>
    </w:p>
    <w:p>
      <w:pPr>
        <w:spacing w:after="0" w:line="2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w:t>
      </w:r>
    </w:p>
    <w:p>
      <w:pPr>
        <w:ind w:right="380" w:firstLine="8"/>
        <w:spacing w:after="0" w:line="255"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days after its transmission to the applicable number so specified in (or pursuant to) this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19" w:lineRule="exact"/>
        <w:rPr>
          <w:sz w:val="20"/>
          <w:szCs w:val="20"/>
          <w:color w:val="auto"/>
        </w:rPr>
      </w:pPr>
    </w:p>
    <w:p>
      <w:pPr>
        <w:ind w:right="140" w:firstLine="8"/>
        <w:spacing w:after="0" w:line="258" w:lineRule="auto"/>
        <w:tabs>
          <w:tab w:leader="none" w:pos="26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Adequate Consideration</w:t>
      </w:r>
      <w:r>
        <w:rPr>
          <w:rFonts w:ascii="Arial" w:cs="Arial" w:eastAsia="Arial" w:hAnsi="Arial"/>
          <w:sz w:val="18"/>
          <w:szCs w:val="18"/>
          <w:color w:val="auto"/>
        </w:rPr>
        <w:t>. Executive acknowledges that the cash severance and other benefits to be provided by the Company to Executive are not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(Confidential Information),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(Non-Competition),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(Remedies)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(Release).</w:t>
      </w:r>
    </w:p>
    <w:p>
      <w:pPr>
        <w:spacing w:after="0" w:line="217" w:lineRule="exact"/>
        <w:rPr>
          <w:rFonts w:ascii="Arial" w:cs="Arial" w:eastAsia="Arial" w:hAnsi="Arial"/>
          <w:sz w:val="18"/>
          <w:szCs w:val="18"/>
          <w:b w:val="1"/>
          <w:bCs w:val="1"/>
          <w:color w:val="auto"/>
        </w:rPr>
      </w:pPr>
    </w:p>
    <w:p>
      <w:pPr>
        <w:ind w:right="300" w:firstLine="8"/>
        <w:spacing w:after="0" w:line="275" w:lineRule="auto"/>
        <w:tabs>
          <w:tab w:leader="none" w:pos="26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contains the entire agreement of the parties relating to the subject matter hereof and supersedes any prior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undertakings, commitments and practices relating to Executive’s employment by the Company.</w:t>
      </w:r>
    </w:p>
    <w:p>
      <w:pPr>
        <w:spacing w:after="0" w:line="200" w:lineRule="exact"/>
        <w:rPr>
          <w:rFonts w:ascii="Arial" w:cs="Arial" w:eastAsia="Arial" w:hAnsi="Arial"/>
          <w:sz w:val="18"/>
          <w:szCs w:val="18"/>
          <w:b w:val="1"/>
          <w:bCs w:val="1"/>
          <w:color w:val="auto"/>
        </w:rPr>
      </w:pPr>
    </w:p>
    <w:p>
      <w:pPr>
        <w:ind w:left="280" w:hanging="272"/>
        <w:spacing w:after="0"/>
        <w:tabs>
          <w:tab w:leader="none" w:pos="2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w:t>
      </w:r>
      <w:r>
        <w:rPr>
          <w:rFonts w:ascii="Arial" w:cs="Arial" w:eastAsia="Arial" w:hAnsi="Arial"/>
          <w:sz w:val="16"/>
          <w:szCs w:val="16"/>
          <w:color w:val="auto"/>
        </w:rPr>
        <w:t>. No amendment or modification of the terms of this Agreement shall be valid unless made in writing, duly executed by both parties.</w:t>
      </w:r>
    </w:p>
    <w:p>
      <w:pPr>
        <w:spacing w:after="0" w:line="275" w:lineRule="exact"/>
        <w:rPr>
          <w:rFonts w:ascii="Arial" w:cs="Arial" w:eastAsia="Arial" w:hAnsi="Arial"/>
          <w:sz w:val="16"/>
          <w:szCs w:val="16"/>
          <w:b w:val="1"/>
          <w:bCs w:val="1"/>
          <w:color w:val="auto"/>
        </w:rPr>
      </w:pPr>
    </w:p>
    <w:p>
      <w:pPr>
        <w:ind w:right="200" w:firstLine="8"/>
        <w:spacing w:after="0" w:line="275" w:lineRule="auto"/>
        <w:tabs>
          <w:tab w:leader="none" w:pos="26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on the part of any party to exercise or delay in exercising any right hereunder shall be deemed a waiver thereof or of any other right, nor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any single or partial exercise preclude any further or other exercise of such right or any other right.</w:t>
      </w:r>
    </w:p>
    <w:p>
      <w:pPr>
        <w:spacing w:after="0" w:line="200" w:lineRule="exact"/>
        <w:rPr>
          <w:rFonts w:ascii="Arial" w:cs="Arial" w:eastAsia="Arial" w:hAnsi="Arial"/>
          <w:sz w:val="18"/>
          <w:szCs w:val="18"/>
          <w:b w:val="1"/>
          <w:bCs w:val="1"/>
          <w:color w:val="auto"/>
        </w:rPr>
      </w:pPr>
    </w:p>
    <w:p>
      <w:pPr>
        <w:ind w:right="40" w:firstLine="8"/>
        <w:spacing w:after="0" w:line="262" w:lineRule="auto"/>
        <w:tabs>
          <w:tab w:leader="none" w:pos="26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the legal relations between the parties,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Connecticut without regard to conflicts of law doctrines and any court action arising out of this Agreement shall be brought in any court of competent jurisdiction within the State of Connecticut.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5" w:name="page46"/>
    <w:bookmarkEnd w:id="45"/>
    <w:p>
      <w:pPr>
        <w:ind w:right="180" w:firstLine="8"/>
        <w:spacing w:after="0" w:line="275"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All compensation payable hereunder, including salary and other benefits, shall be subject to applicable taxes, withholding and other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normal or elected employee deductions.</w:t>
      </w:r>
    </w:p>
    <w:p>
      <w:pPr>
        <w:spacing w:after="0" w:line="200" w:lineRule="exact"/>
        <w:rPr>
          <w:rFonts w:ascii="Arial" w:cs="Arial" w:eastAsia="Arial" w:hAnsi="Arial"/>
          <w:sz w:val="18"/>
          <w:szCs w:val="18"/>
          <w:b w:val="1"/>
          <w:bCs w:val="1"/>
          <w:color w:val="auto"/>
        </w:rPr>
      </w:pPr>
    </w:p>
    <w:p>
      <w:pPr>
        <w:ind w:firstLine="8"/>
        <w:spacing w:after="0" w:line="275"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executed in one or more counterparts. All of such counterparts shall constitute one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agreement and shall become effective when a copy signed by each party has been delivered to the other party.</w:t>
      </w:r>
    </w:p>
    <w:p>
      <w:pPr>
        <w:spacing w:after="0" w:line="200" w:lineRule="exact"/>
        <w:rPr>
          <w:rFonts w:ascii="Arial" w:cs="Arial" w:eastAsia="Arial" w:hAnsi="Arial"/>
          <w:sz w:val="18"/>
          <w:szCs w:val="18"/>
          <w:b w:val="1"/>
          <w:bCs w:val="1"/>
          <w:color w:val="auto"/>
        </w:rPr>
      </w:pPr>
    </w:p>
    <w:p>
      <w:pPr>
        <w:ind w:right="440" w:firstLine="8"/>
        <w:spacing w:after="0" w:line="275" w:lineRule="auto"/>
        <w:tabs>
          <w:tab w:leader="none" w:pos="2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and other headings contained in this Agreement are for convenience of reference only and shall not affect in any way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w:t>
      </w:r>
    </w:p>
    <w:p>
      <w:pPr>
        <w:spacing w:after="0" w:line="23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WITNESS WHEREOF, the parties have executed this Agreement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6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Richelle Burr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19685</wp:posOffset>
            </wp:positionV>
            <wp:extent cx="33445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Richelle Burr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Soo Hoo Jeong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Dr. Soo Hoo Jeong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Address: 272-3 Gumi-Dong, Bundang, Seongnam, Kyeonggi, Korea 463-802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PKL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Soo Hoo Jeong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Dr. Soo Hoo Jeong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6" w:name="page47"/>
    <w:bookmarkEnd w:id="46"/>
    <w:p>
      <w:pPr>
        <w:jc w:val="center"/>
        <w:ind w:right="-51"/>
        <w:spacing w:after="0"/>
        <w:rPr>
          <w:sz w:val="20"/>
          <w:szCs w:val="20"/>
          <w:color w:val="auto"/>
        </w:rPr>
      </w:pPr>
      <w:r>
        <w:rPr>
          <w:rFonts w:ascii="Arial" w:cs="Arial" w:eastAsia="Arial" w:hAnsi="Arial"/>
          <w:sz w:val="18"/>
          <w:szCs w:val="18"/>
          <w:b w:val="1"/>
          <w:bCs w:val="1"/>
          <w:u w:val="single" w:color="auto"/>
          <w:color w:val="auto"/>
        </w:rPr>
        <w:t>EXHIBIT A</w:t>
      </w:r>
    </w:p>
    <w:p>
      <w:pPr>
        <w:spacing w:after="0" w:line="2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RELEASE</w:t>
      </w:r>
    </w:p>
    <w:p>
      <w:pPr>
        <w:spacing w:after="0" w:line="252" w:lineRule="exact"/>
        <w:rPr>
          <w:sz w:val="20"/>
          <w:szCs w:val="20"/>
          <w:color w:val="auto"/>
        </w:rPr>
      </w:pPr>
    </w:p>
    <w:p>
      <w:pPr>
        <w:ind w:left="-8" w:right="300" w:firstLine="8"/>
        <w:spacing w:after="0" w:line="259" w:lineRule="auto"/>
        <w:tabs>
          <w:tab w:leader="none" w:pos="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signed an Employment Agreement with Photronics, Inc. (the “Company”), effective January 1, 2011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221" w:lineRule="exact"/>
        <w:rPr>
          <w:rFonts w:ascii="Arial" w:cs="Arial" w:eastAsia="Arial" w:hAnsi="Arial"/>
          <w:sz w:val="18"/>
          <w:szCs w:val="18"/>
          <w:color w:val="auto"/>
        </w:rPr>
      </w:pPr>
    </w:p>
    <w:p>
      <w:pPr>
        <w:ind w:left="-8" w:firstLine="8"/>
        <w:spacing w:after="0" w:line="286" w:lineRule="auto"/>
        <w:tabs>
          <w:tab w:leader="none" w:pos="168"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this Release. In recognition of the consideration set forth in the Agreement, I hereby release and forever discharge the Released Parties from any and all claims, actions and causes of action, I have or may have as of the date of this Release arising under any federal, state, or local statute, regulation, ordinance, or law of any kind, including under the Age Discrimination in Employment Act of 1967, as amended, and the applicable rules and regulations promulgated thereunder (“ADEA”), the Connecticut Human Rights and Opportunities Law, the Connecticut Family and Medical Leave Law, and the Connecticut Age Discrimination and Employee Insurance Benefits Law, and including claims for wrongful discharge, breach of contract, or in tort.</w:t>
      </w:r>
    </w:p>
    <w:p>
      <w:pPr>
        <w:spacing w:after="0" w:line="208" w:lineRule="exact"/>
        <w:rPr>
          <w:rFonts w:ascii="Arial" w:cs="Arial" w:eastAsia="Arial" w:hAnsi="Arial"/>
          <w:sz w:val="16"/>
          <w:szCs w:val="16"/>
          <w:color w:val="auto"/>
        </w:rPr>
      </w:pPr>
    </w:p>
    <w:p>
      <w:pPr>
        <w:ind w:left="172" w:hanging="172"/>
        <w:spacing w:after="0"/>
        <w:tabs>
          <w:tab w:leader="none" w:pos="1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agree not to criticize, denigrate, or otherwise disparage the Company or any other Released Party.</w:t>
      </w:r>
    </w:p>
    <w:p>
      <w:pPr>
        <w:spacing w:after="0" w:line="25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231775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52"/>
          </w:cols>
          <w:pgMar w:left="248" w:top="611" w:right="299" w:bottom="1440" w:gutter="0" w:footer="0" w:header="0"/>
        </w:sectPr>
      </w:pPr>
    </w:p>
    <w:bookmarkStart w:id="47" w:name="page48"/>
    <w:bookmarkEnd w:id="47"/>
    <w:p>
      <w:pPr>
        <w:ind w:firstLine="8"/>
        <w:spacing w:after="0" w:line="286"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Release is not an admission of guilt or wrongdoing by either me or the Company. This Release constitutes the entire agreement between me and the Company with respect to the subject matter hereof, and I am not signing this Release in reliance on any representation not expressly set forth herein. No provisions of this Release may be modified, waived, amended or discharged except by a written document signed by me and a duly authorized Company representative. This Release binds my heirs, administrators, representatives, executors, successors, and assigns, and will inure to the benefit of all Released Parties and their respective heirs, administrators, representatives, executors, successors, and assigns. The invalidity or unenforceability of any provision of this Release shall not affect the validity or enforceability of any other provision of this Release, which shall remain in full force and effect. A waiver of any conditions or provisions of this Release in a given instance shall not be deemed a waiver of such conditions or provisions at any other time. If any of the provisions, terms or clauses of this Release are declared illegal, unenforceable or ineffective in a legal forum, those provisions, terms and clauses shall be deemed severable, such that all other provisions, terms and clauses of this Release shall remain valid and binding upon both parties. If any of the provisions, terms or clauses of this Release are found by a court to be overly broad, those provisions, terms and clauses shall be enforceable (and modified and enforced) to the broadest extent permissible under the law. The validity, interpretation, construction, and performance of this Release shall be governed by the internal laws of the State of Connecticut (excluding any that mandate the use of another jurisdiction’s laws)</w:t>
      </w:r>
    </w:p>
    <w:p>
      <w:pPr>
        <w:spacing w:after="0" w:line="205" w:lineRule="exact"/>
        <w:rPr>
          <w:rFonts w:ascii="Arial" w:cs="Arial" w:eastAsia="Arial" w:hAnsi="Arial"/>
          <w:sz w:val="16"/>
          <w:szCs w:val="16"/>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payments to me under this Release shall be net of applicable withholdings and deductions.</w:t>
      </w:r>
    </w:p>
    <w:p>
      <w:pPr>
        <w:spacing w:after="0" w:line="252" w:lineRule="exact"/>
        <w:rPr>
          <w:rFonts w:ascii="Arial" w:cs="Arial" w:eastAsia="Arial" w:hAnsi="Arial"/>
          <w:sz w:val="18"/>
          <w:szCs w:val="18"/>
          <w:color w:val="auto"/>
        </w:rPr>
      </w:pPr>
    </w:p>
    <w:p>
      <w:pPr>
        <w:ind w:firstLine="8"/>
        <w:spacing w:after="0" w:line="291"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advised me to take this Release home, read it, and carefully consider all of its terms before signing it. The Company gave me at least 21 days in which to consider this Release, and I waive any right I might have to additional time beyond this consideration period within which to consider this Release. The Company advised me to discuss this Release with my own attorney (at my own expense) during this period if I wished to do so. I understand that I may revoke my acceptance of this Release within seven (7) days after I sign it (“Revocation Period”). I understand that if I revoke my acceptance of this Release, I will not be entitled to any payments or benefits hereunder or otherwise in connection with the termination of my employment with the Company, except as required by law in the absence of the Agreement and this Release. I have carefully read this Release, fully understand what it means, and am entering into it voluntarily.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Dr. Soo Hoo Jeong</w:t>
      </w:r>
    </w:p>
    <w:p>
      <w:pPr>
        <w:spacing w:after="0" w:line="279" w:lineRule="exact"/>
        <w:rPr>
          <w:sz w:val="20"/>
          <w:szCs w:val="20"/>
          <w:color w:val="auto"/>
        </w:rPr>
      </w:pPr>
    </w:p>
    <w:p>
      <w:pPr>
        <w:jc w:val="center"/>
        <w:ind w:right="10120"/>
        <w:spacing w:after="0"/>
        <w:rPr>
          <w:sz w:val="20"/>
          <w:szCs w:val="20"/>
          <w:color w:val="auto"/>
        </w:rPr>
      </w:pPr>
      <w:r>
        <w:rPr>
          <w:rFonts w:ascii="Arial" w:cs="Arial" w:eastAsia="Arial" w:hAnsi="Arial"/>
          <w:sz w:val="15"/>
          <w:szCs w:val="15"/>
          <w:color w:val="auto"/>
        </w:rPr>
        <w:t>/s/ Soo Hoo Jeong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4" w:lineRule="exact"/>
        <w:rPr>
          <w:sz w:val="20"/>
          <w:szCs w:val="20"/>
          <w:color w:val="auto"/>
        </w:rPr>
      </w:pPr>
    </w:p>
    <w:p>
      <w:pPr>
        <w:jc w:val="center"/>
        <w:ind w:right="10120"/>
        <w:spacing w:after="0"/>
        <w:rPr>
          <w:sz w:val="20"/>
          <w:szCs w:val="20"/>
          <w:color w:val="auto"/>
        </w:rPr>
      </w:pPr>
      <w:r>
        <w:rPr>
          <w:rFonts w:ascii="Arial" w:cs="Arial" w:eastAsia="Arial" w:hAnsi="Arial"/>
          <w:sz w:val="18"/>
          <w:szCs w:val="18"/>
          <w:color w:val="auto"/>
        </w:rPr>
        <w:t>Signature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EXHIBIT 31.1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20" w:right="180" w:hanging="407"/>
        <w:spacing w:after="0" w:line="259"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20" w:right="160" w:hanging="407"/>
        <w:spacing w:after="0" w:line="259"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20" w:right="40" w:hanging="407"/>
        <w:spacing w:after="0" w:line="332" w:lineRule="auto"/>
        <w:tabs>
          <w:tab w:leader="none" w:pos="8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20" w:right="60" w:hanging="407"/>
        <w:spacing w:after="0" w:line="259"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20" w:right="140" w:hanging="407"/>
        <w:spacing w:after="0" w:line="268"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20" w:right="220" w:hanging="407"/>
        <w:spacing w:after="0" w:line="268"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697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31.2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20" w:right="180" w:hanging="407"/>
        <w:spacing w:after="0" w:line="259"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20" w:right="160" w:hanging="407"/>
        <w:spacing w:after="0" w:line="259"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20" w:right="40" w:hanging="407"/>
        <w:spacing w:after="0" w:line="332" w:lineRule="auto"/>
        <w:tabs>
          <w:tab w:leader="none" w:pos="8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20" w:right="60" w:hanging="407"/>
        <w:spacing w:after="0" w:line="259"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20" w:right="140" w:hanging="407"/>
        <w:spacing w:after="0" w:line="268"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20" w:right="220" w:hanging="407"/>
        <w:spacing w:after="0" w:line="268" w:lineRule="auto"/>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697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Constantine S. Macricostas, Chief Executive Officer of Photronics, Inc. (the "Company"), certify, to my knowledge, pursuant to Section 906 of the Sarbanes-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246" w:lineRule="exact"/>
        <w:rPr>
          <w:sz w:val="20"/>
          <w:szCs w:val="20"/>
          <w:color w:val="auto"/>
        </w:rPr>
      </w:pPr>
    </w:p>
    <w:p>
      <w:pPr>
        <w:ind w:left="480" w:right="200" w:hanging="472"/>
        <w:spacing w:after="0" w:line="268"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1, 2011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480" w:hanging="472"/>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697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368"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213" w:lineRule="exact"/>
        <w:rPr>
          <w:sz w:val="20"/>
          <w:szCs w:val="20"/>
          <w:color w:val="auto"/>
        </w:rPr>
      </w:pPr>
    </w:p>
    <w:p>
      <w:pPr>
        <w:ind w:left="480" w:right="200" w:hanging="472"/>
        <w:spacing w:after="0" w:line="268"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May 1, 2011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480" w:hanging="472"/>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697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20"/>
      </w:cols>
      <w:pgMar w:left="240" w:top="3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0"/>
    </w:lvl>
  </w:abstractNum>
  <w:abstractNum w:abstractNumId="3">
    <w:nsid w:val="3F2DBA31"/>
    <w:multiLevelType w:val="hybridMultilevel"/>
    <w:lvl w:ilvl="0">
      <w:lvlJc w:val="left"/>
      <w:lvlText w:val="(%1)"/>
      <w:numFmt w:val="lowerLetter"/>
      <w:start w:val="1"/>
    </w:lvl>
    <w:lvl w:ilvl="1">
      <w:lvlJc w:val="left"/>
      <w:lvlText w:val="4.%2"/>
      <w:numFmt w:val="decimal"/>
      <w:start w:val="5"/>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Letter"/>
      <w:start w:val="2"/>
    </w:lvl>
  </w:abstractNum>
  <w:abstractNum w:abstractNumId="6">
    <w:nsid w:val="62BBD95A"/>
    <w:multiLevelType w:val="hybridMultilevel"/>
    <w:lvl w:ilvl="0">
      <w:lvlJc w:val="left"/>
      <w:lvlText w:val="%1."/>
      <w:numFmt w:val="decimal"/>
      <w:start w:val="1"/>
    </w:lvl>
    <w:lvl w:ilvl="1">
      <w:lvlJc w:val="left"/>
      <w:lvlText w:val="(%2)"/>
      <w:numFmt w:val="lowerLetter"/>
      <w:start w:val="1"/>
    </w:lvl>
  </w:abstractNum>
  <w:abstractNum w:abstractNumId="7">
    <w:nsid w:val="436C6125"/>
    <w:multiLevelType w:val="hybridMultilevel"/>
    <w:lvl w:ilvl="0">
      <w:lvlJc w:val="left"/>
      <w:lvlText w:val="%1."/>
      <w:numFmt w:val="decimal"/>
      <w:start w:val="4"/>
    </w:lvl>
    <w:lvl w:ilvl="1">
      <w:lvlJc w:val="left"/>
      <w:lvlText w:val="(%2)"/>
      <w:numFmt w:val="lowerLetter"/>
      <w:start w:val="1"/>
    </w:lvl>
  </w:abstractNum>
  <w:abstractNum w:abstractNumId="8">
    <w:nsid w:val="628C895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9">
    <w:nsid w:val="333AB10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
    <w:nsid w:val="721DA317"/>
    <w:multiLevelType w:val="hybridMultilevel"/>
    <w:lvl w:ilvl="0">
      <w:lvlJc w:val="left"/>
      <w:lvlText w:val="%1"/>
      <w:numFmt w:val="lowerLetter"/>
      <w:start w:val="1"/>
    </w:lvl>
    <w:lvl w:ilvl="1">
      <w:lvlJc w:val="left"/>
      <w:lvlText w:val="(%2)"/>
      <w:numFmt w:val="lowerLetter"/>
      <w:start w:val="61"/>
    </w:lvl>
  </w:abstractNum>
  <w:abstractNum w:abstractNumId="11">
    <w:nsid w:val="2443A858"/>
    <w:multiLevelType w:val="hybridMultilevel"/>
    <w:lvl w:ilvl="0">
      <w:lvlJc w:val="left"/>
      <w:lvlText w:val="(%1)"/>
      <w:numFmt w:val="lowerLetter"/>
      <w:start w:val="3"/>
    </w:lvl>
    <w:lvl w:ilvl="1">
      <w:lvlJc w:val="left"/>
      <w:lvlText w:val="(%2)"/>
      <w:numFmt w:val="lowerLetter"/>
      <w:start w:val="9"/>
    </w:lvl>
  </w:abstractNum>
  <w:abstractNum w:abstractNumId="12">
    <w:nsid w:val="2D1D5AE9"/>
    <w:multiLevelType w:val="hybridMultilevel"/>
    <w:lvl w:ilvl="0">
      <w:lvlJc w:val="left"/>
      <w:lvlText w:val="(%1)"/>
      <w:numFmt w:val="lowerRoman"/>
      <w:start w:val="2"/>
    </w:lvl>
    <w:lvl w:ilvl="1">
      <w:lvlJc w:val="left"/>
      <w:lvlText w:val="(%2)"/>
      <w:numFmt w:val="decimal"/>
      <w:start w:val="1"/>
    </w:lvl>
  </w:abstractNum>
  <w:abstractNum w:abstractNumId="13">
    <w:nsid w:val="6763845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4">
    <w:nsid w:val="75A2A8D4"/>
    <w:multiLevelType w:val="hybridMultilevel"/>
    <w:lvl w:ilvl="0">
      <w:lvlJc w:val="left"/>
      <w:lvlText w:val="%1"/>
      <w:numFmt w:val="lowerRoman"/>
      <w:start w:val="1"/>
    </w:lvl>
    <w:lvl w:ilvl="1">
      <w:lvlJc w:val="left"/>
      <w:lvlText w:val="(%2)"/>
      <w:numFmt w:val="decimal"/>
      <w:start w:val="1"/>
    </w:lvl>
  </w:abstractNum>
  <w:abstractNum w:abstractNumId="15">
    <w:nsid w:val="8EDBDAB"/>
    <w:multiLevelType w:val="hybridMultilevel"/>
    <w:lvl w:ilvl="0">
      <w:lvlJc w:val="left"/>
      <w:lvlText w:val="(%1)"/>
      <w:numFmt w:val="lowerRoman"/>
      <w:start w:val="3"/>
    </w:lvl>
    <w:lvl w:ilvl="1">
      <w:lvlJc w:val="left"/>
      <w:lvlText w:val="%2"/>
      <w:numFmt w:val="decimal"/>
      <w:start w:val="1"/>
    </w:lvl>
  </w:abstractNum>
  <w:abstractNum w:abstractNumId="16">
    <w:nsid w:val="79838CB2"/>
    <w:multiLevelType w:val="hybridMultilevel"/>
    <w:lvl w:ilvl="0">
      <w:lvlJc w:val="left"/>
      <w:lvlText w:val="(%1)"/>
      <w:numFmt w:val="lowerLetter"/>
      <w:start w:val="7"/>
    </w:lvl>
    <w:lvl w:ilvl="1">
      <w:lvlJc w:val="left"/>
      <w:lvlText w:val="(%2)"/>
      <w:numFmt w:val="lowerRoman"/>
      <w:start w:val="1"/>
    </w:lvl>
  </w:abstractNum>
  <w:abstractNum w:abstractNumId="17">
    <w:nsid w:val="4353D0CD"/>
    <w:multiLevelType w:val="hybridMultilevel"/>
    <w:lvl w:ilvl="0">
      <w:lvlJc w:val="left"/>
      <w:lvlText w:val="%1"/>
      <w:numFmt w:val="decimal"/>
      <w:start w:val="1"/>
    </w:lvl>
    <w:lvl w:ilvl="1">
      <w:lvlJc w:val="left"/>
      <w:lvlText w:val="(%2)"/>
      <w:numFmt w:val="lowerLetter"/>
      <w:start w:val="8"/>
    </w:lvl>
  </w:abstractNum>
  <w:abstractNum w:abstractNumId="18">
    <w:nsid w:val="B03E0C6"/>
    <w:multiLevelType w:val="hybridMultilevel"/>
    <w:lvl w:ilvl="0">
      <w:lvlJc w:val="left"/>
      <w:lvlText w:val="%1."/>
      <w:numFmt w:val="decimal"/>
      <w:start w:val="6"/>
    </w:lvl>
    <w:lvl w:ilvl="1">
      <w:lvlJc w:val="left"/>
      <w:lvlText w:val="%2"/>
      <w:numFmt w:val="lowerLetter"/>
      <w:start w:val="1"/>
    </w:lvl>
  </w:abstractNum>
  <w:abstractNum w:abstractNumId="19">
    <w:nsid w:val="189A769B"/>
    <w:multiLevelType w:val="hybridMultilevel"/>
    <w:lvl w:ilvl="0">
      <w:lvlJc w:val="left"/>
      <w:lvlText w:val="%1."/>
      <w:numFmt w:val="decimal"/>
      <w:start w:val="7"/>
    </w:lvl>
    <w:lvl w:ilvl="1">
      <w:lvlJc w:val="left"/>
      <w:lvlText w:val="(%2)"/>
      <w:numFmt w:val="lowerLetter"/>
      <w:start w:val="1"/>
    </w:lvl>
  </w:abstractNum>
  <w:abstractNum w:abstractNumId="20">
    <w:nsid w:val="54E49EB4"/>
    <w:multiLevelType w:val="hybridMultilevel"/>
    <w:lvl w:ilvl="0">
      <w:lvlJc w:val="left"/>
      <w:lvlText w:val="%1"/>
      <w:numFmt w:val="decimal"/>
      <w:start w:val="1"/>
    </w:lvl>
    <w:lvl w:ilvl="1">
      <w:lvlJc w:val="left"/>
      <w:lvlText w:val="(%2)"/>
      <w:numFmt w:val="lowerLetter"/>
      <w:start w:val="3"/>
    </w:lvl>
  </w:abstractNum>
  <w:abstractNum w:abstractNumId="21">
    <w:nsid w:val="71F32454"/>
    <w:multiLevelType w:val="hybridMultilevel"/>
    <w:lvl w:ilvl="0">
      <w:lvlJc w:val="left"/>
      <w:lvlText w:val="%1."/>
      <w:numFmt w:val="decimal"/>
      <w:start w:val="9"/>
    </w:lvl>
    <w:lvl w:ilvl="1">
      <w:lvlJc w:val="left"/>
      <w:lvlText w:val="(%2)"/>
      <w:numFmt w:val="lowerLetter"/>
      <w:start w:val="1"/>
    </w:lvl>
  </w:abstractNum>
  <w:abstractNum w:abstractNumId="22">
    <w:nsid w:val="2CA88611"/>
    <w:multiLevelType w:val="hybridMultilevel"/>
    <w:lvl w:ilvl="0">
      <w:lvlJc w:val="left"/>
      <w:lvlText w:val="%1."/>
      <w:numFmt w:val="decimal"/>
      <w:start w:val="10"/>
    </w:lvl>
  </w:abstractNum>
  <w:abstractNum w:abstractNumId="23">
    <w:nsid w:val="836C40E"/>
    <w:multiLevelType w:val="hybridMultilevel"/>
    <w:lvl w:ilvl="0">
      <w:lvlJc w:val="left"/>
      <w:lvlText w:val="%1."/>
      <w:numFmt w:val="decimal"/>
      <w:start w:val="14"/>
    </w:lvl>
  </w:abstractNum>
  <w:abstractNum w:abstractNumId="24">
    <w:nsid w:val="2901D82"/>
    <w:multiLevelType w:val="hybridMultilevel"/>
    <w:lvl w:ilvl="0">
      <w:lvlJc w:val="left"/>
      <w:lvlText w:val="(%1)"/>
      <w:numFmt w:val="decimal"/>
      <w:start w:val="3"/>
    </w:lvl>
  </w:abstractNum>
  <w:abstractNum w:abstractNumId="25">
    <w:nsid w:val="3A95F874"/>
    <w:multiLevelType w:val="hybridMultilevel"/>
    <w:lvl w:ilvl="0">
      <w:lvlJc w:val="left"/>
      <w:lvlText w:val="%1."/>
      <w:numFmt w:val="decimal"/>
      <w:start w:val="15"/>
    </w:lvl>
  </w:abstractNum>
  <w:abstractNum w:abstractNumId="26">
    <w:nsid w:val="8138641"/>
    <w:multiLevelType w:val="hybridMultilevel"/>
    <w:lvl w:ilvl="0">
      <w:lvlJc w:val="left"/>
      <w:lvlText w:val="%1."/>
      <w:numFmt w:val="decimal"/>
      <w:start w:val="20"/>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4"/>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2019-12-10T08:17:10Z</dcterms:created>
  <dcterms:modified xsi:type="dcterms:W3CDTF">2019-12-10T08:17:10Z</dcterms:modified>
</cp:coreProperties>
</file>