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0"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tc>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May 28, 2026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3303270</wp:posOffset>
            </wp:positionH>
            <wp:positionV relativeFrom="paragraph">
              <wp:posOffset>91440</wp:posOffset>
            </wp:positionV>
            <wp:extent cx="571500"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611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PHOTRONICS,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28" w:lineRule="exact"/>
        <w:rPr>
          <w:sz w:val="24"/>
          <w:szCs w:val="24"/>
          <w:color w:val="auto"/>
        </w:rPr>
      </w:pPr>
    </w:p>
    <w:tbl>
      <w:tblPr>
        <w:tblLayout w:type="fixed"/>
        <w:tblInd w:w="18" w:type="dxa"/>
        <w:tblCellMar>
          <w:top w:w="0" w:type="dxa"/>
          <w:left w:w="0" w:type="dxa"/>
          <w:bottom w:w="0" w:type="dxa"/>
          <w:right w:w="0" w:type="dxa"/>
        </w:tblCellMar>
      </w:tblPr>
      <w:tr>
        <w:trPr>
          <w:trHeight w:val="138"/>
        </w:trPr>
        <w:tc>
          <w:tcPr>
            <w:tcW w:w="1560" w:type="dxa"/>
            <w:vAlign w:val="bottom"/>
          </w:tcPr>
          <w:p>
            <w:pPr>
              <w:spacing w:after="0"/>
              <w:rPr>
                <w:sz w:val="12"/>
                <w:szCs w:val="12"/>
                <w:color w:val="auto"/>
              </w:rPr>
            </w:pPr>
          </w:p>
        </w:tc>
        <w:tc>
          <w:tcPr>
            <w:tcW w:w="1440" w:type="dxa"/>
            <w:vAlign w:val="bottom"/>
            <w:gridSpan w:val="4"/>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9"/>
              </w:rPr>
              <w:t>Connecticut</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80" w:type="dxa"/>
            <w:vAlign w:val="bottom"/>
            <w:gridSpan w:val="3"/>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0-15451</w:t>
            </w:r>
          </w:p>
        </w:tc>
        <w:tc>
          <w:tcPr>
            <w:tcW w:w="3260" w:type="dxa"/>
            <w:vAlign w:val="bottom"/>
            <w:gridSpan w:val="7"/>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06-0854886</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0" w:type="dxa"/>
            <w:vAlign w:val="bottom"/>
            <w:gridSpan w:val="5"/>
          </w:tcPr>
          <w:p>
            <w:pPr>
              <w:jc w:val="center"/>
              <w:ind w:left="7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State or Other Jurisdiction of Incorporation)</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80" w:type="dxa"/>
            <w:vAlign w:val="bottom"/>
            <w:gridSpan w:val="3"/>
          </w:tcPr>
          <w:p>
            <w:pPr>
              <w:jc w:val="center"/>
              <w:ind w:left="840"/>
              <w:spacing w:after="0"/>
              <w:rPr>
                <w:sz w:val="20"/>
                <w:szCs w:val="20"/>
                <w:color w:val="auto"/>
              </w:rPr>
            </w:pPr>
            <w:r>
              <w:rPr>
                <w:rFonts w:ascii="Times New Roman" w:cs="Times New Roman" w:eastAsia="Times New Roman" w:hAnsi="Times New Roman"/>
                <w:sz w:val="12"/>
                <w:szCs w:val="12"/>
                <w:i w:val="1"/>
                <w:iCs w:val="1"/>
                <w:color w:val="auto"/>
              </w:rPr>
              <w:t>(Commission File Number)</w:t>
            </w:r>
          </w:p>
        </w:tc>
        <w:tc>
          <w:tcPr>
            <w:tcW w:w="1860" w:type="dxa"/>
            <w:vAlign w:val="bottom"/>
          </w:tcPr>
          <w:p>
            <w:pPr>
              <w:spacing w:after="0"/>
              <w:rPr>
                <w:sz w:val="13"/>
                <w:szCs w:val="13"/>
                <w:color w:val="auto"/>
              </w:rPr>
            </w:pPr>
          </w:p>
        </w:tc>
        <w:tc>
          <w:tcPr>
            <w:tcW w:w="2920" w:type="dxa"/>
            <w:vAlign w:val="bottom"/>
            <w:gridSpan w:val="7"/>
          </w:tcPr>
          <w:p>
            <w:pPr>
              <w:jc w:val="center"/>
              <w:ind w:right="780"/>
              <w:spacing w:after="0"/>
              <w:rPr>
                <w:sz w:val="20"/>
                <w:szCs w:val="20"/>
                <w:color w:val="auto"/>
              </w:rPr>
            </w:pPr>
            <w:r>
              <w:rPr>
                <w:rFonts w:ascii="Times New Roman" w:cs="Times New Roman" w:eastAsia="Times New Roman" w:hAnsi="Times New Roman"/>
                <w:sz w:val="12"/>
                <w:szCs w:val="12"/>
                <w:i w:val="1"/>
                <w:iCs w:val="1"/>
                <w:color w:val="auto"/>
                <w:w w:val="99"/>
              </w:rPr>
              <w:t>(IRS Employer Identification No.)</w:t>
            </w:r>
          </w:p>
        </w:tc>
        <w:tc>
          <w:tcPr>
            <w:tcW w:w="0" w:type="dxa"/>
            <w:vAlign w:val="bottom"/>
          </w:tcPr>
          <w:p>
            <w:pPr>
              <w:spacing w:after="0"/>
              <w:rPr>
                <w:sz w:val="1"/>
                <w:szCs w:val="1"/>
                <w:color w:val="auto"/>
              </w:rPr>
            </w:pPr>
          </w:p>
        </w:tc>
      </w:tr>
      <w:tr>
        <w:trPr>
          <w:trHeight w:val="261"/>
        </w:trPr>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gridSpan w:val="4"/>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15 Secor Road, Brookfield, CT</w:t>
            </w: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06804</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780" w:type="dxa"/>
            <w:vAlign w:val="bottom"/>
            <w:gridSpan w:val="8"/>
          </w:tcPr>
          <w:p>
            <w:pPr>
              <w:jc w:val="center"/>
              <w:ind w:right="760"/>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261"/>
        </w:trPr>
        <w:tc>
          <w:tcPr>
            <w:tcW w:w="30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780" w:type="dxa"/>
            <w:vAlign w:val="bottom"/>
            <w:gridSpan w:val="8"/>
          </w:tcPr>
          <w:p>
            <w:pPr>
              <w:jc w:val="right"/>
              <w:ind w:right="1520"/>
              <w:spacing w:after="0"/>
              <w:rPr>
                <w:sz w:val="20"/>
                <w:szCs w:val="20"/>
                <w:color w:val="auto"/>
              </w:rPr>
            </w:pPr>
            <w:r>
              <w:rPr>
                <w:rFonts w:ascii="Times New Roman" w:cs="Times New Roman" w:eastAsia="Times New Roman" w:hAnsi="Times New Roman"/>
                <w:sz w:val="12"/>
                <w:szCs w:val="12"/>
                <w:b w:val="1"/>
                <w:bCs w:val="1"/>
                <w:color w:val="auto"/>
              </w:rPr>
              <w:t>(203) 775-9000</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vMerge w:val="restart"/>
          </w:tcPr>
          <w:p>
            <w:pPr>
              <w:spacing w:after="0"/>
              <w:rPr>
                <w:sz w:val="13"/>
                <w:szCs w:val="13"/>
                <w:color w:val="auto"/>
              </w:rPr>
            </w:pPr>
          </w:p>
        </w:tc>
        <w:tc>
          <w:tcPr>
            <w:tcW w:w="40" w:type="dxa"/>
            <w:vAlign w:val="bottom"/>
            <w:tcBorders>
              <w:top w:val="single" w:sz="8" w:color="auto"/>
              <w:bottom w:val="single" w:sz="8" w:color="auto"/>
            </w:tcBorders>
            <w:vMerge w:val="restart"/>
          </w:tcPr>
          <w:p>
            <w:pPr>
              <w:spacing w:after="0"/>
              <w:rPr>
                <w:sz w:val="13"/>
                <w:szCs w:val="13"/>
                <w:color w:val="auto"/>
              </w:rPr>
            </w:pPr>
          </w:p>
        </w:tc>
        <w:tc>
          <w:tcPr>
            <w:tcW w:w="15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60" w:type="dxa"/>
            <w:vAlign w:val="bottom"/>
            <w:gridSpan w:val="8"/>
          </w:tcPr>
          <w:p>
            <w:pPr>
              <w:ind w:left="2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9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Securities registered or to be registered pursuant to Section 12(b) of the Act:</w:t>
            </w:r>
          </w:p>
        </w:tc>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5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3000" w:type="dxa"/>
            <w:vAlign w:val="bottom"/>
            <w:tcBorders>
              <w:left w:val="single" w:sz="8" w:color="auto"/>
              <w:bottom w:val="single" w:sz="8" w:color="auto"/>
              <w:right w:val="single" w:sz="8" w:color="auto"/>
            </w:tcBorders>
            <w:gridSpan w:val="5"/>
          </w:tcPr>
          <w:p>
            <w:pPr>
              <w:ind w:left="1080"/>
              <w:spacing w:after="0"/>
              <w:rPr>
                <w:sz w:val="20"/>
                <w:szCs w:val="20"/>
                <w:color w:val="auto"/>
              </w:rPr>
            </w:pPr>
            <w:r>
              <w:rPr>
                <w:rFonts w:ascii="Times New Roman" w:cs="Times New Roman" w:eastAsia="Times New Roman" w:hAnsi="Times New Roman"/>
                <w:sz w:val="12"/>
                <w:szCs w:val="12"/>
                <w:color w:val="auto"/>
              </w:rPr>
              <w:t>Title of each class</w:t>
            </w: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Trading Symbol(s)</w:t>
            </w:r>
          </w:p>
        </w:tc>
        <w:tc>
          <w:tcPr>
            <w:tcW w:w="4780" w:type="dxa"/>
            <w:vAlign w:val="bottom"/>
            <w:tcBorders>
              <w:bottom w:val="single" w:sz="8" w:color="auto"/>
              <w:right w:val="single" w:sz="8" w:color="auto"/>
            </w:tcBorders>
            <w:gridSpan w:val="8"/>
          </w:tcPr>
          <w:p>
            <w:pPr>
              <w:jc w:val="right"/>
              <w:ind w:right="132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c>
          <w:tcPr>
            <w:tcW w:w="0" w:type="dxa"/>
            <w:vAlign w:val="bottom"/>
          </w:tcPr>
          <w:p>
            <w:pPr>
              <w:spacing w:after="0"/>
              <w:rPr>
                <w:sz w:val="1"/>
                <w:szCs w:val="1"/>
                <w:color w:val="auto"/>
              </w:rPr>
            </w:pPr>
          </w:p>
        </w:tc>
      </w:tr>
      <w:tr>
        <w:trPr>
          <w:trHeight w:val="142"/>
        </w:trPr>
        <w:tc>
          <w:tcPr>
            <w:tcW w:w="3000" w:type="dxa"/>
            <w:vAlign w:val="bottom"/>
            <w:tcBorders>
              <w:left w:val="single" w:sz="8" w:color="auto"/>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12"/>
                <w:szCs w:val="12"/>
                <w:color w:val="auto"/>
              </w:rPr>
              <w:t>COMMON STOCK, $0.01 par value per share</w:t>
            </w: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PLAB</w:t>
            </w:r>
          </w:p>
        </w:tc>
        <w:tc>
          <w:tcPr>
            <w:tcW w:w="1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4780" w:type="dxa"/>
            <w:vAlign w:val="bottom"/>
            <w:tcBorders>
              <w:bottom w:val="single" w:sz="8" w:color="auto"/>
              <w:right w:val="single" w:sz="8" w:color="auto"/>
            </w:tcBorders>
            <w:gridSpan w:val="8"/>
          </w:tcPr>
          <w:p>
            <w:pPr>
              <w:jc w:val="right"/>
              <w:ind w:right="3200"/>
              <w:spacing w:after="0"/>
              <w:rPr>
                <w:sz w:val="20"/>
                <w:szCs w:val="20"/>
                <w:color w:val="auto"/>
              </w:rPr>
            </w:pPr>
            <w:r>
              <w:rPr>
                <w:rFonts w:ascii="Times New Roman" w:cs="Times New Roman" w:eastAsia="Times New Roman" w:hAnsi="Times New Roman"/>
                <w:sz w:val="12"/>
                <w:szCs w:val="12"/>
                <w:color w:val="auto"/>
              </w:rPr>
              <w:t>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sectPr>
      </w:pPr>
    </w:p>
    <w:bookmarkStart w:id="1" w:name="page2"/>
    <w:bookmarkEnd w:id="1"/>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u w:val="single" w:color="auto"/>
          <w:color w:val="auto"/>
        </w:rPr>
        <w:t>Item 2.02.</w:t>
        <w:tab/>
        <w:t>Results of Operations and Financial Condition.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May 28, 2026, Photronics, Inc. (the “Company”) issued a press release reporting second quarter fiscal 2026 financial results.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May 28, 2026, the Company will conduct a conference call with respect to its financial results and other matters during which it will also disclose a slide presentation.</w:t>
      </w:r>
    </w:p>
    <w:p>
      <w:pPr>
        <w:spacing w:after="0" w:line="150"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 copy of the press release reporting the second quarter fiscal 2026 earnings is furnished as Exhibit 99.1 to this report and a copy of the slide presentation is furnished as Exhibit 99.2 to this report. The information contained in this Item 2.02 and the attached Exhibits 99.1 and 99.2 shall not be deemed “filed” for purposes of Section 18 of the Securities Exchange Act of 1934 and shall not be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74"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u w:val="single" w:color="auto"/>
          <w:color w:val="auto"/>
        </w:rPr>
        <w:t>Item 9.01.</w:t>
      </w:r>
      <w:r>
        <w:rPr>
          <w:sz w:val="20"/>
          <w:szCs w:val="20"/>
          <w:color w:val="auto"/>
        </w:rPr>
        <w:tab/>
      </w:r>
      <w:r>
        <w:rPr>
          <w:rFonts w:ascii="Times New Roman" w:cs="Times New Roman" w:eastAsia="Times New Roman" w:hAnsi="Times New Roman"/>
          <w:sz w:val="11"/>
          <w:szCs w:val="11"/>
          <w:b w:val="1"/>
          <w:bCs w:val="1"/>
          <w:u w:val="single" w:color="auto"/>
          <w:color w:val="auto"/>
        </w:rPr>
        <w:t>Financial Statements and Exhibits.</w:t>
      </w:r>
    </w:p>
    <w:p>
      <w:pPr>
        <w:spacing w:after="0" w:line="154" w:lineRule="exact"/>
        <w:rPr>
          <w:sz w:val="20"/>
          <w:szCs w:val="20"/>
          <w:color w:val="auto"/>
        </w:rPr>
      </w:pPr>
    </w:p>
    <w:p>
      <w:pPr>
        <w:ind w:left="548" w:hanging="548"/>
        <w:spacing w:after="0"/>
        <w:tabs>
          <w:tab w:leader="none" w:pos="54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7"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color w:val="auto"/>
        </w:rPr>
        <w:t>Press Release dated May 28, 2026.</w:t>
      </w:r>
    </w:p>
    <w:p>
      <w:pPr>
        <w:spacing w:after="0" w:line="6"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1"/>
          <w:szCs w:val="11"/>
          <w:color w:val="auto"/>
        </w:rPr>
        <w:t>Photronics Q2 2026 Financial Results Conference Call May 28, 2026 slides.</w:t>
      </w:r>
    </w:p>
    <w:p>
      <w:pPr>
        <w:spacing w:after="0" w:line="6"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XBLR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2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PHOTRONICS, INC.</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(Registrant)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8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/s/ Christopher J. Lutzo</w:t>
            </w:r>
          </w:p>
        </w:tc>
        <w:tc>
          <w:tcPr>
            <w:tcW w:w="4180" w:type="dxa"/>
            <w:vAlign w:val="bottom"/>
          </w:tcPr>
          <w:p>
            <w:pPr>
              <w:spacing w:after="0"/>
              <w:rPr>
                <w:sz w:val="12"/>
                <w:szCs w:val="12"/>
                <w:color w:val="auto"/>
              </w:rPr>
            </w:pPr>
          </w:p>
        </w:tc>
      </w:tr>
      <w:tr>
        <w:trPr>
          <w:trHeight w:val="140"/>
        </w:trPr>
        <w:tc>
          <w:tcPr>
            <w:tcW w:w="5980" w:type="dxa"/>
            <w:vAlign w:val="bottom"/>
          </w:tcPr>
          <w:p>
            <w:pPr>
              <w:ind w:left="5660"/>
              <w:spacing w:after="0"/>
              <w:rPr>
                <w:sz w:val="20"/>
                <w:szCs w:val="20"/>
                <w:color w:val="auto"/>
              </w:rPr>
            </w:pPr>
            <w:r>
              <w:rPr>
                <w:rFonts w:ascii="Times New Roman" w:cs="Times New Roman" w:eastAsia="Times New Roman" w:hAnsi="Times New Roman"/>
                <w:sz w:val="12"/>
                <w:szCs w:val="12"/>
                <w:color w:val="auto"/>
                <w:w w:val="93"/>
              </w:rPr>
              <w:t>Name:</w:t>
            </w: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Christopher J. Lutzo</w:t>
            </w:r>
          </w:p>
        </w:tc>
      </w:tr>
      <w:tr>
        <w:trPr>
          <w:trHeight w:val="144"/>
        </w:trPr>
        <w:tc>
          <w:tcPr>
            <w:tcW w:w="598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Vice President,</w:t>
            </w:r>
          </w:p>
        </w:tc>
      </w:tr>
      <w:tr>
        <w:trPr>
          <w:trHeight w:val="155"/>
        </w:trPr>
        <w:tc>
          <w:tcPr>
            <w:tcW w:w="5980" w:type="dxa"/>
            <w:vAlign w:val="bottom"/>
          </w:tcPr>
          <w:p>
            <w:pPr>
              <w:spacing w:after="0"/>
              <w:rPr>
                <w:sz w:val="13"/>
                <w:szCs w:val="13"/>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General Counsel and Secretary</w:t>
            </w:r>
          </w:p>
        </w:tc>
      </w:tr>
      <w:tr>
        <w:trPr>
          <w:trHeight w:val="288"/>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Date: May 28, 2026</w:t>
            </w:r>
          </w:p>
        </w:tc>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351"/>
        </w:trPr>
        <w:tc>
          <w:tcPr>
            <w:tcW w:w="5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42862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Photronics Reports Second Quarter 2026 Results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BROOKFIELD, Conn. May 28, 2026 (GLOBE NEWSWIRE) — </w:t>
      </w:r>
      <w:r>
        <w:rPr>
          <w:rFonts w:ascii="Times New Roman" w:cs="Times New Roman" w:eastAsia="Times New Roman" w:hAnsi="Times New Roman"/>
          <w:sz w:val="12"/>
          <w:szCs w:val="12"/>
          <w:u w:val="single" w:color="auto"/>
          <w:color w:val="auto"/>
        </w:rPr>
        <w:t>Photronics, Inc.</w:t>
      </w:r>
      <w:r>
        <w:rPr>
          <w:rFonts w:ascii="Times New Roman" w:cs="Times New Roman" w:eastAsia="Times New Roman" w:hAnsi="Times New Roman"/>
          <w:sz w:val="12"/>
          <w:szCs w:val="12"/>
          <w:color w:val="auto"/>
        </w:rPr>
        <w:t xml:space="preserve"> (NASDAQ:PLAB), a worldwide leader in photomask technologies and solutions, today reported financial results for its second quarter of fiscal year 2026 ended May 3, 2026.</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Commenting on the second quarter performance, Chairman and CEO George Macricostas said, “Photomask market dynamics reflect a mix of supportive long-term drivers and several temporary headwinds. In the near term, certain design releases have been delayed due to elevated fab utilization rates, which are extending new product launch timelines, memory supply constraints and related cost pressures for OEMs, and geopolitical uncertainty. The underlying long-term demand environment remains strong as we advance our investments in the U.S. and Korea to strengthen our position at the high end of the market over the coming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Second Quarter Fiscal 2026 Results</w:t>
      </w:r>
    </w:p>
    <w:p>
      <w:pPr>
        <w:spacing w:after="0" w:line="154"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was $209.9 million, down 0.5% year-over-year and down 6.7% sequentially.</w:t>
      </w:r>
    </w:p>
    <w:p>
      <w:pPr>
        <w:spacing w:after="0" w:line="1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Net income attributable to Photronics, Inc. shareholders was $31.4 million, or $0.54 per diluted share, compared with $8.9 million, or $0.15 per diluted share, in the second quarter of 2025 and $42.9 million, or $0.74 per diluted share, in the first quarter of 2026.</w:t>
      </w:r>
    </w:p>
    <w:p>
      <w:pPr>
        <w:ind w:left="420" w:right="20" w:hanging="212"/>
        <w:spacing w:after="0" w:line="25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Net income attributable to Photronics, Inc. shareholders was $24.9 million, or $0.42 per diluted share, compared with $24.3 million, or $0.40 per diluted share in the second quarter of 2025 and $35.7 million, or $0.61 per diluted share, in the first quarter of 2026.</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IC revenue was $147.5 million, a decrease of 5% year-over-year and a decrease of 11% sequentially.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FPD revenue was $62.4 million, an increase of 13% year-over-year and an increase of 4% sequentially.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and short-term investments at the end of the quarter were $637.7 million, of which $477.3 million was associated with our Joint Ventures, of which we own 50.01%.</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generated from operating activities was $47.0 million, and cash invested in organic growth through capital expenditures was $45.8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Fiscal 2026 Guidance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third quarter of fiscal 2026, Photronics expects:</w:t>
      </w:r>
    </w:p>
    <w:p>
      <w:pPr>
        <w:spacing w:after="0" w:line="150"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to be between $207 million and $215 million,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margin to be between 18% and 20%,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diluted EPS attributable to Photronics, Inc. shareholders to be between $0.39 and $0.45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Earnings Conference Call and Webcast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An earnings conference call and webcast to discuss these results is scheduled for 8:30 a.m. Eastern time on May 28, 2026. The call will be broadcast live and on-demand on the </w:t>
      </w:r>
      <w:r>
        <w:rPr>
          <w:rFonts w:ascii="Times New Roman" w:cs="Times New Roman" w:eastAsia="Times New Roman" w:hAnsi="Times New Roman"/>
          <w:sz w:val="12"/>
          <w:szCs w:val="12"/>
          <w:u w:val="single" w:color="auto"/>
          <w:color w:val="auto"/>
        </w:rPr>
        <w:t>Events and Presentations</w:t>
      </w:r>
      <w:r>
        <w:rPr>
          <w:rFonts w:ascii="Times New Roman" w:cs="Times New Roman" w:eastAsia="Times New Roman" w:hAnsi="Times New Roman"/>
          <w:sz w:val="12"/>
          <w:szCs w:val="12"/>
          <w:color w:val="auto"/>
        </w:rPr>
        <w:t xml:space="preserve"> link on the Photronics website.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Analysts and investors who wish to participate in the Q&amp;A portion of the call should click </w:t>
      </w:r>
      <w:r>
        <w:rPr>
          <w:rFonts w:ascii="Times New Roman" w:cs="Times New Roman" w:eastAsia="Times New Roman" w:hAnsi="Times New Roman"/>
          <w:sz w:val="12"/>
          <w:szCs w:val="12"/>
          <w:u w:val="single" w:color="auto"/>
          <w:color w:val="auto"/>
        </w:rPr>
        <w:t>Conference Registration</w:t>
      </w:r>
      <w:r>
        <w:rPr>
          <w:rFonts w:ascii="Times New Roman" w:cs="Times New Roman" w:eastAsia="Times New Roman" w:hAnsi="Times New Roman"/>
          <w:sz w:val="12"/>
          <w:szCs w:val="12"/>
          <w:color w:val="auto"/>
        </w:rPr>
        <w:t>. It is suggested that participants register fifteen minutes prior to the call's scheduled start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Photronics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u w:val="single" w:color="auto"/>
          <w:color w:val="auto"/>
        </w:rPr>
        <w:t>Photronics</w:t>
      </w:r>
      <w:r>
        <w:rPr>
          <w:rFonts w:ascii="Times New Roman" w:cs="Times New Roman" w:eastAsia="Times New Roman" w:hAnsi="Times New Roman"/>
          <w:sz w:val="12"/>
          <w:szCs w:val="12"/>
          <w:color w:val="auto"/>
        </w:rPr>
        <w:t xml:space="preserve"> is a leading worldwide manufacturer of integrated circuit (IC) and flat panel display (FPD) </w:t>
      </w:r>
      <w:r>
        <w:rPr>
          <w:rFonts w:ascii="Times New Roman" w:cs="Times New Roman" w:eastAsia="Times New Roman" w:hAnsi="Times New Roman"/>
          <w:sz w:val="12"/>
          <w:szCs w:val="12"/>
          <w:u w:val="single" w:color="auto"/>
          <w:color w:val="auto"/>
        </w:rPr>
        <w:t>photomasks</w:t>
      </w:r>
      <w:r>
        <w:rPr>
          <w:rFonts w:ascii="Times New Roman" w:cs="Times New Roman" w:eastAsia="Times New Roman" w:hAnsi="Times New Roman"/>
          <w:sz w:val="12"/>
          <w:szCs w:val="12"/>
          <w:color w:val="auto"/>
        </w:rPr>
        <w:t xml:space="preserve">, which are high precision photographic quartz or glass plates that contain microscopic images of electronic circuits. Photomasks are a key element in the manufacture of ICs and FPDs and are used as masters to transfer circuit patterns onto semiconductor wafers and FPD substrates. Founded in 1969, Photronics has been a trusted photomask supplier for over 56 years. The company operates 11 strategically located </w:t>
      </w:r>
      <w:r>
        <w:rPr>
          <w:rFonts w:ascii="Times New Roman" w:cs="Times New Roman" w:eastAsia="Times New Roman" w:hAnsi="Times New Roman"/>
          <w:sz w:val="12"/>
          <w:szCs w:val="12"/>
          <w:u w:val="single" w:color="auto"/>
          <w:color w:val="auto"/>
        </w:rPr>
        <w:t>manufacturing facilities</w:t>
      </w:r>
      <w:r>
        <w:rPr>
          <w:rFonts w:ascii="Times New Roman" w:cs="Times New Roman" w:eastAsia="Times New Roman" w:hAnsi="Times New Roman"/>
          <w:sz w:val="12"/>
          <w:szCs w:val="12"/>
          <w:color w:val="auto"/>
        </w:rPr>
        <w:t xml:space="preserve"> in Asia, Europe, and North America. Additional information on the company can be accessed at </w:t>
      </w:r>
      <w:r>
        <w:rPr>
          <w:rFonts w:ascii="Times New Roman" w:cs="Times New Roman" w:eastAsia="Times New Roman" w:hAnsi="Times New Roman"/>
          <w:sz w:val="12"/>
          <w:szCs w:val="12"/>
          <w:u w:val="single" w:color="auto"/>
          <w:color w:val="auto"/>
        </w:rPr>
        <w:t>www.photronics.com</w:t>
      </w:r>
      <w:r>
        <w:rPr>
          <w:rFonts w:ascii="Times New Roman" w:cs="Times New Roman" w:eastAsia="Times New Roman" w:hAnsi="Times New Roman"/>
          <w:sz w:val="12"/>
          <w:szCs w:val="12"/>
          <w:u w:val="single" w:color="auto"/>
          <w:color w:val="0000FF"/>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Certain statements in this press release constitute “forward-looking statements” regarding our industry, our strategic position, and our financial and operating results. These forward-looking statements are subject to a number of risks and uncertainties that could cause actual results, performance or achievements to differ materially. Please refer to Item 1A “Risk Factors” in our Annual Report on Form 10-K for the fiscal year ended October 31, 2025 and other subsequent filings with the Securities and Exchange Commission. These documents contain and identify important factors that could cause our actual results to differ materially from those contained in these forward-looking statements.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attached financial supplement reconciles Photronics, Inc. financial results under GAAP to non-GAAP financial information. We believe these non-GAAP financial measures that exclude certain items are useful for analysts and investors to evaluate our on-going performance because they enable a more meaningful comparison of our projected performance with our historical results.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GAAP equivalent, are significant components of the condensed consolidated statements of income and must be considered in performing a comprehensive assessment of overall financial performance. Please refer to the non-GAAP reconciliations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Totals presented may not sum due to rounding.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Further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Ted Moreau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VP,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tmoreau@photronics.com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PHOTRONICS,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Condensed Consolidated Statements of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4640" w:type="dxa"/>
            <w:vAlign w:val="bottom"/>
          </w:tcPr>
          <w:p>
            <w:pPr>
              <w:spacing w:after="0"/>
              <w:rPr>
                <w:sz w:val="11"/>
                <w:szCs w:val="11"/>
                <w:color w:val="auto"/>
              </w:rPr>
            </w:pPr>
          </w:p>
        </w:tc>
        <w:tc>
          <w:tcPr>
            <w:tcW w:w="7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May 3,</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right"/>
              <w:ind w:right="500"/>
              <w:spacing w:after="0" w:line="128" w:lineRule="exact"/>
              <w:rPr>
                <w:sz w:val="20"/>
                <w:szCs w:val="20"/>
                <w:color w:val="auto"/>
              </w:rPr>
            </w:pPr>
            <w:r>
              <w:rPr>
                <w:rFonts w:ascii="Times New Roman" w:cs="Times New Roman" w:eastAsia="Times New Roman" w:hAnsi="Times New Roman"/>
                <w:sz w:val="12"/>
                <w:szCs w:val="12"/>
                <w:b w:val="1"/>
                <w:bCs w:val="1"/>
                <w:color w:val="auto"/>
              </w:rPr>
              <w:t>February 1,</w:t>
            </w:r>
          </w:p>
        </w:tc>
        <w:tc>
          <w:tcPr>
            <w:tcW w:w="220" w:type="dxa"/>
            <w:vAlign w:val="bottom"/>
          </w:tcPr>
          <w:p>
            <w:pPr>
              <w:spacing w:after="0"/>
              <w:rPr>
                <w:sz w:val="11"/>
                <w:szCs w:val="11"/>
                <w:color w:val="auto"/>
              </w:rPr>
            </w:pPr>
          </w:p>
        </w:tc>
        <w:tc>
          <w:tcPr>
            <w:tcW w:w="900" w:type="dxa"/>
            <w:vAlign w:val="bottom"/>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May 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2"/>
                <w:szCs w:val="12"/>
                <w:b w:val="1"/>
                <w:bCs w:val="1"/>
                <w:color w:val="auto"/>
              </w:rPr>
              <w:t>May 3,</w:t>
            </w:r>
          </w:p>
        </w:tc>
        <w:tc>
          <w:tcPr>
            <w:tcW w:w="380" w:type="dxa"/>
            <w:vAlign w:val="bottom"/>
          </w:tcPr>
          <w:p>
            <w:pPr>
              <w:spacing w:after="0"/>
              <w:rPr>
                <w:sz w:val="11"/>
                <w:szCs w:val="11"/>
                <w:color w:val="auto"/>
              </w:rPr>
            </w:pPr>
          </w:p>
        </w:tc>
        <w:tc>
          <w:tcPr>
            <w:tcW w:w="740" w:type="dxa"/>
            <w:vAlign w:val="bottom"/>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May 4,</w:t>
            </w:r>
          </w:p>
        </w:tc>
        <w:tc>
          <w:tcPr>
            <w:tcW w:w="120" w:type="dxa"/>
            <w:vAlign w:val="bottom"/>
          </w:tcPr>
          <w:p>
            <w:pPr>
              <w:spacing w:after="0"/>
              <w:rPr>
                <w:sz w:val="11"/>
                <w:szCs w:val="11"/>
                <w:color w:val="auto"/>
              </w:rPr>
            </w:pPr>
          </w:p>
        </w:tc>
      </w:tr>
      <w:tr>
        <w:trPr>
          <w:trHeight w:val="159"/>
        </w:trPr>
        <w:tc>
          <w:tcPr>
            <w:tcW w:w="4640" w:type="dxa"/>
            <w:vAlign w:val="bottom"/>
          </w:tcPr>
          <w:p>
            <w:pPr>
              <w:spacing w:after="0"/>
              <w:rPr>
                <w:sz w:val="13"/>
                <w:szCs w:val="13"/>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209,940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225,066</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210,992</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435,006</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423,130</w:t>
            </w:r>
          </w:p>
        </w:tc>
      </w:tr>
      <w:tr>
        <w:trPr>
          <w:trHeight w:val="144"/>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144,183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146,364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133,086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290,547</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269,689</w:t>
            </w:r>
          </w:p>
        </w:tc>
      </w:tr>
      <w:tr>
        <w:trPr>
          <w:trHeight w:val="142"/>
        </w:trPr>
        <w:tc>
          <w:tcPr>
            <w:tcW w:w="46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Gross Profit</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65,757</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78,702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77,906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144,459</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153,441</w:t>
            </w:r>
          </w:p>
        </w:tc>
      </w:tr>
      <w:tr>
        <w:trPr>
          <w:trHeight w:val="144"/>
        </w:trPr>
        <w:tc>
          <w:tcPr>
            <w:tcW w:w="4640" w:type="dxa"/>
            <w:vAlign w:val="bottom"/>
          </w:tcPr>
          <w:p>
            <w:pPr>
              <w:ind w:left="200"/>
              <w:spacing w:after="0"/>
              <w:rPr>
                <w:sz w:val="20"/>
                <w:szCs w:val="20"/>
                <w:color w:val="auto"/>
              </w:rPr>
            </w:pPr>
            <w:r>
              <w:rPr>
                <w:rFonts w:ascii="Times New Roman" w:cs="Times New Roman" w:eastAsia="Times New Roman" w:hAnsi="Times New Roman"/>
                <w:sz w:val="12"/>
                <w:szCs w:val="12"/>
                <w:i w:val="1"/>
                <w:iCs w:val="1"/>
                <w:color w:val="auto"/>
              </w:rPr>
              <w:t>Gross margin %</w:t>
            </w:r>
          </w:p>
        </w:tc>
        <w:tc>
          <w:tcPr>
            <w:tcW w:w="7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i w:val="1"/>
                <w:iCs w:val="1"/>
                <w:color w:val="auto"/>
              </w:rPr>
              <w:t>31.3%</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i w:val="1"/>
                <w:iCs w:val="1"/>
                <w:color w:val="auto"/>
              </w:rPr>
              <w:t>35.0%</w:t>
            </w:r>
          </w:p>
        </w:tc>
        <w:tc>
          <w:tcPr>
            <w:tcW w:w="2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i w:val="1"/>
                <w:iCs w:val="1"/>
                <w:color w:val="auto"/>
              </w:rPr>
              <w:t>36.9%</w:t>
            </w:r>
          </w:p>
        </w:tc>
        <w:tc>
          <w:tcPr>
            <w:tcW w:w="2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i w:val="1"/>
                <w:iCs w:val="1"/>
                <w:color w:val="auto"/>
              </w:rPr>
              <w:t>33.2%</w:t>
            </w: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36.3%</w:t>
            </w:r>
          </w:p>
        </w:tc>
      </w:tr>
      <w:tr>
        <w:trPr>
          <w:trHeight w:val="144"/>
        </w:trPr>
        <w:tc>
          <w:tcPr>
            <w:tcW w:w="4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7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20,756</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21,311</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18,099</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42,067</w:t>
            </w: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37,201</w:t>
            </w:r>
          </w:p>
        </w:tc>
      </w:tr>
      <w:tr>
        <w:trPr>
          <w:trHeight w:val="144"/>
        </w:trPr>
        <w:tc>
          <w:tcPr>
            <w:tcW w:w="4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4,090</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5,410</w:t>
            </w: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8,346</w:t>
            </w:r>
          </w:p>
        </w:tc>
      </w:tr>
      <w:tr>
        <w:trPr>
          <w:trHeight w:val="142"/>
        </w:trPr>
        <w:tc>
          <w:tcPr>
            <w:tcW w:w="46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23,899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22,189</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47,477</w:t>
            </w: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45,547</w:t>
            </w:r>
          </w:p>
        </w:tc>
      </w:tr>
      <w:tr>
        <w:trPr>
          <w:trHeight w:val="142"/>
        </w:trPr>
        <w:tc>
          <w:tcPr>
            <w:tcW w:w="46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Income</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w:t>
            </w: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6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Income</w:t>
            </w:r>
          </w:p>
        </w:tc>
        <w:tc>
          <w:tcPr>
            <w:tcW w:w="7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42,179</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54,859</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55,717</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97,038</w:t>
            </w: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107,894</w:t>
            </w:r>
          </w:p>
        </w:tc>
      </w:tr>
      <w:tr>
        <w:trPr>
          <w:trHeight w:val="14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i w:val="1"/>
                <w:iCs w:val="1"/>
                <w:color w:val="auto"/>
              </w:rPr>
              <w:t>Operating Margin %</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i w:val="1"/>
                <w:iCs w:val="1"/>
                <w:color w:val="auto"/>
              </w:rPr>
              <w:t>20.1%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i w:val="1"/>
                <w:iCs w:val="1"/>
                <w:color w:val="auto"/>
              </w:rPr>
              <w:t>24.4%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i w:val="1"/>
                <w:iCs w:val="1"/>
                <w:color w:val="auto"/>
              </w:rPr>
              <w:t>26.4%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i w:val="1"/>
                <w:iCs w:val="1"/>
                <w:color w:val="auto"/>
              </w:rPr>
              <w:t>22.3%</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25.5%</w:t>
            </w:r>
          </w:p>
        </w:tc>
      </w:tr>
      <w:tr>
        <w:trPr>
          <w:trHeight w:val="144"/>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19,673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(25,786)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31,350</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(805)</w:t>
            </w:r>
          </w:p>
        </w:tc>
      </w:tr>
      <w:tr>
        <w:trPr>
          <w:trHeight w:val="142"/>
        </w:trPr>
        <w:tc>
          <w:tcPr>
            <w:tcW w:w="46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Income Before Income Tax Provision</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53,856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74,532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29,931</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128,388</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107,089</w:t>
            </w:r>
          </w:p>
        </w:tc>
      </w:tr>
      <w:tr>
        <w:trPr>
          <w:trHeight w:val="144"/>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provision</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5,714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24,961</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24,615</w:t>
            </w:r>
          </w:p>
        </w:tc>
      </w:tr>
      <w:tr>
        <w:trPr>
          <w:trHeight w:val="142"/>
        </w:trPr>
        <w:tc>
          <w:tcPr>
            <w:tcW w:w="46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43,250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60,177</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24,217</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103,427</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82,474</w:t>
            </w:r>
          </w:p>
        </w:tc>
      </w:tr>
      <w:tr>
        <w:trPr>
          <w:trHeight w:val="144"/>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17,238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15,356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29,059</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30,762</w:t>
            </w:r>
          </w:p>
        </w:tc>
      </w:tr>
      <w:tr>
        <w:trPr>
          <w:trHeight w:val="142"/>
        </w:trPr>
        <w:tc>
          <w:tcPr>
            <w:tcW w:w="464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Photronics, Inc. shareholders</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31,429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42,939</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8,861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74,368</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51,712</w:t>
            </w:r>
          </w:p>
        </w:tc>
      </w:tr>
      <w:tr>
        <w:trPr>
          <w:trHeight w:val="120"/>
        </w:trPr>
        <w:tc>
          <w:tcPr>
            <w:tcW w:w="464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share attributed to Photronics, Inc. shareholders: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8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Basic</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0.15</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1.28</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0.84</w:t>
            </w:r>
          </w:p>
        </w:tc>
      </w:tr>
      <w:tr>
        <w:trPr>
          <w:trHeight w:val="120"/>
        </w:trPr>
        <w:tc>
          <w:tcPr>
            <w:tcW w:w="464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Diluted</w:t>
            </w:r>
          </w:p>
        </w:tc>
        <w:tc>
          <w:tcPr>
            <w:tcW w:w="74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0.74</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0.15</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1.27</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0.84</w:t>
            </w:r>
          </w:p>
        </w:tc>
      </w:tr>
      <w:tr>
        <w:trPr>
          <w:trHeight w:val="120"/>
        </w:trPr>
        <w:tc>
          <w:tcPr>
            <w:tcW w:w="464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number of common shares outstanding:</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r>
      <w:tr>
        <w:trPr>
          <w:trHeight w:val="18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Basic</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58,123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57,794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60,793</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57,959</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61,443</w:t>
            </w:r>
          </w:p>
        </w:tc>
      </w:tr>
      <w:tr>
        <w:trPr>
          <w:trHeight w:val="120"/>
        </w:trPr>
        <w:tc>
          <w:tcPr>
            <w:tcW w:w="464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Diluted</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58,745</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58,390</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60,974</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58,568</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61,817</w:t>
            </w:r>
          </w:p>
        </w:tc>
      </w:tr>
      <w:tr>
        <w:trPr>
          <w:trHeight w:val="237"/>
        </w:trPr>
        <w:tc>
          <w:tcPr>
            <w:tcW w:w="4640" w:type="dxa"/>
            <w:vAlign w:val="bottom"/>
            <w:tcBorders>
              <w:top w:val="single" w:sz="8" w:color="CCEEFF"/>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CCEEFF"/>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CCEEFF"/>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CCEEFF"/>
              <w:bottom w:val="single" w:sz="8" w:color="auto"/>
            </w:tcBorders>
          </w:tcPr>
          <w:p>
            <w:pPr>
              <w:spacing w:after="0"/>
              <w:rPr>
                <w:sz w:val="20"/>
                <w:szCs w:val="20"/>
                <w:color w:val="auto"/>
              </w:rPr>
            </w:pPr>
          </w:p>
        </w:tc>
      </w:tr>
    </w:tbl>
    <w:p>
      <w:pPr>
        <w:sectPr>
          <w:pgSz w:w="11900" w:h="16838" w:orient="portrait"/>
          <w:cols w:equalWidth="0" w:num="1">
            <w:col w:w="11300"/>
          </w:cols>
          <w:pgMar w:left="300" w:top="125" w:right="2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PHOTRONICS,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May 3,</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October 31,</w:t>
            </w:r>
          </w:p>
        </w:tc>
      </w:tr>
      <w:tr>
        <w:trPr>
          <w:trHeight w:val="159"/>
        </w:trPr>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3"/>
                <w:szCs w:val="13"/>
                <w:color w:val="auto"/>
              </w:rPr>
            </w:pPr>
          </w:p>
        </w:tc>
      </w:tr>
      <w:tr>
        <w:trPr>
          <w:trHeight w:val="259"/>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3"/>
              </w:rPr>
              <w:t>Assets</w:t>
            </w:r>
          </w:p>
        </w:tc>
        <w:tc>
          <w:tcPr>
            <w:tcW w:w="838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95"/>
        </w:trPr>
        <w:tc>
          <w:tcPr>
            <w:tcW w:w="8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511,490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492,256</w:t>
            </w:r>
          </w:p>
        </w:tc>
      </w:tr>
      <w:tr>
        <w:trPr>
          <w:trHeight w:val="144"/>
        </w:trPr>
        <w:tc>
          <w:tcPr>
            <w:tcW w:w="87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Short-term investments</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126,177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95,909</w:t>
            </w:r>
          </w:p>
        </w:tc>
      </w:tr>
      <w:tr>
        <w:trPr>
          <w:trHeight w:val="144"/>
        </w:trPr>
        <w:tc>
          <w:tcPr>
            <w:tcW w:w="8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188,951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195,921</w:t>
            </w:r>
          </w:p>
        </w:tc>
      </w:tr>
      <w:tr>
        <w:trPr>
          <w:trHeight w:val="144"/>
        </w:trPr>
        <w:tc>
          <w:tcPr>
            <w:tcW w:w="87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Inventories</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67,826</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61,767</w:t>
            </w:r>
          </w:p>
        </w:tc>
      </w:tr>
      <w:tr>
        <w:trPr>
          <w:trHeight w:val="144"/>
        </w:trPr>
        <w:tc>
          <w:tcPr>
            <w:tcW w:w="8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current assets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49,482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44,199</w:t>
            </w:r>
          </w:p>
        </w:tc>
      </w:tr>
      <w:tr>
        <w:trPr>
          <w:trHeight w:val="142"/>
        </w:trPr>
        <w:tc>
          <w:tcPr>
            <w:tcW w:w="3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76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943,926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890,052</w:t>
            </w:r>
          </w:p>
        </w:tc>
      </w:tr>
      <w:tr>
        <w:trPr>
          <w:trHeight w:val="144"/>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927,936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854,436</w:t>
            </w:r>
          </w:p>
        </w:tc>
      </w:tr>
      <w:tr>
        <w:trPr>
          <w:trHeight w:val="144"/>
        </w:trPr>
        <w:tc>
          <w:tcPr>
            <w:tcW w:w="8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58,964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60,046</w:t>
            </w:r>
          </w:p>
        </w:tc>
      </w:tr>
      <w:tr>
        <w:trPr>
          <w:trHeight w:val="142"/>
        </w:trPr>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1,930,826</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1,804,534</w:t>
            </w:r>
          </w:p>
        </w:tc>
      </w:tr>
      <w:tr>
        <w:trPr>
          <w:trHeight w:val="20"/>
        </w:trPr>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24"/>
        </w:trPr>
        <w:tc>
          <w:tcPr>
            <w:tcW w:w="8700" w:type="dxa"/>
            <w:vAlign w:val="bottom"/>
            <w:gridSpan w:val="3"/>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3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87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186,954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165,862</w:t>
            </w:r>
          </w:p>
        </w:tc>
      </w:tr>
      <w:tr>
        <w:trPr>
          <w:trHeight w:val="142"/>
        </w:trPr>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186,965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165,873</w:t>
            </w:r>
          </w:p>
        </w:tc>
      </w:tr>
      <w:tr>
        <w:trPr>
          <w:trHeight w:val="144"/>
        </w:trPr>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spacing w:after="0"/>
              <w:rPr>
                <w:sz w:val="12"/>
                <w:szCs w:val="12"/>
                <w:color w:val="auto"/>
              </w:rPr>
            </w:pPr>
          </w:p>
        </w:tc>
      </w:tr>
      <w:tr>
        <w:trPr>
          <w:trHeight w:val="144"/>
        </w:trPr>
        <w:tc>
          <w:tcPr>
            <w:tcW w:w="8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46,547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41,341</w:t>
            </w:r>
          </w:p>
        </w:tc>
      </w:tr>
      <w:tr>
        <w:trPr>
          <w:trHeight w:val="144"/>
        </w:trPr>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Photronics, Inc. shareholders' equity</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1,241,250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1,173,589</w:t>
            </w:r>
          </w:p>
        </w:tc>
      </w:tr>
      <w:tr>
        <w:trPr>
          <w:trHeight w:val="144"/>
        </w:trPr>
        <w:tc>
          <w:tcPr>
            <w:tcW w:w="8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452,211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423,718</w:t>
            </w:r>
          </w:p>
        </w:tc>
      </w:tr>
      <w:tr>
        <w:trPr>
          <w:trHeight w:val="20"/>
        </w:trPr>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Total equity</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1,693,461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1,597,307</w:t>
            </w:r>
          </w:p>
        </w:tc>
      </w:tr>
      <w:tr>
        <w:trPr>
          <w:trHeight w:val="142"/>
        </w:trPr>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6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1,930,826</w:t>
            </w: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1,804,534</w:t>
            </w:r>
          </w:p>
        </w:tc>
      </w:tr>
      <w:tr>
        <w:trPr>
          <w:trHeight w:val="20"/>
        </w:trPr>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ectPr>
          <w:pgSz w:w="11900" w:h="16838" w:orient="portrait"/>
          <w:cols w:equalWidth="0" w:num="1">
            <w:col w:w="11300"/>
          </w:cols>
          <w:pgMar w:left="300" w:top="125"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PHOTRONICS,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8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600"/>
              <w:spacing w:after="0" w:line="128" w:lineRule="exact"/>
              <w:rPr>
                <w:sz w:val="20"/>
                <w:szCs w:val="20"/>
                <w:color w:val="auto"/>
              </w:rPr>
            </w:pPr>
            <w:r>
              <w:rPr>
                <w:rFonts w:ascii="Times New Roman" w:cs="Times New Roman" w:eastAsia="Times New Roman" w:hAnsi="Times New Roman"/>
                <w:sz w:val="12"/>
                <w:szCs w:val="12"/>
                <w:b w:val="1"/>
                <w:bCs w:val="1"/>
                <w:color w:val="auto"/>
              </w:rPr>
              <w:t>May 3,</w:t>
            </w:r>
          </w:p>
        </w:tc>
        <w:tc>
          <w:tcPr>
            <w:tcW w:w="380" w:type="dxa"/>
            <w:vAlign w:val="bottom"/>
          </w:tcPr>
          <w:p>
            <w:pPr>
              <w:spacing w:after="0"/>
              <w:rPr>
                <w:sz w:val="11"/>
                <w:szCs w:val="11"/>
                <w:color w:val="auto"/>
              </w:rPr>
            </w:pPr>
          </w:p>
        </w:tc>
        <w:tc>
          <w:tcPr>
            <w:tcW w:w="740" w:type="dxa"/>
            <w:vAlign w:val="bottom"/>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May 4,</w:t>
            </w:r>
          </w:p>
        </w:tc>
        <w:tc>
          <w:tcPr>
            <w:tcW w:w="120" w:type="dxa"/>
            <w:vAlign w:val="bottom"/>
          </w:tcPr>
          <w:p>
            <w:pPr>
              <w:spacing w:after="0"/>
              <w:rPr>
                <w:sz w:val="11"/>
                <w:szCs w:val="11"/>
                <w:color w:val="auto"/>
              </w:rPr>
            </w:pPr>
          </w:p>
        </w:tc>
      </w:tr>
      <w:tr>
        <w:trPr>
          <w:trHeight w:val="159"/>
        </w:trPr>
        <w:tc>
          <w:tcPr>
            <w:tcW w:w="8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3"/>
                <w:szCs w:val="13"/>
                <w:color w:val="auto"/>
              </w:rPr>
            </w:pPr>
          </w:p>
        </w:tc>
      </w:tr>
      <w:tr>
        <w:trPr>
          <w:trHeight w:val="286"/>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103,427</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82,474</w:t>
            </w:r>
          </w:p>
        </w:tc>
      </w:tr>
      <w:tr>
        <w:trPr>
          <w:trHeight w:val="144"/>
        </w:trPr>
        <w:tc>
          <w:tcPr>
            <w:tcW w:w="8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39,812</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40,386</w:t>
            </w:r>
          </w:p>
        </w:tc>
      </w:tr>
      <w:tr>
        <w:trPr>
          <w:trHeight w:val="144"/>
        </w:trPr>
        <w:tc>
          <w:tcPr>
            <w:tcW w:w="87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Share-based compensation</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6,710</w:t>
            </w:r>
          </w:p>
        </w:tc>
      </w:tr>
      <w:tr>
        <w:trPr>
          <w:trHeight w:val="144"/>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Changes in operating assets, liabilities and other</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(5,531)</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(19,651)</w:t>
            </w:r>
          </w:p>
        </w:tc>
      </w:tr>
      <w:tr>
        <w:trPr>
          <w:trHeight w:val="142"/>
        </w:trPr>
        <w:tc>
          <w:tcPr>
            <w:tcW w:w="8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144,284</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109,919</w:t>
            </w:r>
          </w:p>
        </w:tc>
      </w:tr>
      <w:tr>
        <w:trPr>
          <w:trHeight w:val="142"/>
        </w:trPr>
        <w:tc>
          <w:tcPr>
            <w:tcW w:w="8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Purchases of property, plant and equipment</w:t>
            </w:r>
          </w:p>
        </w:tc>
        <w:tc>
          <w:tcPr>
            <w:tcW w:w="24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(93,436)</w:t>
            </w:r>
          </w:p>
        </w:tc>
        <w:tc>
          <w:tcPr>
            <w:tcW w:w="3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(95,749)</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Purchases of short-term investments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(105,831)</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(27,689)</w:t>
            </w: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maturities of short-term investments</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71,789</w:t>
            </w: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41,482</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Proceeds from sales of short-term investments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7,093</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Government incentives</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1,166</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(72)</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w:t>
            </w:r>
          </w:p>
        </w:tc>
      </w:tr>
      <w:tr>
        <w:trPr>
          <w:trHeight w:val="142"/>
        </w:trPr>
        <w:tc>
          <w:tcPr>
            <w:tcW w:w="8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(117,890)</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(80,847)</w:t>
            </w:r>
          </w:p>
        </w:tc>
      </w:tr>
      <w:tr>
        <w:trPr>
          <w:trHeight w:val="142"/>
        </w:trPr>
        <w:tc>
          <w:tcPr>
            <w:tcW w:w="8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Repayments of debt</w:t>
            </w:r>
          </w:p>
        </w:tc>
        <w:tc>
          <w:tcPr>
            <w:tcW w:w="24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w:t>
            </w:r>
          </w:p>
        </w:tc>
        <w:tc>
          <w:tcPr>
            <w:tcW w:w="3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(17,966)</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Common stock repurchases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(76,682)</w:t>
            </w:r>
          </w:p>
        </w:tc>
      </w:tr>
      <w:tr>
        <w:trPr>
          <w:trHeight w:val="144"/>
        </w:trPr>
        <w:tc>
          <w:tcPr>
            <w:tcW w:w="8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share-based arrangements</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1,583</w:t>
            </w:r>
          </w:p>
        </w:tc>
      </w:tr>
      <w:tr>
        <w:trPr>
          <w:trHeight w:val="144"/>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Net settlements of restricted stock awards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(1,632)</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(2,007)</w:t>
            </w:r>
          </w:p>
        </w:tc>
      </w:tr>
      <w:tr>
        <w:trPr>
          <w:trHeight w:val="142"/>
        </w:trPr>
        <w:tc>
          <w:tcPr>
            <w:tcW w:w="8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(421)</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(95,072)</w:t>
            </w:r>
          </w:p>
        </w:tc>
      </w:tr>
      <w:tr>
        <w:trPr>
          <w:trHeight w:val="142"/>
        </w:trPr>
        <w:tc>
          <w:tcPr>
            <w:tcW w:w="8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Effects of exchange rate changes on cash, cash equivalents, and restricted cash</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(6,722)</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(1,697)</w:t>
            </w:r>
          </w:p>
        </w:tc>
      </w:tr>
      <w:tr>
        <w:trPr>
          <w:trHeight w:val="142"/>
        </w:trPr>
        <w:tc>
          <w:tcPr>
            <w:tcW w:w="87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19,251</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(67,697)</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495,113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601,243</w:t>
            </w:r>
          </w:p>
        </w:tc>
      </w:tr>
      <w:tr>
        <w:trPr>
          <w:trHeight w:val="142"/>
        </w:trPr>
        <w:tc>
          <w:tcPr>
            <w:tcW w:w="87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end of period</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514,364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533,546</w:t>
            </w:r>
          </w:p>
        </w:tc>
      </w:tr>
      <w:tr>
        <w:trPr>
          <w:trHeight w:val="142"/>
        </w:trPr>
        <w:tc>
          <w:tcPr>
            <w:tcW w:w="87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Less: Ending restricted cash</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2,838</w:t>
            </w:r>
          </w:p>
        </w:tc>
      </w:tr>
      <w:tr>
        <w:trPr>
          <w:trHeight w:val="144"/>
        </w:trPr>
        <w:tc>
          <w:tcPr>
            <w:tcW w:w="87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511,490</w:t>
            </w:r>
          </w:p>
        </w:tc>
        <w:tc>
          <w:tcPr>
            <w:tcW w:w="22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530,708</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ectPr>
          <w:pgSz w:w="11900" w:h="16838" w:orient="portrait"/>
          <w:cols w:equalWidth="0" w:num="1">
            <w:col w:w="11300"/>
          </w:cols>
          <w:pgMar w:left="300" w:top="125"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PHOTRONICS, INC.</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Reconciliation of U.S. GAAP to non-GAAP: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Net income and diluted earnings per share attributable to Photronics, Inc. shareholders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except per share amounts)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7340" w:type="dxa"/>
            <w:vAlign w:val="bottom"/>
          </w:tcPr>
          <w:p>
            <w:pPr>
              <w:spacing w:after="0"/>
              <w:rPr>
                <w:sz w:val="11"/>
                <w:szCs w:val="11"/>
                <w:color w:val="auto"/>
              </w:rPr>
            </w:pPr>
          </w:p>
        </w:tc>
        <w:tc>
          <w:tcPr>
            <w:tcW w:w="7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May 3,</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February 1,</w:t>
            </w:r>
          </w:p>
        </w:tc>
        <w:tc>
          <w:tcPr>
            <w:tcW w:w="220" w:type="dxa"/>
            <w:vAlign w:val="bottom"/>
          </w:tcPr>
          <w:p>
            <w:pPr>
              <w:spacing w:after="0"/>
              <w:rPr>
                <w:sz w:val="11"/>
                <w:szCs w:val="11"/>
                <w:color w:val="auto"/>
              </w:rPr>
            </w:pPr>
          </w:p>
        </w:tc>
        <w:tc>
          <w:tcPr>
            <w:tcW w:w="900" w:type="dxa"/>
            <w:vAlign w:val="bottom"/>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rPr>
              <w:t>May 4,</w:t>
            </w:r>
          </w:p>
        </w:tc>
        <w:tc>
          <w:tcPr>
            <w:tcW w:w="120" w:type="dxa"/>
            <w:vAlign w:val="bottom"/>
          </w:tcPr>
          <w:p>
            <w:pPr>
              <w:spacing w:after="0"/>
              <w:rPr>
                <w:sz w:val="11"/>
                <w:szCs w:val="11"/>
                <w:color w:val="auto"/>
              </w:rPr>
            </w:pPr>
          </w:p>
        </w:tc>
      </w:tr>
      <w:tr>
        <w:trPr>
          <w:trHeight w:val="159"/>
        </w:trPr>
        <w:tc>
          <w:tcPr>
            <w:tcW w:w="7340" w:type="dxa"/>
            <w:vAlign w:val="bottom"/>
          </w:tcPr>
          <w:p>
            <w:pPr>
              <w:spacing w:after="0"/>
              <w:rPr>
                <w:sz w:val="13"/>
                <w:szCs w:val="13"/>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2026</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3"/>
                <w:szCs w:val="13"/>
                <w:color w:val="auto"/>
              </w:rPr>
            </w:pPr>
          </w:p>
        </w:tc>
      </w:tr>
      <w:tr>
        <w:trPr>
          <w:trHeight w:val="286"/>
        </w:trPr>
        <w:tc>
          <w:tcPr>
            <w:tcW w:w="7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U.S. GAAP net income attributable to Photronics, Inc. shareholders</w:t>
            </w:r>
          </w:p>
        </w:tc>
        <w:tc>
          <w:tcPr>
            <w:tcW w:w="78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31,429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42,939</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8,861</w:t>
            </w: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FX (gain) loss</w:t>
            </w:r>
          </w:p>
        </w:tc>
        <w:tc>
          <w:tcPr>
            <w:tcW w:w="7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(7,869)</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(12,865)</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31,111</w:t>
            </w:r>
          </w:p>
        </w:tc>
      </w:tr>
      <w:tr>
        <w:trPr>
          <w:trHeight w:val="144"/>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Estimated tax effects of FX (gain) loss</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2,553</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(8,337)</w:t>
            </w:r>
          </w:p>
        </w:tc>
      </w:tr>
      <w:tr>
        <w:trPr>
          <w:trHeight w:val="144"/>
        </w:trPr>
        <w:tc>
          <w:tcPr>
            <w:tcW w:w="73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Estimated noncontrolling interest effects of above</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3,032</w:t>
            </w:r>
          </w:p>
        </w:tc>
        <w:tc>
          <w:tcPr>
            <w:tcW w:w="22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(7,376)</w:t>
            </w:r>
          </w:p>
        </w:tc>
      </w:tr>
      <w:tr>
        <w:trPr>
          <w:trHeight w:val="144"/>
        </w:trPr>
        <w:tc>
          <w:tcPr>
            <w:tcW w:w="73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net income attributable to Photronics, Inc. shareholders</w:t>
            </w:r>
          </w:p>
        </w:tc>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24,928</w:t>
            </w:r>
          </w:p>
        </w:tc>
        <w:tc>
          <w:tcPr>
            <w:tcW w:w="2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35,659</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24,259</w:t>
            </w:r>
          </w:p>
        </w:tc>
      </w:tr>
      <w:tr>
        <w:trPr>
          <w:trHeight w:val="20"/>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3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number of common shares outstanding - Diluted</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58,745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58,390</w:t>
            </w:r>
          </w:p>
        </w:tc>
        <w:tc>
          <w:tcPr>
            <w:tcW w:w="22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60,974</w:t>
            </w:r>
          </w:p>
        </w:tc>
      </w:tr>
      <w:tr>
        <w:trPr>
          <w:trHeight w:val="20"/>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7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10"/>
                <w:szCs w:val="10"/>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U.S. GAAP diluted earnings per share attributable to Photronics, Inc. shareholders</w:t>
            </w:r>
          </w:p>
        </w:tc>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0.54</w:t>
            </w:r>
          </w:p>
        </w:tc>
        <w:tc>
          <w:tcPr>
            <w:tcW w:w="2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0.74</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0.15</w:t>
            </w: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Effects of non-GAAP adjustments above</w:t>
            </w: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(0.12)</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(0.13)</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0.25</w:t>
            </w:r>
          </w:p>
        </w:tc>
      </w:tr>
      <w:tr>
        <w:trPr>
          <w:trHeight w:val="20"/>
        </w:trPr>
        <w:tc>
          <w:tcPr>
            <w:tcW w:w="7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Non-GAAP diluted earnings per share attributable to Photronics, Inc. shareholders</w:t>
            </w:r>
          </w:p>
        </w:tc>
        <w:tc>
          <w:tcPr>
            <w:tcW w:w="780" w:type="dxa"/>
            <w:vAlign w:val="bottom"/>
          </w:tcPr>
          <w:p>
            <w:pPr>
              <w:jc w:val="right"/>
              <w:ind w:right="6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0.42</w:t>
            </w:r>
          </w:p>
        </w:tc>
        <w:tc>
          <w:tcPr>
            <w:tcW w:w="24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0.61</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0.40</w:t>
            </w:r>
          </w:p>
        </w:tc>
      </w:tr>
      <w:tr>
        <w:trPr>
          <w:trHeight w:val="20"/>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7"/>
        </w:trPr>
        <w:tc>
          <w:tcPr>
            <w:tcW w:w="7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9" w:name="page10"/>
    <w:bookmarkEnd w:id="9"/>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63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63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2026-05-28T06:03:13Z</dcterms:created>
  <dcterms:modified xsi:type="dcterms:W3CDTF">2026-05-28T06:03:13Z</dcterms:modified>
</cp:coreProperties>
</file>