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6" w:lineRule="exact"/>
        <w:rPr>
          <w:sz w:val="24"/>
          <w:szCs w:val="24"/>
          <w:color w:val="auto"/>
        </w:rPr>
      </w:pPr>
    </w:p>
    <w:p>
      <w:pPr>
        <w:ind w:left="4000" w:right="1880" w:hanging="3992"/>
        <w:spacing w:after="0" w:line="258" w:lineRule="auto"/>
        <w:tabs>
          <w:tab w:leader="none" w:pos="4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May 2, 2021</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OR</w:t>
      </w:r>
    </w:p>
    <w:p>
      <w:pPr>
        <w:spacing w:after="0" w:line="4" w:lineRule="exact"/>
        <w:rPr>
          <w:sz w:val="24"/>
          <w:szCs w:val="24"/>
          <w:color w:val="auto"/>
        </w:rPr>
      </w:pPr>
    </w:p>
    <w:p>
      <w:pPr>
        <w:ind w:left="4100" w:right="1840" w:hanging="4092"/>
        <w:spacing w:after="0" w:line="526" w:lineRule="auto"/>
        <w:tabs>
          <w:tab w:leader="none" w:pos="49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168910</wp:posOffset>
            </wp:positionV>
            <wp:extent cx="53149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8"/>
              </w:rPr>
              <w:t>Connecticut</w:t>
            </w:r>
          </w:p>
        </w:tc>
        <w:tc>
          <w:tcPr>
            <w:tcW w:w="1840" w:type="dxa"/>
            <w:vAlign w:val="bottom"/>
          </w:tcPr>
          <w:p>
            <w:pPr>
              <w:spacing w:after="0"/>
              <w:rPr>
                <w:sz w:val="19"/>
                <w:szCs w:val="19"/>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4960" w:type="dxa"/>
            <w:vAlign w:val="bottom"/>
            <w:gridSpan w:val="2"/>
          </w:tcPr>
          <w:p>
            <w:pPr>
              <w:jc w:val="center"/>
              <w:ind w:left="4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840" w:type="dxa"/>
            <w:vAlign w:val="bottom"/>
          </w:tcPr>
          <w:p>
            <w:pPr>
              <w:spacing w:after="0"/>
              <w:rPr>
                <w:sz w:val="20"/>
                <w:szCs w:val="20"/>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1840" w:type="dxa"/>
            <w:vAlign w:val="bottom"/>
          </w:tcPr>
          <w:p>
            <w:pPr>
              <w:spacing w:after="0"/>
              <w:rPr>
                <w:sz w:val="24"/>
                <w:szCs w:val="24"/>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4960" w:type="dxa"/>
            <w:vAlign w:val="bottom"/>
            <w:gridSpan w:val="2"/>
          </w:tcPr>
          <w:p>
            <w:pPr>
              <w:jc w:val="center"/>
              <w:ind w:left="4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49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Registrant's telephone number, including area code</w:t>
            </w:r>
          </w:p>
        </w:tc>
        <w:tc>
          <w:tcPr>
            <w:tcW w:w="1840" w:type="dxa"/>
            <w:vAlign w:val="bottom"/>
          </w:tcPr>
          <w:p>
            <w:pPr>
              <w:spacing w:after="0"/>
              <w:rPr>
                <w:sz w:val="24"/>
                <w:szCs w:val="24"/>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(203) 775-9000</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231F20"/>
              </w:rPr>
              <w:t>Securities registered pursuant to Section 12(b) of the Act:</w:t>
            </w: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0"/>
        </w:trPr>
        <w:tc>
          <w:tcPr>
            <w:tcW w:w="3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231F20"/>
                <w:w w:val="91"/>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PREFERRED STOCK PURCHASE RIGHTS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N/A</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229"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6" w:right="339" w:bottom="794" w:gutter="0" w:footer="0" w:header="0"/>
        </w:sectPr>
      </w:pP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48" w:lineRule="exact"/>
        <w:rPr>
          <w:sz w:val="24"/>
          <w:szCs w:val="24"/>
          <w:color w:val="auto"/>
        </w:rPr>
      </w:pPr>
    </w:p>
    <w:p>
      <w:pPr>
        <w:sectPr>
          <w:pgSz w:w="11900" w:h="16838" w:orient="portrait"/>
          <w:cols w:equalWidth="0" w:num="6">
            <w:col w:w="2080" w:space="520"/>
            <w:col w:w="160" w:space="640"/>
            <w:col w:w="1960" w:space="620"/>
            <w:col w:w="160" w:space="620"/>
            <w:col w:w="1860" w:space="720"/>
            <w:col w:w="1900"/>
          </w:cols>
          <w:pgMar w:left="320" w:top="576" w:right="339" w:bottom="794"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 61,979,000 shares outstanding as of May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9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20" w:type="dxa"/>
            <w:vAlign w:val="bottom"/>
            <w:gridSpan w:val="18"/>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Glossary of Terms and Acronyms</w:t>
              </w:r>
            </w:hyperlink>
          </w:p>
        </w:tc>
        <w:tc>
          <w:tcPr>
            <w:tcW w:w="20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3</w:t>
            </w:r>
          </w:p>
        </w:tc>
      </w:tr>
      <w:tr>
        <w:trPr>
          <w:trHeight w:val="216"/>
        </w:trPr>
        <w:tc>
          <w:tcPr>
            <w:tcW w:w="1180" w:type="dxa"/>
            <w:vAlign w:val="bottom"/>
            <w:tcBorders>
              <w:top w:val="single" w:sz="8" w:color="0000EE"/>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22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4</w:t>
            </w:r>
          </w:p>
        </w:tc>
      </w:tr>
      <w:tr>
        <w:trPr>
          <w:trHeight w:val="216"/>
        </w:trPr>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280" w:type="dxa"/>
            <w:vAlign w:val="bottom"/>
            <w:gridSpan w:val="17"/>
            <w:shd w:val="clear" w:color="auto" w:fill="CCEEFF"/>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20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 (unaudited)</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5</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rPr>
                <w:sz w:val="17"/>
                <w:szCs w:val="17"/>
                <w:color w:val="auto"/>
              </w:rPr>
            </w:pP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5</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rPr>
                <w:sz w:val="17"/>
                <w:szCs w:val="17"/>
                <w:color w:val="auto"/>
              </w:rPr>
            </w:pP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6</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rPr>
                <w:sz w:val="17"/>
                <w:szCs w:val="17"/>
                <w:color w:val="auto"/>
              </w:rPr>
            </w:pP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7</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rPr>
                <w:sz w:val="17"/>
                <w:szCs w:val="17"/>
                <w:color w:val="auto"/>
              </w:rPr>
            </w:pP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Equity</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8</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rPr>
                <w:sz w:val="17"/>
                <w:szCs w:val="17"/>
                <w:color w:val="auto"/>
              </w:rPr>
            </w:pP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10</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rPr>
                <w:sz w:val="17"/>
                <w:szCs w:val="17"/>
                <w:color w:val="auto"/>
              </w:rPr>
            </w:pP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11</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26</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32</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33</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280" w:type="dxa"/>
            <w:vAlign w:val="bottom"/>
            <w:gridSpan w:val="17"/>
            <w:shd w:val="clear" w:color="auto" w:fill="CCEEFF"/>
          </w:tcPr>
          <w:p>
            <w:pPr>
              <w:ind w:left="240"/>
              <w:spacing w:after="0"/>
              <w:rPr>
                <w:sz w:val="20"/>
                <w:szCs w:val="20"/>
                <w:color w:val="auto"/>
              </w:rPr>
            </w:pPr>
            <w:r>
              <w:rPr>
                <w:rFonts w:ascii="Arial" w:cs="Arial" w:eastAsia="Arial" w:hAnsi="Arial"/>
                <w:sz w:val="18"/>
                <w:szCs w:val="18"/>
                <w:b w:val="1"/>
                <w:bCs w:val="1"/>
                <w:color w:val="auto"/>
              </w:rPr>
              <w:t>OTHER INFORMATION</w:t>
            </w:r>
          </w:p>
        </w:tc>
        <w:tc>
          <w:tcPr>
            <w:tcW w:w="20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34</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280" w:type="dxa"/>
            <w:vAlign w:val="bottom"/>
            <w:gridSpan w:val="17"/>
            <w:shd w:val="clear" w:color="auto" w:fill="CCEEFF"/>
          </w:tcPr>
          <w:p>
            <w:pPr>
              <w:ind w:left="2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34</w:t>
            </w:r>
          </w:p>
        </w:tc>
      </w:tr>
      <w:tr>
        <w:trPr>
          <w:trHeight w:val="216"/>
        </w:trPr>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240" w:type="dxa"/>
            <w:vAlign w:val="bottom"/>
            <w:shd w:val="clear" w:color="auto" w:fill="CCEEFF"/>
          </w:tcPr>
          <w:p>
            <w:pPr>
              <w:spacing w:after="0"/>
              <w:rPr>
                <w:sz w:val="17"/>
                <w:szCs w:val="17"/>
                <w:color w:val="auto"/>
              </w:rPr>
            </w:pPr>
          </w:p>
        </w:tc>
        <w:tc>
          <w:tcPr>
            <w:tcW w:w="8040" w:type="dxa"/>
            <w:vAlign w:val="bottom"/>
            <w:gridSpan w:val="1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35</w:t>
            </w:r>
          </w:p>
        </w:tc>
      </w:tr>
      <w:tr>
        <w:trPr>
          <w:trHeight w:val="825"/>
        </w:trPr>
        <w:tc>
          <w:tcPr>
            <w:tcW w:w="9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3"/>
          </w:tcPr>
          <w:p>
            <w:pPr>
              <w:jc w:val="right"/>
              <w:ind w:right="100"/>
              <w:spacing w:after="0"/>
              <w:rPr>
                <w:sz w:val="20"/>
                <w:szCs w:val="20"/>
                <w:color w:val="auto"/>
              </w:rPr>
            </w:pPr>
            <w:r>
              <w:rPr>
                <w:rFonts w:ascii="Arial" w:cs="Arial" w:eastAsia="Arial" w:hAnsi="Arial"/>
                <w:sz w:val="14"/>
                <w:szCs w:val="14"/>
                <w:color w:val="auto"/>
              </w:rPr>
              <w:t>2</w:t>
            </w:r>
          </w:p>
        </w:tc>
        <w:tc>
          <w:tcPr>
            <w:tcW w:w="188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r>
      <w:tr>
        <w:trPr>
          <w:trHeight w:val="46"/>
        </w:trPr>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8720" w:type="dxa"/>
            <w:vAlign w:val="bottom"/>
          </w:tcPr>
          <w:p>
            <w:pPr>
              <w:ind w:left="1820"/>
              <w:spacing w:after="0"/>
              <w:rPr>
                <w:sz w:val="20"/>
                <w:szCs w:val="20"/>
                <w:color w:val="auto"/>
              </w:rPr>
            </w:pPr>
            <w:r>
              <w:rPr>
                <w:rFonts w:ascii="Arial" w:cs="Arial" w:eastAsia="Arial" w:hAnsi="Arial"/>
                <w:sz w:val="18"/>
                <w:szCs w:val="18"/>
                <w:b w:val="1"/>
                <w:bCs w:val="1"/>
                <w:color w:val="auto"/>
              </w:rPr>
              <w:t>Glossary of Terms and Acronyms</w:t>
            </w:r>
          </w:p>
        </w:tc>
      </w:tr>
      <w:tr>
        <w:trPr>
          <w:trHeight w:val="459"/>
        </w:trPr>
        <w:tc>
          <w:tcPr>
            <w:tcW w:w="11240" w:type="dxa"/>
            <w:vAlign w:val="bottom"/>
            <w:gridSpan w:val="2"/>
          </w:tcPr>
          <w:p>
            <w:pPr>
              <w:spacing w:after="0"/>
              <w:rPr>
                <w:sz w:val="20"/>
                <w:szCs w:val="20"/>
                <w:color w:val="auto"/>
              </w:rPr>
            </w:pPr>
            <w:r>
              <w:rPr>
                <w:rFonts w:ascii="Arial" w:cs="Arial" w:eastAsia="Arial" w:hAnsi="Arial"/>
                <w:sz w:val="18"/>
                <w:szCs w:val="18"/>
                <w:color w:val="auto"/>
              </w:rPr>
              <w:t>Definitions of certain terms and acronyms that appear in this report are provided below.</w:t>
            </w:r>
          </w:p>
        </w:tc>
      </w:tr>
      <w:tr>
        <w:trPr>
          <w:trHeight w:val="459"/>
        </w:trPr>
        <w:tc>
          <w:tcPr>
            <w:tcW w:w="2520" w:type="dxa"/>
            <w:vAlign w:val="bottom"/>
          </w:tcPr>
          <w:p>
            <w:pPr>
              <w:spacing w:after="0"/>
              <w:rPr>
                <w:sz w:val="20"/>
                <w:szCs w:val="20"/>
                <w:color w:val="auto"/>
              </w:rPr>
            </w:pPr>
            <w:r>
              <w:rPr>
                <w:rFonts w:ascii="Arial" w:cs="Arial" w:eastAsia="Arial" w:hAnsi="Arial"/>
                <w:sz w:val="18"/>
                <w:szCs w:val="18"/>
                <w:b w:val="1"/>
                <w:bCs w:val="1"/>
                <w:color w:val="auto"/>
              </w:rPr>
              <w:t>AMOLED</w:t>
            </w:r>
          </w:p>
        </w:tc>
        <w:tc>
          <w:tcPr>
            <w:tcW w:w="8720" w:type="dxa"/>
            <w:vAlign w:val="bottom"/>
          </w:tcPr>
          <w:p>
            <w:pPr>
              <w:ind w:left="720"/>
              <w:spacing w:after="0"/>
              <w:rPr>
                <w:sz w:val="20"/>
                <w:szCs w:val="20"/>
                <w:color w:val="auto"/>
              </w:rPr>
            </w:pPr>
            <w:r>
              <w:rPr>
                <w:rFonts w:ascii="Arial" w:cs="Arial" w:eastAsia="Arial" w:hAnsi="Arial"/>
                <w:sz w:val="18"/>
                <w:szCs w:val="18"/>
                <w:color w:val="auto"/>
              </w:rPr>
              <w:t>Active-matrix organic light-emitting diode. A technology used in mobile devices.</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ASC</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Accounting Standards Codification</w:t>
            </w: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720" w:type="dxa"/>
            <w:vAlign w:val="bottom"/>
          </w:tcPr>
          <w:p>
            <w:pPr>
              <w:ind w:left="72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DNP</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Dai Nippon Printing Co., Ltd.</w:t>
            </w: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Exchange Act</w:t>
            </w:r>
          </w:p>
        </w:tc>
        <w:tc>
          <w:tcPr>
            <w:tcW w:w="8720" w:type="dxa"/>
            <w:vAlign w:val="bottom"/>
          </w:tcPr>
          <w:p>
            <w:pPr>
              <w:ind w:left="720"/>
              <w:spacing w:after="0"/>
              <w:rPr>
                <w:sz w:val="20"/>
                <w:szCs w:val="20"/>
                <w:color w:val="auto"/>
              </w:rPr>
            </w:pPr>
            <w:r>
              <w:rPr>
                <w:rFonts w:ascii="Arial" w:cs="Arial" w:eastAsia="Arial" w:hAnsi="Arial"/>
                <w:sz w:val="18"/>
                <w:szCs w:val="18"/>
                <w:color w:val="auto"/>
              </w:rPr>
              <w:t>The Securities Exchange Act of 1934 (as amended)</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FASB</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Form 10-K</w:t>
            </w:r>
          </w:p>
        </w:tc>
        <w:tc>
          <w:tcPr>
            <w:tcW w:w="8720" w:type="dxa"/>
            <w:vAlign w:val="bottom"/>
          </w:tcPr>
          <w:p>
            <w:pPr>
              <w:ind w:left="720"/>
              <w:spacing w:after="0"/>
              <w:rPr>
                <w:sz w:val="20"/>
                <w:szCs w:val="20"/>
                <w:color w:val="auto"/>
              </w:rPr>
            </w:pPr>
            <w:r>
              <w:rPr>
                <w:rFonts w:ascii="Arial" w:cs="Arial" w:eastAsia="Arial" w:hAnsi="Arial"/>
                <w:sz w:val="18"/>
                <w:szCs w:val="18"/>
                <w:color w:val="auto"/>
              </w:rPr>
              <w:t>Annual Report on Form 10-K</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Form 10-Q</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Quarterly Report on Form 10-Q</w:t>
            </w: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FPDs</w:t>
            </w:r>
          </w:p>
        </w:tc>
        <w:tc>
          <w:tcPr>
            <w:tcW w:w="8720" w:type="dxa"/>
            <w:vAlign w:val="bottom"/>
          </w:tcPr>
          <w:p>
            <w:pPr>
              <w:ind w:left="720"/>
              <w:spacing w:after="0"/>
              <w:rPr>
                <w:sz w:val="20"/>
                <w:szCs w:val="20"/>
                <w:color w:val="auto"/>
              </w:rPr>
            </w:pPr>
            <w:r>
              <w:rPr>
                <w:rFonts w:ascii="Arial" w:cs="Arial" w:eastAsia="Arial" w:hAnsi="Arial"/>
                <w:sz w:val="18"/>
                <w:szCs w:val="18"/>
                <w:color w:val="auto"/>
              </w:rPr>
              <w:t>Flat-panel displays, or “displays”</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High-end (photomasks)</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For IC, photomasks that are 28nm or smaller; for FPD, AMOLED, G10.5+, and LTPS photomasks.</w:t>
            </w: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ICs</w:t>
            </w:r>
          </w:p>
        </w:tc>
        <w:tc>
          <w:tcPr>
            <w:tcW w:w="8720" w:type="dxa"/>
            <w:vAlign w:val="bottom"/>
          </w:tcPr>
          <w:p>
            <w:pPr>
              <w:ind w:left="720"/>
              <w:spacing w:after="0"/>
              <w:rPr>
                <w:sz w:val="20"/>
                <w:szCs w:val="20"/>
                <w:color w:val="auto"/>
              </w:rPr>
            </w:pPr>
            <w:r>
              <w:rPr>
                <w:rFonts w:ascii="Arial" w:cs="Arial" w:eastAsia="Arial" w:hAnsi="Arial"/>
                <w:sz w:val="18"/>
                <w:szCs w:val="18"/>
                <w:color w:val="auto"/>
              </w:rPr>
              <w:t>Integrated circuits, or semiconductors</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LIBOR</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London Inter-Bank Offered Rate</w:t>
            </w: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b w:val="1"/>
                <w:bCs w:val="1"/>
                <w:color w:val="auto"/>
              </w:rPr>
              <w:t>LTPS</w:t>
            </w:r>
          </w:p>
        </w:tc>
        <w:tc>
          <w:tcPr>
            <w:tcW w:w="8720" w:type="dxa"/>
            <w:vAlign w:val="bottom"/>
          </w:tcPr>
          <w:p>
            <w:pPr>
              <w:ind w:left="720"/>
              <w:spacing w:after="0" w:line="201" w:lineRule="exact"/>
              <w:rPr>
                <w:sz w:val="20"/>
                <w:szCs w:val="20"/>
                <w:color w:val="auto"/>
              </w:rPr>
            </w:pPr>
            <w:r>
              <w:rPr>
                <w:rFonts w:ascii="Arial" w:cs="Arial" w:eastAsia="Arial" w:hAnsi="Arial"/>
                <w:sz w:val="18"/>
                <w:szCs w:val="18"/>
                <w:color w:val="auto"/>
              </w:rPr>
              <w:t>Low-Temperature Poly Silicon, a polycrystalline silicon synthesized at relatively low temperatures;</w:t>
            </w:r>
          </w:p>
        </w:tc>
      </w:tr>
      <w:tr>
        <w:trPr>
          <w:trHeight w:val="216"/>
        </w:trPr>
        <w:tc>
          <w:tcPr>
            <w:tcW w:w="2520" w:type="dxa"/>
            <w:vAlign w:val="bottom"/>
          </w:tcPr>
          <w:p>
            <w:pPr>
              <w:spacing w:after="0"/>
              <w:rPr>
                <w:sz w:val="18"/>
                <w:szCs w:val="18"/>
                <w:color w:val="auto"/>
              </w:rPr>
            </w:pPr>
          </w:p>
        </w:tc>
        <w:tc>
          <w:tcPr>
            <w:tcW w:w="8720" w:type="dxa"/>
            <w:vAlign w:val="bottom"/>
          </w:tcPr>
          <w:p>
            <w:pPr>
              <w:ind w:left="720"/>
              <w:spacing w:after="0"/>
              <w:rPr>
                <w:sz w:val="20"/>
                <w:szCs w:val="20"/>
                <w:color w:val="auto"/>
              </w:rPr>
            </w:pPr>
            <w:r>
              <w:rPr>
                <w:rFonts w:ascii="Arial" w:cs="Arial" w:eastAsia="Arial" w:hAnsi="Arial"/>
                <w:sz w:val="18"/>
                <w:szCs w:val="18"/>
                <w:color w:val="auto"/>
                <w:w w:val="94"/>
              </w:rPr>
              <w:t>polycrystalline silicon in thin-film transistors (TFTs) are used in liquid-crystal displays (LCD) flat panels and</w:t>
            </w:r>
          </w:p>
        </w:tc>
      </w:tr>
      <w:tr>
        <w:trPr>
          <w:trHeight w:val="230"/>
        </w:trPr>
        <w:tc>
          <w:tcPr>
            <w:tcW w:w="2520" w:type="dxa"/>
            <w:vAlign w:val="bottom"/>
          </w:tcPr>
          <w:p>
            <w:pPr>
              <w:spacing w:after="0"/>
              <w:rPr>
                <w:sz w:val="20"/>
                <w:szCs w:val="20"/>
                <w:color w:val="auto"/>
              </w:rPr>
            </w:pPr>
          </w:p>
        </w:tc>
        <w:tc>
          <w:tcPr>
            <w:tcW w:w="8720" w:type="dxa"/>
            <w:vAlign w:val="bottom"/>
          </w:tcPr>
          <w:p>
            <w:pPr>
              <w:ind w:left="720"/>
              <w:spacing w:after="0"/>
              <w:rPr>
                <w:sz w:val="20"/>
                <w:szCs w:val="20"/>
                <w:color w:val="auto"/>
              </w:rPr>
            </w:pPr>
            <w:r>
              <w:rPr>
                <w:rFonts w:ascii="Arial" w:cs="Arial" w:eastAsia="Arial" w:hAnsi="Arial"/>
                <w:sz w:val="18"/>
                <w:szCs w:val="18"/>
                <w:color w:val="auto"/>
              </w:rPr>
              <w:t>to drive organic light-emitting diode (OLED) displays.</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MLA</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Master Lease Agreement</w:t>
            </w: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PDMCX</w:t>
            </w:r>
          </w:p>
        </w:tc>
        <w:tc>
          <w:tcPr>
            <w:tcW w:w="8720" w:type="dxa"/>
            <w:vAlign w:val="bottom"/>
          </w:tcPr>
          <w:p>
            <w:pPr>
              <w:ind w:left="720"/>
              <w:spacing w:after="0"/>
              <w:rPr>
                <w:sz w:val="20"/>
                <w:szCs w:val="20"/>
                <w:color w:val="auto"/>
              </w:rPr>
            </w:pPr>
            <w:r>
              <w:rPr>
                <w:rFonts w:ascii="Arial" w:cs="Arial" w:eastAsia="Arial" w:hAnsi="Arial"/>
                <w:sz w:val="18"/>
                <w:szCs w:val="18"/>
                <w:color w:val="auto"/>
              </w:rPr>
              <w:t>Xiamen American Japan Photronics Mask Co., Ltd., a joint venture of Photronics and DNP.</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RMB</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Chinese renminbi</w:t>
            </w: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ROU (assets)</w:t>
            </w:r>
          </w:p>
        </w:tc>
        <w:tc>
          <w:tcPr>
            <w:tcW w:w="8720" w:type="dxa"/>
            <w:vAlign w:val="bottom"/>
          </w:tcPr>
          <w:p>
            <w:pPr>
              <w:ind w:left="720"/>
              <w:spacing w:after="0"/>
              <w:rPr>
                <w:sz w:val="20"/>
                <w:szCs w:val="20"/>
                <w:color w:val="auto"/>
              </w:rPr>
            </w:pPr>
            <w:r>
              <w:rPr>
                <w:rFonts w:ascii="Arial" w:cs="Arial" w:eastAsia="Arial" w:hAnsi="Arial"/>
                <w:sz w:val="18"/>
                <w:szCs w:val="18"/>
                <w:color w:val="auto"/>
              </w:rPr>
              <w:t>Right-of-use asset</w:t>
            </w:r>
          </w:p>
        </w:tc>
      </w:tr>
      <w:tr>
        <w:trPr>
          <w:trHeight w:val="216"/>
        </w:trPr>
        <w:tc>
          <w:tcPr>
            <w:tcW w:w="2520" w:type="dxa"/>
            <w:vAlign w:val="bottom"/>
            <w:shd w:val="clear" w:color="auto" w:fill="D0CECE"/>
          </w:tcPr>
          <w:p>
            <w:pPr>
              <w:spacing w:after="0"/>
              <w:rPr>
                <w:sz w:val="20"/>
                <w:szCs w:val="20"/>
                <w:color w:val="auto"/>
              </w:rPr>
            </w:pPr>
            <w:r>
              <w:rPr>
                <w:rFonts w:ascii="Arial" w:cs="Arial" w:eastAsia="Arial" w:hAnsi="Arial"/>
                <w:sz w:val="18"/>
                <w:szCs w:val="18"/>
                <w:b w:val="1"/>
                <w:bCs w:val="1"/>
                <w:color w:val="auto"/>
              </w:rPr>
              <w:t>SEC</w:t>
            </w:r>
          </w:p>
        </w:tc>
        <w:tc>
          <w:tcPr>
            <w:tcW w:w="8720" w:type="dxa"/>
            <w:vAlign w:val="bottom"/>
            <w:shd w:val="clear" w:color="auto" w:fill="D0CECE"/>
          </w:tcPr>
          <w:p>
            <w:pPr>
              <w:ind w:left="720"/>
              <w:spacing w:after="0"/>
              <w:rPr>
                <w:sz w:val="20"/>
                <w:szCs w:val="20"/>
                <w:color w:val="auto"/>
              </w:rPr>
            </w:pPr>
            <w:r>
              <w:rPr>
                <w:rFonts w:ascii="Arial" w:cs="Arial" w:eastAsia="Arial" w:hAnsi="Arial"/>
                <w:sz w:val="18"/>
                <w:szCs w:val="18"/>
                <w:color w:val="auto"/>
              </w:rPr>
              <w:t>Securities and Exchange Commission</w:t>
            </w: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8720" w:type="dxa"/>
            <w:vAlign w:val="bottom"/>
          </w:tcPr>
          <w:p>
            <w:pPr>
              <w:ind w:left="720"/>
              <w:spacing w:after="0"/>
              <w:rPr>
                <w:sz w:val="20"/>
                <w:szCs w:val="20"/>
                <w:color w:val="auto"/>
              </w:rPr>
            </w:pPr>
            <w:r>
              <w:rPr>
                <w:rFonts w:ascii="Arial" w:cs="Arial" w:eastAsia="Arial" w:hAnsi="Arial"/>
                <w:sz w:val="18"/>
                <w:szCs w:val="18"/>
                <w:color w:val="auto"/>
              </w:rPr>
              <w:t>The Securities Act of 1933 (as amended)</w:t>
            </w:r>
          </w:p>
        </w:tc>
      </w:tr>
      <w:tr>
        <w:trPr>
          <w:trHeight w:val="577"/>
        </w:trPr>
        <w:tc>
          <w:tcPr>
            <w:tcW w:w="2520" w:type="dxa"/>
            <w:vAlign w:val="bottom"/>
          </w:tcPr>
          <w:p>
            <w:pPr>
              <w:spacing w:after="0"/>
              <w:rPr>
                <w:sz w:val="24"/>
                <w:szCs w:val="24"/>
                <w:color w:val="auto"/>
              </w:rPr>
            </w:pPr>
          </w:p>
        </w:tc>
        <w:tc>
          <w:tcPr>
            <w:tcW w:w="8720" w:type="dxa"/>
            <w:vAlign w:val="bottom"/>
          </w:tcPr>
          <w:p>
            <w:pPr>
              <w:ind w:left="3060"/>
              <w:spacing w:after="0"/>
              <w:rPr>
                <w:sz w:val="20"/>
                <w:szCs w:val="20"/>
                <w:color w:val="auto"/>
              </w:rPr>
            </w:pPr>
            <w:r>
              <w:rPr>
                <w:rFonts w:ascii="Arial" w:cs="Arial" w:eastAsia="Arial" w:hAnsi="Arial"/>
                <w:sz w:val="14"/>
                <w:szCs w:val="14"/>
                <w:color w:val="auto"/>
              </w:rPr>
              <w:t>3</w:t>
            </w:r>
          </w:p>
        </w:tc>
      </w:tr>
      <w:tr>
        <w:trPr>
          <w:trHeight w:val="46"/>
        </w:trPr>
        <w:tc>
          <w:tcPr>
            <w:tcW w:w="252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Item 2 – “Management’s Discussion &amp; Analysis of Financial Condition and Results of Operations” of this Form 10-Q.</w:t>
      </w:r>
    </w:p>
    <w:p>
      <w:pPr>
        <w:spacing w:after="0" w:line="193"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9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Report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Item 1A “Risk Factors” of our Form 10-K, as well as any additional risk factors we may provide in our Quarterly Reports on Form 10-Q.</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70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980" w:type="dxa"/>
            <w:vAlign w:val="bottom"/>
          </w:tcPr>
          <w:p>
            <w:pPr>
              <w:spacing w:after="0"/>
              <w:rPr>
                <w:sz w:val="24"/>
                <w:szCs w:val="24"/>
                <w:color w:val="auto"/>
              </w:rPr>
            </w:pPr>
          </w:p>
        </w:tc>
        <w:tc>
          <w:tcPr>
            <w:tcW w:w="7700" w:type="dxa"/>
            <w:vAlign w:val="bottom"/>
          </w:tcPr>
          <w:p>
            <w:pPr>
              <w:jc w:val="center"/>
              <w:ind w:left="1490"/>
              <w:spacing w:after="0"/>
              <w:rPr>
                <w:sz w:val="20"/>
                <w:szCs w:val="20"/>
                <w:color w:val="auto"/>
              </w:rPr>
            </w:pPr>
            <w:r>
              <w:rPr>
                <w:rFonts w:ascii="Arial" w:cs="Arial" w:eastAsia="Arial" w:hAnsi="Arial"/>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7700" w:type="dxa"/>
            <w:vAlign w:val="bottom"/>
          </w:tcPr>
          <w:p>
            <w:pPr>
              <w:jc w:val="center"/>
              <w:ind w:left="15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700" w:type="dxa"/>
            <w:vAlign w:val="bottom"/>
          </w:tcPr>
          <w:p>
            <w:pPr>
              <w:jc w:val="center"/>
              <w:ind w:left="151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700" w:type="dxa"/>
            <w:vAlign w:val="bottom"/>
          </w:tcPr>
          <w:p>
            <w:pPr>
              <w:jc w:val="center"/>
              <w:ind w:left="1490"/>
              <w:spacing w:after="0"/>
              <w:rPr>
                <w:sz w:val="20"/>
                <w:szCs w:val="20"/>
                <w:color w:val="auto"/>
              </w:rPr>
            </w:pPr>
            <w:r>
              <w:rPr>
                <w:rFonts w:ascii="Arial" w:cs="Arial" w:eastAsia="Arial" w:hAnsi="Arial"/>
                <w:sz w:val="18"/>
                <w:szCs w:val="18"/>
                <w:b w:val="1"/>
                <w:bCs w:val="1"/>
                <w:i w:val="1"/>
                <w:iCs w:val="1"/>
                <w:color w:val="auto"/>
                <w:w w:val="89"/>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9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7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278,665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credit losses of $1,356 in 2021 and $1,324 in 2020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143,923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134,470</w:t>
            </w: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7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57,269</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39,336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29,735</w:t>
            </w: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495,608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500,139</w:t>
            </w: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717,426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631,475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22,591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r>
      <w:tr>
        <w:trPr>
          <w:trHeight w:val="22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assets</w:t>
            </w:r>
          </w:p>
        </w:tc>
        <w:tc>
          <w:tcPr>
            <w:tcW w:w="7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31,061</w:t>
            </w:r>
          </w:p>
        </w:tc>
      </w:tr>
      <w:tr>
        <w:trPr>
          <w:trHeight w:val="216"/>
        </w:trPr>
        <w:tc>
          <w:tcPr>
            <w:tcW w:w="9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8"/>
              </w:rPr>
              <w:t>Total assets</w:t>
            </w:r>
          </w:p>
        </w:tc>
        <w:tc>
          <w:tcPr>
            <w:tcW w:w="77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1,265,989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1,188,182</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25,658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8,970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75,378</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50,337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53,883</w:t>
            </w: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142,939</w:t>
            </w: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88,444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54,980</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27,997</w:t>
            </w:r>
          </w:p>
        </w:tc>
      </w:tr>
      <w:tr>
        <w:trPr>
          <w:trHeight w:val="216"/>
        </w:trPr>
        <w:tc>
          <w:tcPr>
            <w:tcW w:w="868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225,916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150,000 shares authorized, 63,606 shares issued and 61,587 outstanding at May 2,</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2021, and 63,138 shares issued and outstanding at October 31, 2020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511,215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507,336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279,037</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Treasury stock, 2,019 shares at May 2, 2021</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(23,250)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35,192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r>
      <w:tr>
        <w:trPr>
          <w:trHeight w:val="216"/>
        </w:trPr>
        <w:tc>
          <w:tcPr>
            <w:tcW w:w="868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Photronics, Inc. shareholders'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804,962</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169,425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157,304</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990,817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962,266</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1,265,989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1,188,182</w:t>
            </w:r>
          </w:p>
        </w:tc>
      </w:tr>
      <w:tr>
        <w:trPr>
          <w:trHeight w:val="20"/>
        </w:trPr>
        <w:tc>
          <w:tcPr>
            <w:tcW w:w="9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May 2,</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May 2,</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302,510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112,341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242,052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237,475</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65,035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27,486</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17,729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36,027</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29,008</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Foreign currency transactions impact, net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(2,055)</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(1,433)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3,304</w:t>
            </w: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w:t>
            </w:r>
          </w:p>
        </w:tc>
      </w:tr>
      <w:tr>
        <w:trPr>
          <w:trHeight w:val="223"/>
        </w:trPr>
        <w:tc>
          <w:tcPr>
            <w:tcW w:w="5980" w:type="dxa"/>
            <w:vAlign w:val="bottom"/>
          </w:tcPr>
          <w:p>
            <w:pPr>
              <w:ind w:left="160"/>
              <w:spacing w:after="0"/>
              <w:rPr>
                <w:sz w:val="20"/>
                <w:szCs w:val="20"/>
                <w:color w:val="auto"/>
              </w:rPr>
            </w:pPr>
            <w:r>
              <w:rPr>
                <w:rFonts w:ascii="Arial" w:cs="Arial" w:eastAsia="Arial" w:hAnsi="Arial"/>
                <w:sz w:val="18"/>
                <w:szCs w:val="18"/>
                <w:color w:val="auto"/>
              </w:rPr>
              <w:t>Interest income and other income (expense),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11,753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32,481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31,753</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3,781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6,651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12,853</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7,972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25,830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18,900</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7,268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2,316</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10,526</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18,562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16,584</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64,937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62,265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65,246</w:t>
            </w: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65,417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62,786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65,933</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4"/>
              </w:rPr>
              <w:t>May 2,</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May 2,</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16,321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(3,951)</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14,949</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6,431</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13,689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Three Months Ended May 2,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96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287,073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978,496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6"/>
              </w:rPr>
              <w:t>Other comprehensive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0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2,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511,215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297,599</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Three Months Ended May 3, 2020</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Balance at February 2,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264,222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912,801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Balance at May 3, 2020</w:t>
            </w:r>
          </w:p>
        </w:tc>
        <w:tc>
          <w:tcPr>
            <w:tcW w:w="900" w:type="dxa"/>
            <w:vAlign w:val="bottom"/>
          </w:tcPr>
          <w:p>
            <w:pPr>
              <w:jc w:val="right"/>
              <w:spacing w:after="0"/>
              <w:rPr>
                <w:sz w:val="20"/>
                <w:szCs w:val="20"/>
                <w:color w:val="auto"/>
              </w:rPr>
            </w:pPr>
            <w:r>
              <w:rPr>
                <w:rFonts w:ascii="Arial" w:cs="Arial" w:eastAsia="Arial" w:hAnsi="Arial"/>
                <w:sz w:val="18"/>
                <w:szCs w:val="18"/>
                <w:color w:val="auto"/>
              </w:rPr>
              <w:t>66,215</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530,117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270,506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(16,894)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(15,200)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152,467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921,658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rPr>
              <w:t>PHOTRONICS, INC.</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gridSpan w:val="14"/>
          </w:tcPr>
          <w:p>
            <w:pPr>
              <w:jc w:val="center"/>
              <w:ind w:left="50"/>
              <w:spacing w:after="0"/>
              <w:rPr>
                <w:sz w:val="20"/>
                <w:szCs w:val="20"/>
                <w:color w:val="auto"/>
              </w:rPr>
            </w:pPr>
            <w:r>
              <w:rPr>
                <w:rFonts w:ascii="Arial" w:cs="Arial" w:eastAsia="Arial" w:hAnsi="Arial"/>
                <w:sz w:val="18"/>
                <w:szCs w:val="18"/>
                <w:b w:val="1"/>
                <w:bCs w:val="1"/>
                <w:color w:val="auto"/>
                <w:w w:val="88"/>
              </w:rPr>
              <w:t>Condensed Consolidated Statements of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41"/>
              <w:spacing w:after="0"/>
              <w:rPr>
                <w:sz w:val="20"/>
                <w:szCs w:val="20"/>
                <w:color w:val="auto"/>
              </w:rPr>
            </w:pPr>
            <w:r>
              <w:rPr>
                <w:rFonts w:ascii="Arial" w:cs="Arial" w:eastAsia="Arial" w:hAnsi="Arial"/>
                <w:sz w:val="18"/>
                <w:szCs w:val="18"/>
                <w:b w:val="1"/>
                <w:bCs w:val="1"/>
                <w:color w:val="auto"/>
                <w:w w:val="91"/>
              </w:rPr>
              <w:t>Six Months Ended May 2, 2021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Paid-in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96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2020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63,138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507,336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962,266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25,830</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Other comprehensive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22,087</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2,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511,215</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297,599</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41"/>
              <w:spacing w:after="0"/>
              <w:rPr>
                <w:sz w:val="20"/>
                <w:szCs w:val="20"/>
                <w:color w:val="auto"/>
              </w:rPr>
            </w:pPr>
            <w:r>
              <w:rPr>
                <w:rFonts w:ascii="Arial" w:cs="Arial" w:eastAsia="Arial" w:hAnsi="Arial"/>
                <w:sz w:val="18"/>
                <w:szCs w:val="18"/>
                <w:b w:val="1"/>
                <w:bCs w:val="1"/>
                <w:color w:val="auto"/>
                <w:w w:val="91"/>
              </w:rPr>
              <w:t>Six Months Ended May 3, 2020</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Paid-in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65,595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524,319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Repurchase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of subsidiary</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3,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66,215</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530,117</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270,506</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8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May 2,</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(5,655)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(8,989)</w:t>
            </w: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(8,591)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(6,887)</w:t>
            </w:r>
          </w:p>
        </w:tc>
      </w:tr>
      <w:tr>
        <w:trPr>
          <w:trHeight w:val="223"/>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accrued liabilities, and other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58,219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61,323</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(73,516)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(30,127)</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(67,898)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(25,006)</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(23,250)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(16,894)</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Proceeds from share-based arrangements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Net settlements of restricted stock awards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(18,638)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(22,631)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31,421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281,602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258,971</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240,712</w:t>
            </w:r>
          </w:p>
        </w:tc>
      </w:tr>
      <w:tr>
        <w:trPr>
          <w:trHeight w:val="210"/>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non-cash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20,533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r>
      <w:tr>
        <w:trPr>
          <w:trHeight w:val="445"/>
        </w:trPr>
        <w:tc>
          <w:tcPr>
            <w:tcW w:w="8680" w:type="dxa"/>
            <w:vAlign w:val="bottom"/>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6"/>
        </w:trPr>
        <w:tc>
          <w:tcPr>
            <w:tcW w:w="8680" w:type="dxa"/>
            <w:vAlign w:val="bottom"/>
          </w:tcPr>
          <w:p>
            <w:pPr>
              <w:ind w:left="556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integrated circuits,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commenced production in the second quarter of fiscal 2019, and our IC facility in Xiamen, China, commenced production in the third quarter of fiscal 2019.</w:t>
      </w:r>
    </w:p>
    <w:p>
      <w:pPr>
        <w:spacing w:after="0" w:line="22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accompanying unaudited condensed consolidated financial statements (“the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w:t>
      </w:r>
    </w:p>
    <w:p>
      <w:pPr>
        <w:spacing w:after="0" w:line="19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21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 xml:space="preserve">Reclassified prior period amounts have been made to conform to the current period presentation, including the separation of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impact, net</w:t>
      </w:r>
      <w:r>
        <w:rPr>
          <w:rFonts w:ascii="Arial" w:cs="Arial" w:eastAsia="Arial" w:hAnsi="Arial"/>
          <w:sz w:val="18"/>
          <w:szCs w:val="18"/>
          <w:color w:val="auto"/>
        </w:rPr>
        <w:t>, from</w:t>
      </w:r>
      <w:r>
        <w:rPr>
          <w:rFonts w:ascii="Arial" w:cs="Arial" w:eastAsia="Arial" w:hAnsi="Arial"/>
          <w:sz w:val="18"/>
          <w:szCs w:val="18"/>
          <w:i w:val="1"/>
          <w:iCs w:val="1"/>
          <w:color w:val="auto"/>
        </w:rPr>
        <w:t xml:space="preserve"> Interest income and other income, net</w:t>
      </w:r>
      <w:r>
        <w:rPr>
          <w:rFonts w:ascii="Arial" w:cs="Arial" w:eastAsia="Arial" w:hAnsi="Arial"/>
          <w:sz w:val="18"/>
          <w:szCs w:val="18"/>
          <w:color w:val="auto"/>
        </w:rPr>
        <w:t xml:space="preserve">, on the condensed consolidated statements of income, and the segregation of share-based compensation activity into the two categories of </w:t>
      </w:r>
      <w:r>
        <w:rPr>
          <w:rFonts w:ascii="Arial" w:cs="Arial" w:eastAsia="Arial" w:hAnsi="Arial"/>
          <w:sz w:val="18"/>
          <w:szCs w:val="18"/>
          <w:i w:val="1"/>
          <w:iCs w:val="1"/>
          <w:color w:val="auto"/>
        </w:rPr>
        <w:t>Shares issued under equity plans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in the condensed consolidated statements of equity; in previous reports, we segregated this activity into three categories.</w:t>
      </w:r>
    </w:p>
    <w:p>
      <w:pPr>
        <w:spacing w:after="0" w:line="21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business is typically impacted during the first, and sometimes the second, quarters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31, 2021. For further information, refer to the consolidated financial statements, and notes thereto, included in our Form 10-K for the year ended October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CASH EQUIVALENTS AND RESTRICTED CASH</w:t>
      </w:r>
    </w:p>
    <w:p>
      <w:pPr>
        <w:spacing w:after="0" w:line="25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The carrying values of cash equivalents approximate their fair values, due to the short-term maturities of these instruments.</w:t>
      </w:r>
    </w:p>
    <w:p>
      <w:pPr>
        <w:spacing w:after="0" w:line="19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Restricted cash is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our May 2, 2021 and October 31, 2020, consolidated balance sheets, respectively. The restrictions on these amounts are primarily related to land lease agreements and customs requirements.</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presents cash and cash equivalents as reported in our condensed consolidated balance sheets, as well as the sum of cash, cash equivalents and restricted cash, as reported in our condensed consolidated statements of cash flows: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2,</w:t>
            </w: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rPr>
              <w:t>October</w:t>
            </w: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8"/>
                <w:szCs w:val="18"/>
                <w:color w:val="auto"/>
              </w:rPr>
            </w:pPr>
          </w:p>
        </w:tc>
      </w:tr>
      <w:tr>
        <w:trPr>
          <w:trHeight w:val="241"/>
        </w:trPr>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278,665</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9"/>
                <w:szCs w:val="19"/>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258,971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281,602</w:t>
            </w:r>
          </w:p>
        </w:tc>
      </w:tr>
      <w:tr>
        <w:trPr>
          <w:trHeight w:val="21"/>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2,</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4"/>
              </w:rPr>
              <w:t>October 31,</w:t>
            </w:r>
          </w:p>
        </w:tc>
      </w:tr>
      <w:tr>
        <w:trPr>
          <w:trHeight w:val="241"/>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16"/>
        </w:trPr>
        <w:tc>
          <w:tcPr>
            <w:tcW w:w="3560" w:type="dxa"/>
            <w:vAlign w:val="bottom"/>
          </w:tcPr>
          <w:p>
            <w:pPr>
              <w:spacing w:after="0"/>
              <w:rPr>
                <w:sz w:val="18"/>
                <w:szCs w:val="18"/>
                <w:color w:val="auto"/>
              </w:rPr>
            </w:pPr>
          </w:p>
        </w:tc>
        <w:tc>
          <w:tcPr>
            <w:tcW w:w="25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56,389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Work in process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r>
      <w:tr>
        <w:trPr>
          <w:trHeight w:val="22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3560" w:type="dxa"/>
            <w:vAlign w:val="bottom"/>
          </w:tcPr>
          <w:p>
            <w:pPr>
              <w:spacing w:after="0"/>
              <w:rPr>
                <w:sz w:val="18"/>
                <w:szCs w:val="18"/>
                <w:color w:val="auto"/>
              </w:rPr>
            </w:pPr>
          </w:p>
        </w:tc>
        <w:tc>
          <w:tcPr>
            <w:tcW w:w="25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57"/>
        </w:trPr>
        <w:tc>
          <w:tcPr>
            <w:tcW w:w="356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57,269</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5440" w:type="dxa"/>
            <w:vAlign w:val="bottom"/>
          </w:tcPr>
          <w:p>
            <w:pPr>
              <w:ind w:left="340"/>
              <w:spacing w:after="0"/>
              <w:rPr>
                <w:sz w:val="20"/>
                <w:szCs w:val="20"/>
                <w:color w:val="auto"/>
              </w:rPr>
            </w:pPr>
            <w:r>
              <w:rPr>
                <w:rFonts w:ascii="Arial" w:cs="Arial" w:eastAsia="Arial" w:hAnsi="Arial"/>
                <w:sz w:val="18"/>
                <w:szCs w:val="18"/>
                <w:color w:val="auto"/>
              </w:rPr>
              <w:t>Property, plant and equipment consists of the following:</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May 2,</w:t>
            </w:r>
          </w:p>
        </w:tc>
        <w:tc>
          <w:tcPr>
            <w:tcW w:w="4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October 31,</w:t>
            </w:r>
          </w:p>
        </w:tc>
      </w:tr>
      <w:tr>
        <w:trPr>
          <w:trHeight w:val="241"/>
        </w:trPr>
        <w:tc>
          <w:tcPr>
            <w:tcW w:w="5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182,885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179,162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1,940,092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1,812,791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21,157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15,665</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70,915</w:t>
            </w:r>
          </w:p>
        </w:tc>
        <w:tc>
          <w:tcPr>
            <w:tcW w:w="60" w:type="dxa"/>
            <w:vAlign w:val="bottom"/>
          </w:tcPr>
          <w:p>
            <w:pPr>
              <w:spacing w:after="0"/>
              <w:rPr>
                <w:sz w:val="19"/>
                <w:szCs w:val="19"/>
                <w:color w:val="auto"/>
              </w:rPr>
            </w:pPr>
          </w:p>
        </w:tc>
      </w:tr>
      <w:tr>
        <w:trPr>
          <w:trHeight w:val="216"/>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2,253,898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2,112,112</w:t>
            </w: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(1,536,472)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(1,480,637)</w:t>
            </w:r>
          </w:p>
        </w:tc>
      </w:tr>
      <w:tr>
        <w:trPr>
          <w:trHeight w:val="216"/>
        </w:trPr>
        <w:tc>
          <w:tcPr>
            <w:tcW w:w="54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57"/>
        </w:trPr>
        <w:tc>
          <w:tcPr>
            <w:tcW w:w="5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717,426</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631,475</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 assets resulting from finance leases are included in the table above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May 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8"/>
              </w:rPr>
              <w:t>October 31,</w:t>
            </w:r>
          </w:p>
        </w:tc>
      </w:tr>
      <w:tr>
        <w:trPr>
          <w:trHeight w:val="241"/>
        </w:trPr>
        <w:tc>
          <w:tcPr>
            <w:tcW w:w="5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5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and amortization expense for property, plant and equipment (including amortization expense for ROU assets) was $22.3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$44.9 million for the three and six-month periods ended May 2, 2021, respectively, and $22.1 million and $45.6 million for the three and six-month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May 3, 2020, respectively.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leading-edge and advanced-generation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No gain or loss was recorded upon the formation of this joint venture.</w:t>
      </w:r>
    </w:p>
    <w:p>
      <w:pPr>
        <w:spacing w:after="0" w:line="20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total investment per the PDMCX operating agreement (the “Agreement”) is $160 million. As of May 2, 2021, Photronics and DNP had each contributed cash of approximately $65 million, and PDMCX had obtained local financing of approximately $50 million; thus both parties have fulfilled their initial investment commitments under the Agreement. As discussed in Note 6, liens were granted to the local financing entity on assets with a total carrying value of $93.3 million, as collateral for the loans.</w:t>
      </w:r>
    </w:p>
    <w:p>
      <w:pPr>
        <w:spacing w:after="0" w:line="21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9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recorded net income from the operations of PDMCX of $2.3 million, and $2.2 million during the three and six-month periods ended May 2, 2021, respectively, and losses of $0.4 million and $4.1 million during the three and six-month periods ended May 3, 2020, respectively. General creditors of PDMCX do not have recourse to the assets of Photronics (other than the net assets of PDMCX), and our maximum exposure to loss from PDMCX at May 2, 2021, was $59.1 million.</w:t>
      </w:r>
    </w:p>
    <w:p>
      <w:pPr>
        <w:spacing w:after="0" w:line="21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As required by the guidance in Topic 810 - “Consolidation” of the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prior-year periods, we had the obligation to absorb losses, and the right to receive benefits, that could potentially be significant to PDMCX.</w:t>
      </w:r>
    </w:p>
    <w:p>
      <w:pPr>
        <w:spacing w:after="0" w:line="19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5"/>
          </w:tcPr>
          <w:p>
            <w:pPr>
              <w:ind w:left="640"/>
              <w:spacing w:after="0"/>
              <w:rPr>
                <w:sz w:val="20"/>
                <w:szCs w:val="20"/>
                <w:color w:val="auto"/>
              </w:rPr>
            </w:pPr>
            <w:r>
              <w:rPr>
                <w:rFonts w:ascii="Arial" w:cs="Arial" w:eastAsia="Arial" w:hAnsi="Arial"/>
                <w:sz w:val="18"/>
                <w:szCs w:val="18"/>
                <w:b w:val="1"/>
                <w:bCs w:val="1"/>
                <w:color w:val="auto"/>
              </w:rPr>
              <w:t>May 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1"/>
              </w:rPr>
              <w:t>Carrying</w:t>
            </w:r>
          </w:p>
        </w:tc>
        <w:tc>
          <w:tcPr>
            <w:tcW w:w="180" w:type="dxa"/>
            <w:vAlign w:val="bottom"/>
          </w:tcPr>
          <w:p>
            <w:pPr>
              <w:spacing w:after="0"/>
              <w:rPr>
                <w:sz w:val="17"/>
                <w:szCs w:val="17"/>
                <w:color w:val="auto"/>
              </w:rPr>
            </w:pPr>
          </w:p>
        </w:tc>
        <w:tc>
          <w:tcPr>
            <w:tcW w:w="9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7"/>
                <w:szCs w:val="17"/>
                <w:color w:val="auto"/>
              </w:rPr>
            </w:pPr>
          </w:p>
        </w:tc>
        <w:tc>
          <w:tcPr>
            <w:tcW w:w="8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7"/>
                <w:szCs w:val="17"/>
                <w:color w:val="auto"/>
              </w:rPr>
            </w:pPr>
          </w:p>
        </w:tc>
      </w:tr>
      <w:tr>
        <w:trPr>
          <w:trHeight w:val="241"/>
        </w:trPr>
        <w:tc>
          <w:tcPr>
            <w:tcW w:w="468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51,855</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8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137,963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68,995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141,097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70,562</w:t>
            </w: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189,818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94,928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197,192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98,615</w:t>
            </w: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13,568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31,922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15,964</w:t>
            </w: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27,844</w:t>
            </w:r>
          </w:p>
        </w:tc>
      </w:tr>
      <w:tr>
        <w:trPr>
          <w:trHeight w:val="216"/>
        </w:trPr>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43,808</w:t>
            </w:r>
          </w:p>
        </w:tc>
      </w:tr>
      <w:tr>
        <w:trPr>
          <w:trHeight w:val="216"/>
        </w:trPr>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54,807</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5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Short-term debt was $0.0 million, and $4.7 million as of May 2, 2021 and October 31, 2020, respectively, with the 2020 amount representing an advance payment, under an MLA, to fund equipment purchased or leased in the U.S., and short duration borrowings in Xiamen, China, to fund operations. See below for further information. The weighted-average interest rate on our short-term debt as of October 31, 2020 was 2.02%.</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provide information on our long-term debt.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Xiamen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Hefei</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Xiamen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Working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Finance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400"/>
              <w:spacing w:after="0"/>
              <w:rPr>
                <w:sz w:val="20"/>
                <w:szCs w:val="20"/>
                <w:color w:val="auto"/>
              </w:rPr>
            </w:pPr>
            <w:r>
              <w:rPr>
                <w:rFonts w:ascii="Arial" w:cs="Arial" w:eastAsia="Arial" w:hAnsi="Arial"/>
                <w:sz w:val="18"/>
                <w:szCs w:val="18"/>
                <w:b w:val="1"/>
                <w:bCs w:val="1"/>
                <w:color w:val="auto"/>
              </w:rPr>
              <w:t>As of May 2, 2021</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9"/>
              </w:rPr>
              <w:t>Project Loans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 Loans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Loan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1"/>
              </w:rPr>
              <w:t>Leases</w:t>
            </w:r>
          </w:p>
        </w:tc>
        <w:tc>
          <w:tcPr>
            <w:tcW w:w="20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2,318</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7,531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25,658</w:t>
            </w:r>
          </w:p>
        </w:tc>
      </w:tr>
      <w:tr>
        <w:trPr>
          <w:trHeight w:val="27"/>
        </w:trPr>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Months 13 – 24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4,637</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6,463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22,136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Months 37 – 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21,279</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32,330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39,413</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25"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rate at balance sheet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w:t>
            </w:r>
          </w:p>
        </w:tc>
        <w:tc>
          <w:tcPr>
            <w:tcW w:w="1620" w:type="dxa"/>
            <w:vAlign w:val="bottom"/>
          </w:tcPr>
          <w:p>
            <w:pPr>
              <w:jc w:val="right"/>
              <w:spacing w:after="0"/>
              <w:rPr>
                <w:sz w:val="20"/>
                <w:szCs w:val="20"/>
                <w:color w:val="auto"/>
              </w:rPr>
            </w:pPr>
            <w:r>
              <w:rPr>
                <w:rFonts w:ascii="Arial" w:cs="Arial" w:eastAsia="Arial" w:hAnsi="Arial"/>
                <w:sz w:val="18"/>
                <w:szCs w:val="18"/>
                <w:color w:val="auto"/>
              </w:rPr>
              <w:t>4.53% - 4.61%</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24"/>
                <w:szCs w:val="24"/>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86"/>
              </w:rPr>
              <w:t xml:space="preserve">Various </w:t>
            </w:r>
            <w:r>
              <w:rPr>
                <w:rFonts w:ascii="Arial" w:cs="Arial" w:eastAsia="Arial" w:hAnsi="Arial"/>
                <w:sz w:val="29"/>
                <w:szCs w:val="29"/>
                <w:color w:val="auto"/>
                <w:w w:val="86"/>
                <w:vertAlign w:val="superscript"/>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67.75 - 76.00</w:t>
            </w:r>
          </w:p>
        </w:tc>
        <w:tc>
          <w:tcPr>
            <w:tcW w:w="1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(45.00)</w:t>
            </w:r>
          </w:p>
        </w:tc>
        <w:tc>
          <w:tcPr>
            <w:tcW w:w="180" w:type="dxa"/>
            <w:vAlign w:val="bottom"/>
          </w:tcPr>
          <w:p>
            <w:pPr>
              <w:spacing w:after="0"/>
              <w:rPr>
                <w:sz w:val="18"/>
                <w:szCs w:val="18"/>
                <w:color w:val="auto"/>
              </w:rPr>
            </w:pPr>
          </w:p>
        </w:tc>
        <w:tc>
          <w:tcPr>
            <w:tcW w:w="1120" w:type="dxa"/>
            <w:vAlign w:val="bottom"/>
          </w:tcPr>
          <w:p>
            <w:pPr>
              <w:jc w:val="center"/>
              <w:ind w:lef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91"/>
              </w:rPr>
              <w:t>Quarterly</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7"/>
              </w:rPr>
              <w:t>Monthly/Annually</w:t>
            </w:r>
          </w:p>
        </w:tc>
        <w:tc>
          <w:tcPr>
            <w:tcW w:w="18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95"/>
              </w:rPr>
              <w:t>Annually</w:t>
            </w:r>
          </w:p>
        </w:tc>
        <w:tc>
          <w:tcPr>
            <w:tcW w:w="180" w:type="dxa"/>
            <w:vAlign w:val="bottom"/>
          </w:tcPr>
          <w:p>
            <w:pPr>
              <w:spacing w:after="0"/>
              <w:rPr>
                <w:sz w:val="18"/>
                <w:szCs w:val="18"/>
                <w:color w:val="auto"/>
              </w:rPr>
            </w:pPr>
          </w:p>
        </w:tc>
        <w:tc>
          <w:tcPr>
            <w:tcW w:w="1120" w:type="dxa"/>
            <w:vAlign w:val="bottom"/>
          </w:tcPr>
          <w:p>
            <w:pPr>
              <w:jc w:val="center"/>
              <w:ind w:lef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9"/>
              </w:rPr>
              <w:t>December</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88"/>
              </w:rPr>
              <w:t>September</w:t>
            </w:r>
          </w:p>
        </w:tc>
        <w:tc>
          <w:tcPr>
            <w:tcW w:w="180" w:type="dxa"/>
            <w:vAlign w:val="bottom"/>
          </w:tcPr>
          <w:p>
            <w:pPr>
              <w:spacing w:after="0"/>
              <w:rPr>
                <w:sz w:val="18"/>
                <w:szCs w:val="18"/>
                <w:color w:val="auto"/>
              </w:rPr>
            </w:pPr>
          </w:p>
        </w:tc>
        <w:tc>
          <w:tcPr>
            <w:tcW w:w="1120" w:type="dxa"/>
            <w:vAlign w:val="bottom"/>
            <w:vMerge w:val="restart"/>
          </w:tcPr>
          <w:p>
            <w:pPr>
              <w:jc w:val="center"/>
              <w:ind w:right="210"/>
              <w:spacing w:after="0"/>
              <w:rPr>
                <w:sz w:val="20"/>
                <w:szCs w:val="20"/>
                <w:color w:val="auto"/>
              </w:rPr>
            </w:pPr>
            <w:r>
              <w:rPr>
                <w:rFonts w:ascii="Arial" w:cs="Arial" w:eastAsia="Arial" w:hAnsi="Arial"/>
                <w:sz w:val="18"/>
                <w:szCs w:val="18"/>
                <w:color w:val="auto"/>
                <w:w w:val="86"/>
              </w:rPr>
              <w:t xml:space="preserve">Various </w:t>
            </w:r>
            <w:r>
              <w:rPr>
                <w:rFonts w:ascii="Arial" w:cs="Arial" w:eastAsia="Arial" w:hAnsi="Arial"/>
                <w:sz w:val="29"/>
                <w:szCs w:val="29"/>
                <w:color w:val="auto"/>
                <w:w w:val="86"/>
                <w:vertAlign w:val="superscript"/>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9"/>
              </w:rPr>
              <w:t>2025</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0"/>
              </w:rPr>
              <w:t>July 2023</w:t>
            </w:r>
          </w:p>
        </w:tc>
        <w:tc>
          <w:tcPr>
            <w:tcW w:w="18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color w:val="auto"/>
                <w:w w:val="89"/>
              </w:rPr>
              <w:t>2026</w:t>
            </w: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6"/>
              </w:rPr>
              <w:t>Increases as</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6"/>
              </w:rPr>
              <w:t>Increases as loans</w:t>
            </w:r>
          </w:p>
        </w:tc>
        <w:tc>
          <w:tcPr>
            <w:tcW w:w="180" w:type="dxa"/>
            <w:vAlign w:val="bottom"/>
          </w:tcPr>
          <w:p>
            <w:pPr>
              <w:spacing w:after="0"/>
              <w:rPr>
                <w:sz w:val="18"/>
                <w:szCs w:val="18"/>
                <w:color w:val="auto"/>
              </w:rPr>
            </w:pPr>
          </w:p>
        </w:tc>
        <w:tc>
          <w:tcPr>
            <w:tcW w:w="1200" w:type="dxa"/>
            <w:vAlign w:val="bottom"/>
            <w:vMerge w:val="restart"/>
          </w:tcPr>
          <w:p>
            <w:pPr>
              <w:jc w:val="center"/>
              <w:ind w:right="250"/>
              <w:spacing w:after="0"/>
              <w:rPr>
                <w:sz w:val="20"/>
                <w:szCs w:val="20"/>
                <w:color w:val="auto"/>
              </w:rPr>
            </w:pPr>
            <w:r>
              <w:rPr>
                <w:rFonts w:ascii="Arial" w:cs="Arial" w:eastAsia="Arial" w:hAnsi="Arial"/>
                <w:sz w:val="18"/>
                <w:szCs w:val="18"/>
                <w:color w:val="auto"/>
                <w:w w:val="82"/>
              </w:rPr>
              <w:t xml:space="preserve">Varies </w:t>
            </w:r>
            <w:r>
              <w:rPr>
                <w:rFonts w:ascii="Arial" w:cs="Arial" w:eastAsia="Arial" w:hAnsi="Arial"/>
                <w:sz w:val="29"/>
                <w:szCs w:val="29"/>
                <w:color w:val="auto"/>
                <w:w w:val="82"/>
                <w:vertAlign w:val="superscript"/>
              </w:rPr>
              <w:t>(1)</w:t>
            </w:r>
          </w:p>
        </w:tc>
        <w:tc>
          <w:tcPr>
            <w:tcW w:w="180" w:type="dxa"/>
            <w:vAlign w:val="bottom"/>
          </w:tcPr>
          <w:p>
            <w:pPr>
              <w:spacing w:after="0"/>
              <w:rPr>
                <w:sz w:val="18"/>
                <w:szCs w:val="18"/>
                <w:color w:val="auto"/>
              </w:rPr>
            </w:pPr>
          </w:p>
        </w:tc>
        <w:tc>
          <w:tcPr>
            <w:tcW w:w="1120" w:type="dxa"/>
            <w:vAlign w:val="bottom"/>
            <w:vMerge w:val="restart"/>
          </w:tcPr>
          <w:p>
            <w:pPr>
              <w:jc w:val="center"/>
              <w:ind w:right="210"/>
              <w:spacing w:after="0"/>
              <w:rPr>
                <w:sz w:val="20"/>
                <w:szCs w:val="20"/>
                <w:color w:val="auto"/>
              </w:rPr>
            </w:pPr>
            <w:r>
              <w:rPr>
                <w:rFonts w:ascii="Arial" w:cs="Arial" w:eastAsia="Arial" w:hAnsi="Arial"/>
                <w:sz w:val="18"/>
                <w:szCs w:val="18"/>
                <w:color w:val="auto"/>
                <w:w w:val="86"/>
              </w:rPr>
              <w:t xml:space="preserve">Various </w:t>
            </w:r>
            <w:r>
              <w:rPr>
                <w:rFonts w:ascii="Arial" w:cs="Arial" w:eastAsia="Arial" w:hAnsi="Arial"/>
                <w:sz w:val="29"/>
                <w:szCs w:val="29"/>
                <w:color w:val="auto"/>
                <w:w w:val="86"/>
                <w:vertAlign w:val="superscript"/>
              </w:rPr>
              <w:t>(3)</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0"/>
              <w:spacing w:after="0"/>
              <w:rPr>
                <w:sz w:val="20"/>
                <w:szCs w:val="20"/>
                <w:color w:val="auto"/>
              </w:rPr>
            </w:pPr>
            <w:r>
              <w:rPr>
                <w:rFonts w:ascii="Arial" w:cs="Arial" w:eastAsia="Arial" w:hAnsi="Arial"/>
                <w:sz w:val="18"/>
                <w:szCs w:val="18"/>
                <w:color w:val="auto"/>
                <w:w w:val="88"/>
              </w:rPr>
              <w:t>loans mature</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mature</w:t>
            </w: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7"/>
              </w:rPr>
              <w:t>Semiannual,</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0"/>
              <w:spacing w:after="0"/>
              <w:rPr>
                <w:sz w:val="20"/>
                <w:szCs w:val="20"/>
                <w:color w:val="auto"/>
              </w:rPr>
            </w:pPr>
            <w:r>
              <w:rPr>
                <w:rFonts w:ascii="Arial" w:cs="Arial" w:eastAsia="Arial" w:hAnsi="Arial"/>
                <w:sz w:val="18"/>
                <w:szCs w:val="18"/>
                <w:color w:val="auto"/>
                <w:w w:val="95"/>
              </w:rPr>
              <w:t>on individual</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89"/>
              </w:rPr>
              <w:t>Semiannual, on</w:t>
            </w:r>
          </w:p>
        </w:tc>
        <w:tc>
          <w:tcPr>
            <w:tcW w:w="138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85"/>
              </w:rPr>
              <w:t>Semiannual</w:t>
            </w:r>
            <w:r>
              <w:rPr>
                <w:rFonts w:ascii="Arial" w:cs="Arial" w:eastAsia="Arial" w:hAnsi="Arial"/>
                <w:sz w:val="29"/>
                <w:szCs w:val="29"/>
                <w:color w:val="auto"/>
                <w:w w:val="85"/>
                <w:vertAlign w:val="superscript"/>
              </w:rPr>
              <w:t>(2)</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8"/>
              </w:rPr>
              <w:t>loans</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2"/>
              </w:rPr>
              <w:t>individual loans</w:t>
            </w:r>
          </w:p>
        </w:tc>
        <w:tc>
          <w:tcPr>
            <w:tcW w:w="13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98"/>
              </w:rPr>
              <w:t>Monthly</w:t>
            </w:r>
          </w:p>
        </w:tc>
        <w:tc>
          <w:tcPr>
            <w:tcW w:w="0" w:type="dxa"/>
            <w:vAlign w:val="bottom"/>
          </w:tcPr>
          <w:p>
            <w:pPr>
              <w:spacing w:after="0"/>
              <w:rPr>
                <w:sz w:val="1"/>
                <w:szCs w:val="1"/>
                <w:color w:val="auto"/>
              </w:rPr>
            </w:pPr>
          </w:p>
        </w:tc>
      </w:tr>
      <w:tr>
        <w:trPr>
          <w:trHeight w:val="39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93,345</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88,150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70"/>
              <w:spacing w:after="0"/>
              <w:rPr>
                <w:sz w:val="20"/>
                <w:szCs w:val="20"/>
                <w:color w:val="auto"/>
              </w:rPr>
            </w:pPr>
            <w:r>
              <w:rPr>
                <w:rFonts w:ascii="Arial" w:cs="Arial" w:eastAsia="Arial" w:hAnsi="Arial"/>
                <w:sz w:val="18"/>
                <w:szCs w:val="18"/>
                <w:color w:val="auto"/>
                <w:w w:val="83"/>
              </w:rPr>
              <w:t>42,248</w:t>
            </w:r>
            <w:r>
              <w:rPr>
                <w:rFonts w:ascii="Arial" w:cs="Arial" w:eastAsia="Arial" w:hAnsi="Arial"/>
                <w:sz w:val="29"/>
                <w:szCs w:val="29"/>
                <w:color w:val="auto"/>
                <w:w w:val="83"/>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-1637665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-1337310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-925830</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-240030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3560" w:space="720"/>
            <w:col w:w="6960"/>
          </w:cols>
          <w:pgMar w:left="320" w:top="122" w:right="339" w:bottom="1440" w:gutter="0" w:footer="0" w:header="0"/>
          <w:type w:val="continuous"/>
        </w:sectPr>
      </w:pPr>
    </w:p>
    <w:p>
      <w:pPr>
        <w:ind w:left="340" w:right="140" w:hanging="8"/>
        <w:spacing w:after="0" w:line="216" w:lineRule="auto"/>
        <w:tabs>
          <w:tab w:leader="none" w:pos="552"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First five loan repayments will each be for 7.5 percent of the approved 200 million RMB loan principal; last five installments will each be for 12.5 percent of the approved loan principal.</w:t>
      </w:r>
    </w:p>
    <w:p>
      <w:pPr>
        <w:spacing w:after="0" w:line="1" w:lineRule="exact"/>
        <w:rPr>
          <w:rFonts w:ascii="Arial" w:cs="Arial" w:eastAsia="Arial" w:hAnsi="Arial"/>
          <w:sz w:val="27"/>
          <w:szCs w:val="27"/>
          <w:color w:val="auto"/>
          <w:vertAlign w:val="superscript"/>
        </w:rPr>
      </w:pPr>
    </w:p>
    <w:p>
      <w:pPr>
        <w:ind w:left="540" w:hanging="208"/>
        <w:spacing w:after="0" w:line="214" w:lineRule="auto"/>
        <w:tabs>
          <w:tab w:leader="none" w:pos="54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Semiannual repayments commence in March 2022.</w:t>
      </w:r>
    </w:p>
    <w:p>
      <w:pPr>
        <w:spacing w:after="0" w:line="42" w:lineRule="exact"/>
        <w:rPr>
          <w:rFonts w:ascii="Arial" w:cs="Arial" w:eastAsia="Arial" w:hAnsi="Arial"/>
          <w:sz w:val="25"/>
          <w:szCs w:val="25"/>
          <w:color w:val="auto"/>
          <w:vertAlign w:val="superscript"/>
        </w:rPr>
      </w:pPr>
    </w:p>
    <w:p>
      <w:pPr>
        <w:ind w:left="540" w:hanging="208"/>
        <w:spacing w:after="0" w:line="194" w:lineRule="auto"/>
        <w:tabs>
          <w:tab w:leader="none" w:pos="54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See Note 8 for interest rates on lease liabilities, maturity dates and periodic payment amounts.</w:t>
      </w:r>
    </w:p>
    <w:p>
      <w:pPr>
        <w:spacing w:after="0" w:line="42" w:lineRule="exact"/>
        <w:rPr>
          <w:rFonts w:ascii="Arial" w:cs="Arial" w:eastAsia="Arial" w:hAnsi="Arial"/>
          <w:sz w:val="23"/>
          <w:szCs w:val="23"/>
          <w:color w:val="auto"/>
          <w:vertAlign w:val="superscript"/>
        </w:rPr>
      </w:pPr>
    </w:p>
    <w:p>
      <w:pPr>
        <w:ind w:left="540" w:hanging="208"/>
        <w:spacing w:after="0" w:line="194" w:lineRule="auto"/>
        <w:tabs>
          <w:tab w:leader="none" w:pos="54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Represents the carrying amount at the balance sheet date of the related right-of-use assets, in which the lessors have secured interests.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Xiamen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Xiamen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Working</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Project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41"/>
        </w:trPr>
        <w:tc>
          <w:tcPr>
            <w:tcW w:w="5040" w:type="dxa"/>
            <w:vAlign w:val="bottom"/>
          </w:tcPr>
          <w:p>
            <w:pPr>
              <w:ind w:left="1660"/>
              <w:spacing w:after="0"/>
              <w:rPr>
                <w:sz w:val="20"/>
                <w:szCs w:val="20"/>
                <w:color w:val="auto"/>
              </w:rPr>
            </w:pPr>
            <w:r>
              <w:rPr>
                <w:rFonts w:ascii="Arial" w:cs="Arial" w:eastAsia="Arial" w:hAnsi="Arial"/>
                <w:sz w:val="18"/>
                <w:szCs w:val="18"/>
                <w:b w:val="1"/>
                <w:bCs w:val="1"/>
                <w:color w:val="auto"/>
              </w:rPr>
              <w:t>As of October 31,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Loans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2800" w:type="dxa"/>
            <w:vAlign w:val="bottom"/>
          </w:tcPr>
          <w:p>
            <w:pPr>
              <w:spacing w:after="0"/>
              <w:rPr>
                <w:sz w:val="20"/>
                <w:szCs w:val="20"/>
                <w:color w:val="auto"/>
              </w:rPr>
            </w:pPr>
          </w:p>
        </w:tc>
      </w:tr>
      <w:tr>
        <w:trPr>
          <w:trHeight w:val="216"/>
        </w:trPr>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80" w:type="dxa"/>
            <w:vAlign w:val="bottom"/>
            <w:tcBorders>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Months 13 – 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7,334</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7,808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15,142</w:t>
            </w:r>
          </w:p>
        </w:tc>
        <w:tc>
          <w:tcPr>
            <w:tcW w:w="28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13,406</w:t>
            </w:r>
          </w:p>
        </w:tc>
        <w:tc>
          <w:tcPr>
            <w:tcW w:w="2800" w:type="dxa"/>
            <w:vAlign w:val="bottom"/>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Months 37 – 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9,789</w:t>
            </w:r>
          </w:p>
        </w:tc>
        <w:tc>
          <w:tcPr>
            <w:tcW w:w="28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9,432</w:t>
            </w:r>
          </w:p>
        </w:tc>
        <w:tc>
          <w:tcPr>
            <w:tcW w:w="2800" w:type="dxa"/>
            <w:vAlign w:val="bottom"/>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7,211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7,211</w:t>
            </w:r>
          </w:p>
        </w:tc>
        <w:tc>
          <w:tcPr>
            <w:tcW w:w="2800" w:type="dxa"/>
            <w:vAlign w:val="bottom"/>
          </w:tcPr>
          <w:p>
            <w:pPr>
              <w:spacing w:after="0"/>
              <w:rPr>
                <w:sz w:val="19"/>
                <w:szCs w:val="19"/>
                <w:color w:val="auto"/>
              </w:rPr>
            </w:pP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54,980</w:t>
            </w:r>
          </w:p>
        </w:tc>
        <w:tc>
          <w:tcPr>
            <w:tcW w:w="80" w:type="dxa"/>
            <w:vAlign w:val="bottom"/>
            <w:tcBorders>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at balance sheet date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4.53% - 4.61%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Basis spread on interest rates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40.00 - 76.00</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Loan collateral (carrying amount)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595"/>
        </w:trPr>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71"/>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6"/>
        </w:trPr>
        <w:tc>
          <w:tcPr>
            <w:tcW w:w="5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Project Loans</w:t>
      </w:r>
    </w:p>
    <w:p>
      <w:pPr>
        <w:spacing w:after="0" w:line="25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November 2018, PDMCX was approved for credit of 345 million RMB (approximately $53.3 million, at the balance sheet date), subject to certain limitations related to PDMCX registered capital at the time of the initial approval, pursuant to which PDMCX has entered into separate loan agreements (the “Project Loans”) for intermittent borrowings. The Project Loans, which are denominated in RMB, were used to finance certain capital expenditures for our Xiamen, China, facility. PDMCX granted liens on its land use right, building, and certain equipment as collateral for the Project Loans. As of May 2, 2021, PDMCX had outstanding borrowings of 300.0 million RMB ($46.4 million) against this approval. The interest rates on the Project Loans are variable, and based on the RMB Loan Prime Rate of the National Interbank Funding Center. Interest incurred on the loans is eligible for reimbursement through incentives provided by the Xiamen Torch Hi-Tech Industrial Development Zone, which provide for such reimbursements up to a prescribed limit. The Xiamen Project Loans have covenants and provisions, certain of which relate to the assets pledged as security for the loan, all of which we were in compliance with at May 2,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Working Capital Loans</w:t>
      </w:r>
    </w:p>
    <w:p>
      <w:pPr>
        <w:spacing w:after="0" w:line="25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November 2018, PDMCX was approved for revolving, unsecured credit of the equivalent of $25.0 million, pursuant to which PDMCX may enter into separate loan agreements with varying terms to maturity. Under this credit agreement (the “Working Capital Loans”), PDMCX can borrow up to 140.0 million RMB to pay value-added taxes (“VAT”), and up to 60.0 million RMB to fund operations; combined total borrowings are limited to the equivalent of $25.0 million. As of May 2, 2021, PDMCX had 86.1 million RMB ($13.3 million) outstanding against the approval to pay VAT and no outstanding borrowings against the approval to fund operations. The interest rates on the approval to pay VAT are variable, based on the RMB Loan Prime Rate of the National Interbank Funding Center. Interest incurred on the VAT loans are eligible for reimbursement through incentives provided by the Xiamen Torch Hi-Tech Industrial Development Zone, which provide for such reimbursements up to a prescribed limit.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Hefei Equipment Loan</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October 2020, our Hefei, China, facility was approved to borrow 200 million RMB (approximately $30.9 million, at the balance sheet date) from the China Construction Bank Corporation. Loan proceeds have been, and will be, used to fund the purchases of two lithography tools at the Hefei facility. As of May 2, 2021, we had 81.5 million RMB ($12.6 million) outstanding against this approval. The interest rate on the loan is variable and based on the RMB Loan Prime Rate of the National Interbank Funding Center. The borrowings are secured by the Hefei facility, its related land use right, and certain manufacturing equipment. The Hefei Equipment Loan has covenants and provisions, certain of which relate to the assets pledged as security for the loan, including covenants for the ratio of total liabilities to total assets and the ratio of current assets to current liabilities, all of which we were in compliance with at May 2,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5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February 2021, we entered into a five-year $7.2 million finance lease for a high-end inspection tool and, in December 2020, under an MLA which we entered into effective July 2019, we entered into a $35.5 million lease for a high-end lithography tool. Upon entering into the latter lease, our prior $3.5 million short-term obligation to the lessor became a portion of the lease liability. See Note 8 for additional information on these leases.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Agreement</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covenants around minimum interest coverage ratio, total leverage ratio, and minimum unrestricted cash balance (all of which we were in compliance with at May 2, 2021), and limits the amount of cash dividends, distributions, and redemptions we can pay on our common stock to an aggregate annual amount of $50 million. We had no outstanding borrowings against the Credit Agreement at May 2, 2021. The interest rate on the Credit Agreement (1.11% at May 2, 2021) is based on our total leverage ratio at LIBOR plus a spread,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 xml:space="preserve">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Contract assets of $7.6 million are included in Other current assets, and contract liabilities of $8.6 million and $5.3 million are included in Accrued liabilities and Other liabilities, respectively, in our May 2, 2021 condensed consolidated balance sheet. Our October 31, 2020 condensed consolidated balance sheet includes contract assets of $6.3 million, included in Other current assets, and contract liabilities of $8.0 million and $5.2 million are included in Accrued liabilities and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respectively. We did not impair any contract assets during the three or six-month periods ended May 2, 2021 or May 3, 2020. We recognized $1.3 million and $3.8 million of revenue from the settlement of contract liabilities that existed at the beginning of the three and six-month periods ended May 2, 2021, and recognized $0.9 million and $1.8 million of revenue in the respective prior year periods, that related to the settlement of contract liabilities that existed at the beginning of those periods.</w:t>
      </w:r>
    </w:p>
    <w:p>
      <w:pPr>
        <w:spacing w:after="0" w:line="20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generally record our accounts receivable at their billed amounts. All outstanding past due customer invoices are reviewed for collectibility during, and at the end of, every reporting period. To the extent we believe a loss on the collection of a customer invoice is probable, we record the loss and credit the allowance for credit losses. In the event that an amount is determined to be uncollectible, we charge the allowance for credit losses and derecognize the related receivable. We did not incur any credit losses on our accounts receivable during the six-month period ended May 2, 2021, and credit losses on our accounts receivable were immaterial during the three and six-month periods ended May 3, 2020.</w:t>
      </w:r>
    </w:p>
    <w:p>
      <w:pPr>
        <w:spacing w:after="0" w:line="2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generally not preceded the completion of our performance obligations by more than one year.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present our revenue for the three and six-month periods ended May 2, 2021 and May 3, 2020, disaggregated by product type, geographic origin, and timing of recognition.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7"/>
              </w:rPr>
              <w:t>Six Months Ended</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May 2,</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May 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May 2,</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May 3,</w:t>
            </w:r>
          </w:p>
        </w:tc>
        <w:tc>
          <w:tcPr>
            <w:tcW w:w="8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392"/>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Revenue by Product Type</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9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IC</w:t>
            </w: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7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79,308</w:t>
            </w:r>
          </w:p>
        </w:tc>
      </w:tr>
      <w:tr>
        <w:trPr>
          <w:trHeight w:val="223"/>
        </w:trPr>
        <w:tc>
          <w:tcPr>
            <w:tcW w:w="4780" w:type="dxa"/>
            <w:vAlign w:val="bottom"/>
            <w:gridSpan w:val="4"/>
          </w:tcPr>
          <w:p>
            <w:pPr>
              <w:ind w:left="160"/>
              <w:spacing w:after="0"/>
              <w:rPr>
                <w:sz w:val="20"/>
                <w:szCs w:val="20"/>
                <w:color w:val="auto"/>
              </w:rPr>
            </w:pPr>
            <w:r>
              <w:rPr>
                <w:rFonts w:ascii="Arial" w:cs="Arial" w:eastAsia="Arial" w:hAnsi="Arial"/>
                <w:sz w:val="18"/>
                <w:szCs w:val="18"/>
                <w:color w:val="auto"/>
              </w:rPr>
              <w:t>Mainstream</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70,732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58,579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138,908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124,516</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6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IC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216,947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203,824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4780" w:type="dxa"/>
            <w:vAlign w:val="bottom"/>
            <w:gridSpan w:val="4"/>
          </w:tcPr>
          <w:p>
            <w:pPr>
              <w:ind w:left="160"/>
              <w:spacing w:after="0"/>
              <w:rPr>
                <w:sz w:val="20"/>
                <w:szCs w:val="20"/>
                <w:color w:val="auto"/>
              </w:rPr>
            </w:pPr>
            <w:r>
              <w:rPr>
                <w:rFonts w:ascii="Arial" w:cs="Arial" w:eastAsia="Arial" w:hAnsi="Arial"/>
                <w:sz w:val="18"/>
                <w:szCs w:val="18"/>
                <w:color w:val="auto"/>
              </w:rPr>
              <w:t>High-end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39,401</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31,809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74,046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71,579</w:t>
            </w:r>
          </w:p>
        </w:tc>
      </w:tr>
      <w:tr>
        <w:trPr>
          <w:trHeight w:val="216"/>
        </w:trPr>
        <w:tc>
          <w:tcPr>
            <w:tcW w:w="47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Mainstream</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27,107</w:t>
            </w: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180" w:type="dxa"/>
            <w:vAlign w:val="bottom"/>
          </w:tcPr>
          <w:p>
            <w:pPr>
              <w:spacing w:after="0"/>
              <w:rPr>
                <w:sz w:val="19"/>
                <w:szCs w:val="19"/>
                <w:color w:val="auto"/>
              </w:rPr>
            </w:pPr>
          </w:p>
        </w:tc>
        <w:tc>
          <w:tcPr>
            <w:tcW w:w="4600" w:type="dxa"/>
            <w:vAlign w:val="bottom"/>
            <w:gridSpan w:val="3"/>
          </w:tcPr>
          <w:p>
            <w:pPr>
              <w:ind w:left="160"/>
              <w:spacing w:after="0"/>
              <w:rPr>
                <w:sz w:val="20"/>
                <w:szCs w:val="20"/>
                <w:color w:val="auto"/>
              </w:rPr>
            </w:pPr>
            <w:r>
              <w:rPr>
                <w:rFonts w:ascii="Arial" w:cs="Arial" w:eastAsia="Arial" w:hAnsi="Arial"/>
                <w:sz w:val="18"/>
                <w:szCs w:val="18"/>
                <w:color w:val="auto"/>
              </w:rPr>
              <w:t>Total FPD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47,772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94,883</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98,686</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159,763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311,830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7"/>
              </w:rPr>
              <w:t>Six Months Ended</w:t>
            </w:r>
          </w:p>
        </w:tc>
      </w:tr>
      <w:tr>
        <w:trPr>
          <w:trHeight w:val="198"/>
        </w:trPr>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May 2,</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May 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May 2,</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May 3,</w:t>
            </w:r>
          </w:p>
        </w:tc>
        <w:tc>
          <w:tcPr>
            <w:tcW w:w="80" w:type="dxa"/>
            <w:vAlign w:val="bottom"/>
          </w:tcPr>
          <w:p>
            <w:pPr>
              <w:spacing w:after="0"/>
              <w:rPr>
                <w:sz w:val="17"/>
                <w:szCs w:val="17"/>
                <w:color w:val="auto"/>
              </w:rPr>
            </w:pPr>
          </w:p>
        </w:tc>
      </w:tr>
      <w:tr>
        <w:trPr>
          <w:trHeight w:val="241"/>
        </w:trPr>
        <w:tc>
          <w:tcPr>
            <w:tcW w:w="2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392"/>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Revenue by Geographic Origin</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121,626</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Korea</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79,022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76,997</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49,925</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China</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44,727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37,386</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15,874</w:t>
            </w: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702</w:t>
            </w:r>
          </w:p>
        </w:tc>
      </w:tr>
      <w:tr>
        <w:trPr>
          <w:trHeight w:val="257"/>
        </w:trPr>
        <w:tc>
          <w:tcPr>
            <w:tcW w:w="2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159,763</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311,830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7"/>
              </w:rPr>
              <w:t>Six Months Ended</w:t>
            </w:r>
          </w:p>
        </w:tc>
        <w:tc>
          <w:tcPr>
            <w:tcW w:w="2260" w:type="dxa"/>
            <w:vAlign w:val="bottom"/>
          </w:tcPr>
          <w:p>
            <w:pPr>
              <w:spacing w:after="0"/>
              <w:rPr>
                <w:sz w:val="20"/>
                <w:szCs w:val="20"/>
                <w:color w:val="auto"/>
              </w:rPr>
            </w:pPr>
          </w:p>
        </w:tc>
      </w:tr>
      <w:tr>
        <w:trPr>
          <w:trHeight w:val="198"/>
        </w:trPr>
        <w:tc>
          <w:tcPr>
            <w:tcW w:w="2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May 2,</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May 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May 2,</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May 3,</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1"/>
        </w:trPr>
        <w:tc>
          <w:tcPr>
            <w:tcW w:w="2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92"/>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Revenue by Timing of Recognition</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time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144,697</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285,982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263,905</w:t>
            </w:r>
          </w:p>
        </w:tc>
        <w:tc>
          <w:tcPr>
            <w:tcW w:w="2260" w:type="dxa"/>
            <w:vAlign w:val="bottom"/>
          </w:tcPr>
          <w:p>
            <w:pPr>
              <w:spacing w:after="0"/>
              <w:rPr>
                <w:sz w:val="18"/>
                <w:szCs w:val="18"/>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At a point in time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16,703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25,848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38,605</w:t>
            </w:r>
          </w:p>
        </w:tc>
        <w:tc>
          <w:tcPr>
            <w:tcW w:w="2260" w:type="dxa"/>
            <w:vAlign w:val="bottom"/>
          </w:tcPr>
          <w:p>
            <w:pPr>
              <w:spacing w:after="0"/>
              <w:rPr>
                <w:sz w:val="19"/>
                <w:szCs w:val="19"/>
                <w:color w:val="auto"/>
              </w:rPr>
            </w:pPr>
          </w:p>
        </w:tc>
      </w:tr>
      <w:tr>
        <w:trPr>
          <w:trHeight w:val="257"/>
        </w:trPr>
        <w:tc>
          <w:tcPr>
            <w:tcW w:w="26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159,763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311,830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302,510</w:t>
            </w:r>
          </w:p>
        </w:tc>
        <w:tc>
          <w:tcPr>
            <w:tcW w:w="8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589"/>
        </w:trPr>
        <w:tc>
          <w:tcPr>
            <w:tcW w:w="2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26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pay commissions to third-party sales agents for certain sales that they obtain for us.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such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5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5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involvement in lease arrangements has typically been as a lessee. We determine if an agreement is or contains a lease on the date of the lease agreement or commitment, if earlier. Our evaluation considers whether the arrangement includes an identified asset and whether it affords us the right to control the asset. Our having the right to control the identified asset is determined by whether we are entitled to substantially all of its economic benefits and can direct its use.</w:t>
      </w:r>
    </w:p>
    <w:p>
      <w:pPr>
        <w:spacing w:after="0" w:line="21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recognize leases on our consolidated balance sheet when a lessor makes an asset underlying a lease having a term in excess of twelve months available for our use. As allowed under ASC Topic 842 – “Leases” (“Topic 842”), we have elected to not apply the recognition requirements to leases that, at their commencement dates, have lease terms of twelve months or less and do not include options to purchase their underlying assets that we are reasonably certain to exercise. The present value of lease payments over the term of the lease provides the basis for the initial measurement of right-of-use assets and their related lease liabilities. Finance lease liabilities are determined using the rates implicit in the leases and operating lease liabilities are determined using our incremental borrowing rate, for collateralized loans, at the commencement date. Variable lease payments, other than those that are dependent on an index or on a rate, are not included in the measurement of ROU assets and their related lease liabilities. Lease terms will include extension periods if the lease agreement includes an option to extend the lease that we are reasonably certain to exercise. As allowed under Topic 842 we have elected, for all classes of assets, the practical expedient to not separate lease components of a contract from nonlease components of a contract.</w:t>
      </w:r>
    </w:p>
    <w:p>
      <w:pPr>
        <w:spacing w:after="0" w:line="193" w:lineRule="exact"/>
        <w:rPr>
          <w:sz w:val="20"/>
          <w:szCs w:val="20"/>
          <w:color w:val="auto"/>
        </w:rPr>
      </w:pPr>
    </w:p>
    <w:p>
      <w:pPr>
        <w:ind w:right="40" w:firstLine="369"/>
        <w:spacing w:after="0" w:line="254" w:lineRule="auto"/>
        <w:rPr>
          <w:sz w:val="20"/>
          <w:szCs w:val="20"/>
          <w:color w:val="auto"/>
        </w:rPr>
      </w:pPr>
      <w:r>
        <w:rPr>
          <w:rFonts w:ascii="Arial" w:cs="Arial" w:eastAsia="Arial" w:hAnsi="Arial"/>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at 33.684638% of its original cost. If we do not exercise the early buyout option, then at the end of the five-year lease term, the lease shall continue to renew on a month-to-month basis at the same rental;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22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December 2020, we entered into a five-year $35.5 million finance lease for a high-end lithography tool. Monthly payments on the lease, which commenced in January 2021, increased from $0.04 million after the first three months to $0.6 million for the following nine months, followed by forty-eight monthly payments of $0.5 million. As of the due date of the forty-eighth monthly payment, we may exercise an early buyout option to purchase the tool at 39.84% of the initial lease liability.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6, and includes a cross-default provision for any agreement or instrument with an outstanding, committed balance greater than $5.0 million in which we are the indebted party.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on operating and finance leases included in our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0" w:type="dxa"/>
            <w:vAlign w:val="bottom"/>
            <w:gridSpan w:val="3"/>
          </w:tcPr>
          <w:p>
            <w:pPr>
              <w:ind w:left="80"/>
              <w:spacing w:after="0"/>
              <w:rPr>
                <w:sz w:val="20"/>
                <w:szCs w:val="20"/>
                <w:color w:val="auto"/>
              </w:rPr>
            </w:pPr>
            <w:r>
              <w:rPr>
                <w:rFonts w:ascii="Arial" w:cs="Arial" w:eastAsia="Arial" w:hAnsi="Arial"/>
                <w:sz w:val="18"/>
                <w:szCs w:val="18"/>
                <w:b w:val="1"/>
                <w:bCs w:val="1"/>
                <w:color w:val="auto"/>
              </w:rPr>
              <w:t>May 2,</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4"/>
              </w:rPr>
              <w:t>October 31,</w:t>
            </w:r>
          </w:p>
        </w:tc>
        <w:tc>
          <w:tcPr>
            <w:tcW w:w="0" w:type="dxa"/>
            <w:vAlign w:val="bottom"/>
          </w:tcPr>
          <w:p>
            <w:pPr>
              <w:spacing w:after="0"/>
              <w:rPr>
                <w:sz w:val="1"/>
                <w:szCs w:val="1"/>
                <w:color w:val="auto"/>
              </w:rPr>
            </w:pPr>
          </w:p>
        </w:tc>
      </w:tr>
      <w:tr>
        <w:trPr>
          <w:trHeight w:val="194"/>
        </w:trPr>
        <w:tc>
          <w:tcPr>
            <w:tcW w:w="498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Classification</w:t>
            </w:r>
          </w:p>
        </w:tc>
        <w:tc>
          <w:tcPr>
            <w:tcW w:w="140" w:type="dxa"/>
            <w:vAlign w:val="bottom"/>
          </w:tcPr>
          <w:p>
            <w:pPr>
              <w:spacing w:after="0"/>
              <w:rPr>
                <w:sz w:val="16"/>
                <w:szCs w:val="16"/>
                <w:color w:val="auto"/>
              </w:rPr>
            </w:pPr>
          </w:p>
        </w:tc>
        <w:tc>
          <w:tcPr>
            <w:tcW w:w="56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980" w:type="dxa"/>
            <w:vAlign w:val="bottom"/>
            <w:gridSpan w:val="6"/>
            <w:vMerge w:val="restart"/>
          </w:tcPr>
          <w:p>
            <w:pPr>
              <w:spacing w:after="0"/>
              <w:rPr>
                <w:sz w:val="20"/>
                <w:szCs w:val="20"/>
                <w:color w:val="auto"/>
              </w:rPr>
            </w:pPr>
            <w:r>
              <w:rPr>
                <w:rFonts w:ascii="Arial" w:cs="Arial" w:eastAsia="Arial" w:hAnsi="Arial"/>
                <w:sz w:val="18"/>
                <w:szCs w:val="18"/>
                <w:color w:val="auto"/>
              </w:rPr>
              <w:t>ROU Assets – Operating Leases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98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ROU Assets – Finance Leases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gridSpan w:val="6"/>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42,248</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80" w:type="dxa"/>
            <w:vAlign w:val="bottom"/>
            <w:gridSpan w:val="6"/>
          </w:tcPr>
          <w:p>
            <w:pPr>
              <w:spacing w:after="0" w:line="176" w:lineRule="exact"/>
              <w:rPr>
                <w:sz w:val="20"/>
                <w:szCs w:val="20"/>
                <w:color w:val="auto"/>
              </w:rPr>
            </w:pPr>
            <w:r>
              <w:rPr>
                <w:rFonts w:ascii="Arial" w:cs="Arial" w:eastAsia="Arial" w:hAnsi="Arial"/>
                <w:sz w:val="18"/>
                <w:szCs w:val="18"/>
                <w:color w:val="auto"/>
              </w:rPr>
              <w:t>Lease Liabilities – Operating Leases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3"/>
        </w:trPr>
        <w:tc>
          <w:tcPr>
            <w:tcW w:w="4980" w:type="dxa"/>
            <w:vAlign w:val="bottom"/>
            <w:gridSpan w:val="6"/>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Lease Liabilities – Finance Leases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4"/>
              </w:rPr>
              <w:t>Current portion of long-term debt</w:t>
            </w:r>
          </w:p>
        </w:tc>
        <w:tc>
          <w:tcPr>
            <w:tcW w:w="25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7,531</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34,301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41,832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323"/>
        <w:spacing w:after="0" w:line="277" w:lineRule="auto"/>
        <w:rPr>
          <w:sz w:val="20"/>
          <w:szCs w:val="20"/>
          <w:color w:val="auto"/>
        </w:rPr>
      </w:pPr>
      <w:r>
        <w:rPr>
          <w:rFonts w:ascii="Arial" w:cs="Arial" w:eastAsia="Arial" w:hAnsi="Arial"/>
          <w:sz w:val="18"/>
          <w:szCs w:val="18"/>
          <w:color w:val="auto"/>
        </w:rPr>
        <w:t>The following table presents future lease payments under noncancelable operating and finance leases as of May 2, 2021. Imputed interest represents the difference between undiscounted cash flows and discounted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87"/>
              </w:rPr>
              <w:t>Operating Leases</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w w:val="89"/>
              </w:rPr>
              <w:t>Finance Leases</w:t>
            </w:r>
          </w:p>
        </w:tc>
      </w:tr>
      <w:tr>
        <w:trPr>
          <w:trHeight w:val="216"/>
        </w:trPr>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Remainder of fiscal year 2021</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7,231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6,938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18,012</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43,467</w:t>
            </w:r>
          </w:p>
        </w:tc>
        <w:tc>
          <w:tcPr>
            <w:tcW w:w="4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Imputed interest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1,635</w:t>
            </w:r>
          </w:p>
        </w:tc>
      </w:tr>
      <w:tr>
        <w:trPr>
          <w:trHeight w:val="223"/>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41,832</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lease costs for the three and six-month periods ended May 2, 2021 and May 3,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220" w:type="dxa"/>
            <w:vAlign w:val="bottom"/>
            <w:gridSpan w:val="4"/>
          </w:tcPr>
          <w:p>
            <w:pPr>
              <w:jc w:val="right"/>
              <w:ind w:right="82"/>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8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May 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May 3,</w:t>
            </w: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May 2,</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860" w:type="dxa"/>
            <w:vAlign w:val="bottom"/>
            <w:shd w:val="clear" w:color="auto" w:fill="CCEEFF"/>
          </w:tcPr>
          <w:p>
            <w:pPr>
              <w:jc w:val="right"/>
              <w:ind w:right="701"/>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724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Short-term lease costs</w:t>
            </w:r>
          </w:p>
        </w:tc>
        <w:tc>
          <w:tcPr>
            <w:tcW w:w="860" w:type="dxa"/>
            <w:vAlign w:val="bottom"/>
          </w:tcPr>
          <w:p>
            <w:pPr>
              <w:jc w:val="right"/>
              <w:ind w:right="701"/>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costs</w:t>
            </w:r>
          </w:p>
        </w:tc>
        <w:tc>
          <w:tcPr>
            <w:tcW w:w="860" w:type="dxa"/>
            <w:vAlign w:val="bottom"/>
            <w:shd w:val="clear" w:color="auto" w:fill="CCEEFF"/>
          </w:tcPr>
          <w:p>
            <w:pPr>
              <w:jc w:val="right"/>
              <w:ind w:right="701"/>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157</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860" w:type="dxa"/>
            <w:vAlign w:val="bottom"/>
          </w:tcPr>
          <w:p>
            <w:pPr>
              <w:jc w:val="right"/>
              <w:ind w:right="701"/>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166</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ROU assets</w:t>
            </w:r>
          </w:p>
        </w:tc>
        <w:tc>
          <w:tcPr>
            <w:tcW w:w="860" w:type="dxa"/>
            <w:vAlign w:val="bottom"/>
            <w:shd w:val="clear" w:color="auto" w:fill="CCEEFF"/>
          </w:tcPr>
          <w:p>
            <w:pPr>
              <w:jc w:val="right"/>
              <w:ind w:right="701"/>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455</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Presented below is statistical information related to our operating and finance leases. The information presented is as of the balance sheet dates.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May 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October 31,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20" w:type="dxa"/>
            <w:vAlign w:val="bottom"/>
            <w:gridSpan w:val="3"/>
          </w:tcPr>
          <w:p>
            <w:pPr>
              <w:jc w:val="center"/>
              <w:ind w:right="20"/>
              <w:spacing w:after="0" w:line="198" w:lineRule="exact"/>
              <w:rPr>
                <w:sz w:val="20"/>
                <w:szCs w:val="20"/>
                <w:color w:val="auto"/>
              </w:rPr>
            </w:pPr>
            <w:r>
              <w:rPr>
                <w:rFonts w:ascii="Arial" w:cs="Arial" w:eastAsia="Arial" w:hAnsi="Arial"/>
                <w:sz w:val="18"/>
                <w:szCs w:val="18"/>
                <w:b w:val="1"/>
                <w:bCs w:val="1"/>
                <w:color w:val="auto"/>
                <w:w w:val="90"/>
              </w:rPr>
              <w:t>Weighted-average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5"/>
          </w:tcPr>
          <w:p>
            <w:pPr>
              <w:jc w:val="center"/>
              <w:ind w:right="20"/>
              <w:spacing w:after="0" w:line="198" w:lineRule="exact"/>
              <w:rPr>
                <w:sz w:val="20"/>
                <w:szCs w:val="20"/>
                <w:color w:val="auto"/>
              </w:rPr>
            </w:pPr>
            <w:r>
              <w:rPr>
                <w:rFonts w:ascii="Arial" w:cs="Arial" w:eastAsia="Arial" w:hAnsi="Arial"/>
                <w:sz w:val="18"/>
                <w:szCs w:val="18"/>
                <w:b w:val="1"/>
                <w:bCs w:val="1"/>
                <w:color w:val="auto"/>
                <w:w w:val="90"/>
              </w:rPr>
              <w:t>Weighted-average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remaining lease</w:t>
            </w:r>
          </w:p>
        </w:tc>
        <w:tc>
          <w:tcPr>
            <w:tcW w:w="180" w:type="dxa"/>
            <w:vAlign w:val="bottom"/>
          </w:tcPr>
          <w:p>
            <w:pPr>
              <w:spacing w:after="0"/>
              <w:rPr>
                <w:sz w:val="18"/>
                <w:szCs w:val="18"/>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88"/>
              </w:rPr>
              <w:t>Weighted-average</w:t>
            </w:r>
          </w:p>
        </w:tc>
        <w:tc>
          <w:tcPr>
            <w:tcW w:w="14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remaining lease</w:t>
            </w:r>
          </w:p>
        </w:tc>
        <w:tc>
          <w:tcPr>
            <w:tcW w:w="180" w:type="dxa"/>
            <w:vAlign w:val="bottom"/>
          </w:tcPr>
          <w:p>
            <w:pPr>
              <w:spacing w:after="0"/>
              <w:rPr>
                <w:sz w:val="18"/>
                <w:szCs w:val="18"/>
                <w:color w:val="auto"/>
              </w:rPr>
            </w:pPr>
          </w:p>
        </w:tc>
        <w:tc>
          <w:tcPr>
            <w:tcW w:w="154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88"/>
              </w:rPr>
              <w:t>Weighted-average</w:t>
            </w:r>
          </w:p>
        </w:tc>
      </w:tr>
      <w:tr>
        <w:trPr>
          <w:trHeight w:val="194"/>
        </w:trPr>
        <w:tc>
          <w:tcPr>
            <w:tcW w:w="48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Classification</w:t>
            </w:r>
          </w:p>
        </w:tc>
        <w:tc>
          <w:tcPr>
            <w:tcW w:w="1420" w:type="dxa"/>
            <w:vAlign w:val="bottom"/>
            <w:gridSpan w:val="3"/>
          </w:tcPr>
          <w:p>
            <w:pPr>
              <w:jc w:val="center"/>
              <w:ind w:right="40"/>
              <w:spacing w:after="0" w:line="194" w:lineRule="exact"/>
              <w:rPr>
                <w:sz w:val="20"/>
                <w:szCs w:val="20"/>
                <w:color w:val="auto"/>
              </w:rPr>
            </w:pPr>
            <w:r>
              <w:rPr>
                <w:rFonts w:ascii="Arial" w:cs="Arial" w:eastAsia="Arial" w:hAnsi="Arial"/>
                <w:sz w:val="18"/>
                <w:szCs w:val="18"/>
                <w:b w:val="1"/>
                <w:bCs w:val="1"/>
                <w:color w:val="auto"/>
                <w:w w:val="91"/>
              </w:rPr>
              <w:t>term (in years)</w:t>
            </w:r>
          </w:p>
        </w:tc>
        <w:tc>
          <w:tcPr>
            <w:tcW w:w="180" w:type="dxa"/>
            <w:vAlign w:val="bottom"/>
          </w:tcPr>
          <w:p>
            <w:pPr>
              <w:spacing w:after="0"/>
              <w:rPr>
                <w:sz w:val="16"/>
                <w:szCs w:val="16"/>
                <w:color w:val="auto"/>
              </w:rPr>
            </w:pPr>
          </w:p>
        </w:tc>
        <w:tc>
          <w:tcPr>
            <w:tcW w:w="1640" w:type="dxa"/>
            <w:vAlign w:val="bottom"/>
            <w:gridSpan w:val="4"/>
          </w:tcPr>
          <w:p>
            <w:pPr>
              <w:jc w:val="right"/>
              <w:ind w:right="440"/>
              <w:spacing w:after="0" w:line="194" w:lineRule="exact"/>
              <w:rPr>
                <w:sz w:val="20"/>
                <w:szCs w:val="20"/>
                <w:color w:val="auto"/>
              </w:rPr>
            </w:pPr>
            <w:r>
              <w:rPr>
                <w:rFonts w:ascii="Arial" w:cs="Arial" w:eastAsia="Arial" w:hAnsi="Arial"/>
                <w:sz w:val="18"/>
                <w:szCs w:val="18"/>
                <w:b w:val="1"/>
                <w:bCs w:val="1"/>
                <w:color w:val="auto"/>
              </w:rPr>
              <w:t>discount rate</w:t>
            </w:r>
          </w:p>
        </w:tc>
        <w:tc>
          <w:tcPr>
            <w:tcW w:w="1420" w:type="dxa"/>
            <w:vAlign w:val="bottom"/>
            <w:gridSpan w:val="5"/>
          </w:tcPr>
          <w:p>
            <w:pPr>
              <w:jc w:val="center"/>
              <w:ind w:right="40"/>
              <w:spacing w:after="0" w:line="194" w:lineRule="exact"/>
              <w:rPr>
                <w:sz w:val="20"/>
                <w:szCs w:val="20"/>
                <w:color w:val="auto"/>
              </w:rPr>
            </w:pPr>
            <w:r>
              <w:rPr>
                <w:rFonts w:ascii="Arial" w:cs="Arial" w:eastAsia="Arial" w:hAnsi="Arial"/>
                <w:sz w:val="18"/>
                <w:szCs w:val="18"/>
                <w:b w:val="1"/>
                <w:bCs w:val="1"/>
                <w:color w:val="auto"/>
                <w:w w:val="91"/>
              </w:rPr>
              <w:t>term (in years)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5"/>
          </w:tcPr>
          <w:p>
            <w:pPr>
              <w:jc w:val="right"/>
              <w:ind w:right="340"/>
              <w:spacing w:after="0" w:line="194" w:lineRule="exact"/>
              <w:rPr>
                <w:sz w:val="20"/>
                <w:szCs w:val="20"/>
                <w:color w:val="auto"/>
              </w:rPr>
            </w:pPr>
            <w:r>
              <w:rPr>
                <w:rFonts w:ascii="Arial" w:cs="Arial" w:eastAsia="Arial" w:hAnsi="Arial"/>
                <w:sz w:val="18"/>
                <w:szCs w:val="18"/>
                <w:b w:val="1"/>
                <w:bCs w:val="1"/>
                <w:color w:val="auto"/>
                <w:w w:val="91"/>
              </w:rPr>
              <w:t>discount rate</w:t>
            </w:r>
          </w:p>
        </w:tc>
      </w:tr>
      <w:tr>
        <w:trPr>
          <w:trHeight w:val="28"/>
        </w:trPr>
        <w:tc>
          <w:tcPr>
            <w:tcW w:w="1040" w:type="dxa"/>
            <w:vAlign w:val="bottom"/>
            <w:tcBorders>
              <w:top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4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Arial" w:cs="Arial" w:eastAsia="Arial" w:hAnsi="Arial"/>
                <w:sz w:val="18"/>
                <w:szCs w:val="18"/>
                <w:b w:val="1"/>
                <w:bCs w:val="1"/>
                <w:color w:val="auto"/>
                <w:w w:val="93"/>
              </w:rPr>
              <w:t>Three Months Ended</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10"/>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1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right"/>
              <w:ind w:right="520"/>
              <w:spacing w:after="0" w:line="198" w:lineRule="exact"/>
              <w:rPr>
                <w:sz w:val="20"/>
                <w:szCs w:val="20"/>
                <w:color w:val="auto"/>
              </w:rPr>
            </w:pPr>
            <w:r>
              <w:rPr>
                <w:rFonts w:ascii="Arial" w:cs="Arial" w:eastAsia="Arial" w:hAnsi="Arial"/>
                <w:sz w:val="18"/>
                <w:szCs w:val="18"/>
                <w:b w:val="1"/>
                <w:bCs w:val="1"/>
                <w:color w:val="auto"/>
                <w:w w:val="98"/>
              </w:rPr>
              <w:t>May 2,</w:t>
            </w:r>
          </w:p>
        </w:tc>
        <w:tc>
          <w:tcPr>
            <w:tcW w:w="1120" w:type="dxa"/>
            <w:vAlign w:val="bottom"/>
            <w:tcBorders>
              <w:top w:val="single" w:sz="8" w:color="auto"/>
            </w:tcBorders>
            <w:gridSpan w:val="3"/>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rPr>
              <w:t>May 2,</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r>
      <w:tr>
        <w:trPr>
          <w:trHeight w:val="241"/>
        </w:trPr>
        <w:tc>
          <w:tcPr>
            <w:tcW w:w="10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9"/>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4"/>
            <w:shd w:val="clear" w:color="auto" w:fill="CCEEFF"/>
          </w:tcPr>
          <w:p>
            <w:pPr>
              <w:jc w:val="center"/>
              <w:ind w:left="410"/>
              <w:spacing w:after="0"/>
              <w:rPr>
                <w:sz w:val="20"/>
                <w:szCs w:val="20"/>
                <w:color w:val="auto"/>
              </w:rPr>
            </w:pPr>
            <w:r>
              <w:rPr>
                <w:rFonts w:ascii="Arial" w:cs="Arial" w:eastAsia="Arial" w:hAnsi="Arial"/>
                <w:sz w:val="18"/>
                <w:szCs w:val="18"/>
                <w:color w:val="auto"/>
                <w:w w:val="88"/>
              </w:rPr>
              <w:t>1,229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cash flows used for finance leases</w:t>
            </w:r>
          </w:p>
        </w:tc>
        <w:tc>
          <w:tcPr>
            <w:tcW w:w="138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166</w:t>
            </w:r>
          </w:p>
        </w:tc>
        <w:tc>
          <w:tcPr>
            <w:tcW w:w="480" w:type="dxa"/>
            <w:vAlign w:val="bottom"/>
          </w:tcPr>
          <w:p>
            <w:pPr>
              <w:jc w:val="right"/>
              <w:ind w:right="319"/>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201</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cash flows used for finance leases</w:t>
            </w:r>
          </w:p>
        </w:tc>
        <w:tc>
          <w:tcPr>
            <w:tcW w:w="13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864</w:t>
            </w:r>
          </w:p>
        </w:tc>
        <w:tc>
          <w:tcPr>
            <w:tcW w:w="480" w:type="dxa"/>
            <w:vAlign w:val="bottom"/>
            <w:shd w:val="clear" w:color="auto" w:fill="CCEEFF"/>
          </w:tcPr>
          <w:p>
            <w:pPr>
              <w:jc w:val="right"/>
              <w:ind w:right="319"/>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864</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w w:val="93"/>
              </w:rPr>
              <w:t>ROU assets obtained in exchange for operating lease obligations</w:t>
            </w:r>
          </w:p>
        </w:tc>
        <w:tc>
          <w:tcPr>
            <w:tcW w:w="138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99</w:t>
            </w:r>
          </w:p>
        </w:tc>
        <w:tc>
          <w:tcPr>
            <w:tcW w:w="480" w:type="dxa"/>
            <w:vAlign w:val="bottom"/>
          </w:tcPr>
          <w:p>
            <w:pPr>
              <w:jc w:val="right"/>
              <w:ind w:right="319"/>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367</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ROU assets obtained in exchange for finance lease obligations</w:t>
            </w:r>
          </w:p>
        </w:tc>
        <w:tc>
          <w:tcPr>
            <w:tcW w:w="13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7,200</w:t>
            </w:r>
          </w:p>
        </w:tc>
        <w:tc>
          <w:tcPr>
            <w:tcW w:w="480" w:type="dxa"/>
            <w:vAlign w:val="bottom"/>
            <w:shd w:val="clear" w:color="auto" w:fill="CCEEFF"/>
          </w:tcPr>
          <w:p>
            <w:pPr>
              <w:jc w:val="right"/>
              <w:ind w:right="319"/>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42,672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571"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571"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5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and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six-month periods ended May 2, 2021, were $1.4 million and $2.7 million, respectively, and $1.2 million and $2.6 million for the three and six-month periods ended May 3, 2020, respectively. No share-based compensation cost was capitalized as part of an asset during the periods presented, and related income tax benefits were $0.1 million in the three and six-month periods ended May 2, 2021, and immaterial in the prior year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periodically grant restricted stock awards, the restrictions on which typically lapse over a service period of one to four years. The fair value of the awards is determined on the date of grant, based on the closing price of our common stock. There were 15,000 restricted stock awards granted during the three-month period ended May 2, 2021, with a weighted-average grant-date fair value of $12.65 per share, and there were 556,200 restricted stock awards granted during the six-month period ended May 2, 2021, with a weighted-average grant-date fair value of $11.17 per share. There were 5,000 restricted stock awards granted during the three-month period ended May 3, 2020, with a grant-date fair value of $9.90 per share, and there were 527,000 restricted stock awards granted during the six-month period ended May 3, 2020, with a grant-date fair value of $15.21 per share. As of May 2, 2021, the total compensation cost not yet recognized related to unvested restricted stock awards was approximately $9.8 million. That cost is expected to be recognized over a weighted-average amortization period of 2.9 years. As of May 2, 2021, there were 1,022,327 shares of restricted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the option is based on the U.S. Treasury yield curve in effect at the date of grant.</w:t>
      </w:r>
    </w:p>
    <w:p>
      <w:pPr>
        <w:spacing w:after="0" w:line="219"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There were no share options granted during the six-month periods ended May 2, 2021 or May 3, 2020. The Company received cash from option exercises of $0.3 million and $1.0 million for the three and six-month periods ended May 2, 2021, respectively, and $0.4 million and $3.2 million for the three and six-month periods ended May 3, 2020, respectively. As of May 2, 2021, the total unrecognized compensation cost related to unvested option awards was approximately $0.2 million. That cost is expected to be recognized over a weighted-average amortization period of 1.4 years.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33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85"/>
        </w:trPr>
        <w:tc>
          <w:tcPr>
            <w:tcW w:w="7340" w:type="dxa"/>
            <w:vAlign w:val="bottom"/>
            <w:gridSpan w:val="10"/>
          </w:tcPr>
          <w:p>
            <w:pPr>
              <w:ind w:left="340"/>
              <w:spacing w:after="0"/>
              <w:rPr>
                <w:sz w:val="20"/>
                <w:szCs w:val="20"/>
                <w:color w:val="auto"/>
              </w:rPr>
            </w:pPr>
            <w:r>
              <w:rPr>
                <w:rFonts w:ascii="Arial" w:cs="Arial" w:eastAsia="Arial" w:hAnsi="Arial"/>
                <w:sz w:val="18"/>
                <w:szCs w:val="18"/>
                <w:color w:val="auto"/>
                <w:w w:val="90"/>
              </w:rPr>
              <w:t>Information on outstanding and exercisable option awards as of May 2, 2021, is presented below.</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1020" w:type="dxa"/>
            <w:vAlign w:val="bottom"/>
          </w:tcPr>
          <w:p>
            <w:pPr>
              <w:spacing w:after="0"/>
              <w:rPr>
                <w:sz w:val="20"/>
                <w:szCs w:val="20"/>
                <w:color w:val="auto"/>
              </w:rPr>
            </w:pPr>
          </w:p>
        </w:tc>
        <w:tc>
          <w:tcPr>
            <w:tcW w:w="3300" w:type="dxa"/>
            <w:vAlign w:val="bottom"/>
            <w:gridSpan w:val="2"/>
          </w:tcPr>
          <w:p>
            <w:pPr>
              <w:ind w:left="740"/>
              <w:spacing w:after="0"/>
              <w:rPr>
                <w:sz w:val="20"/>
                <w:szCs w:val="20"/>
                <w:color w:val="auto"/>
              </w:rPr>
            </w:pPr>
            <w:r>
              <w:rPr>
                <w:rFonts w:ascii="Arial" w:cs="Arial" w:eastAsia="Arial" w:hAnsi="Arial"/>
                <w:sz w:val="18"/>
                <w:szCs w:val="18"/>
                <w:b w:val="1"/>
                <w:bCs w:val="1"/>
                <w:color w:val="auto"/>
              </w:rPr>
              <w:t>Options</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 (in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10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May 2, 2021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1,479,264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4.3 years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4,894</w:t>
            </w: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Exercisable at May 2, 2021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1,369,187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20"/>
                <w:szCs w:val="20"/>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w w:val="99"/>
              </w:rPr>
              <w:t>4.1 years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4,511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9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effective tax rate of 18.5% in the three-month period end May 2, 2021, differs from the U.S. statutory rate of 21% primarily due to changes in forecasted jurisdictional earnings.</w:t>
      </w:r>
    </w:p>
    <w:p>
      <w:pPr>
        <w:spacing w:after="0" w:line="19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effective tax rate of 20.5% differs from the U.S. statutory rate of 21.0% in the six-month period ended May 2, 2021, primarily due to changes in forecasted jurisdictional earnings, the benefits of investment credits in certain foreign jurisdictions, which were partially offset by the non-recognition of taxes or benefits that, in certain jurisdictions, have been offset by valuation allowances.</w:t>
      </w:r>
    </w:p>
    <w:p>
      <w:pPr>
        <w:spacing w:after="0" w:line="21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effective tax rate of 32.2% exceeds the U.S. statutory rate of 21.0% in the three-month period ended May 3, 2020, primarily due to the non-recognition of the tax benefit of losses that, in certain jurisdictions, have been offset by valuation allowances, which were partially offset by the benefit of tax holidays and investment credits in certain foreign jurisdictions.</w:t>
      </w:r>
    </w:p>
    <w:p>
      <w:pPr>
        <w:spacing w:after="0" w:line="21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effective tax rate of 40.5% exceeds the U.S. statutory rate of 21.0% in the six-month period ended May 3, 2020, primarily due to the non-recognition of the tax benefit of losses that, in certain jurisdictions, have been offset by valuation allowances, and the establishment of a valuation allowance for a loss carryforward in a non-U.S. jurisdiction, which were partially offset by the benefits of tax holidays and investment credits in certain foreign jurisdictions.</w:t>
      </w:r>
    </w:p>
    <w:p>
      <w:pPr>
        <w:spacing w:after="0" w:line="214"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Valuation allowances, in jurisdictions with historic losses, eliminate the current tax benefit of losses in these jurisdictions where, based on the weight of information available to us, we determined that it is more likely than not that the tax benefits will not be realized. In the six-month period ended May 3, 2020, as a result of the reassessment of the aforementioned available information, we established a valuation allowance of $2.1 million against a non-U.S. based loss-carryforward deferred tax asset that is not more likely than not to be realized.</w:t>
      </w:r>
    </w:p>
    <w:p>
      <w:pPr>
        <w:spacing w:after="0" w:line="21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Unrecognized tax benefits related to uncertain tax positions were $2.8 million and $2.7 million at May 2, 2021 and October 31, 2020, respectively, of which $2.0 million, if recognized, would favorably impact the Company’s effective tax rate. Accrued interest and penalties related to unrecognized tax benefits was $0.1 million at May 2, 2021 and October 31, 2020. Although the timing of the expirations of statutes of limitations may be uncertain, as they can be dependent upon the settlement of tax audits, the Company believes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The Company is no longer subject to tax authority examinations in the U.S. and major foreign or state jurisdictions for years prior to fiscal year 2015.</w:t>
      </w:r>
    </w:p>
    <w:p>
      <w:pPr>
        <w:spacing w:after="0" w:line="20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were granted a five-year tax holiday in Taiwan that expired on December 31, 2019. This tax holiday reduced foreign taxes by $0.1 million in the six-month period ended May 3, 2020; per share impact was immaterial.</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NOTE 11 - EARNINGS PER SHARE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gridSpan w:val="2"/>
          </w:tcPr>
          <w:p>
            <w:pPr>
              <w:ind w:left="340"/>
              <w:spacing w:after="0"/>
              <w:rPr>
                <w:sz w:val="20"/>
                <w:szCs w:val="20"/>
                <w:color w:val="auto"/>
              </w:rPr>
            </w:pPr>
            <w:r>
              <w:rPr>
                <w:rFonts w:ascii="Arial" w:cs="Arial" w:eastAsia="Arial" w:hAnsi="Arial"/>
                <w:sz w:val="18"/>
                <w:szCs w:val="18"/>
                <w:color w:val="auto"/>
                <w:w w:val="94"/>
              </w:rPr>
              <w:t>The calculation of basic and diluted earnings per share is presented below.</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10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4"/>
              </w:rPr>
              <w:t>May 2,</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May 2,</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10,526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16,584</w:t>
            </w: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Earnings used for diluted earnings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10,526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18,562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16,584</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Weighted-average common shares computations: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62,054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64,937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65,246</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Share-based payment awards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Potentially dilutive common shares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62,568</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65,417</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62,786</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65,933</w:t>
            </w:r>
          </w:p>
        </w:tc>
      </w:tr>
      <w:tr>
        <w:trPr>
          <w:trHeight w:val="210"/>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bl>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illustrates the outstanding weighted-average share-based payment awards that were excluded from the calculation of diluted earnings per share because their exercise prices exceeded the average market value of the common shares for the period or, under application of the treasury stock method, they were otherwise determined to be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7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840" w:type="dxa"/>
            <w:vAlign w:val="bottom"/>
            <w:tcBorders>
              <w:top w:val="single" w:sz="8" w:color="auto"/>
            </w:tcBorders>
          </w:tcPr>
          <w:p>
            <w:pPr>
              <w:jc w:val="center"/>
              <w:ind w:left="190"/>
              <w:spacing w:after="0" w:line="198" w:lineRule="exact"/>
              <w:rPr>
                <w:sz w:val="20"/>
                <w:szCs w:val="20"/>
                <w:color w:val="auto"/>
              </w:rPr>
            </w:pPr>
            <w:r>
              <w:rPr>
                <w:rFonts w:ascii="Arial" w:cs="Arial" w:eastAsia="Arial" w:hAnsi="Arial"/>
                <w:sz w:val="18"/>
                <w:szCs w:val="18"/>
                <w:b w:val="1"/>
                <w:bCs w:val="1"/>
                <w:color w:val="auto"/>
                <w:w w:val="94"/>
              </w:rPr>
              <w:t>May 2,</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May 2,</w:t>
            </w:r>
          </w:p>
        </w:tc>
        <w:tc>
          <w:tcPr>
            <w:tcW w:w="11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682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293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59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8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293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Subsequent to May 2, 2021, our outstanding common stock was reduced by a net 0.7 million shares, primarily as a result of share repurchases. Please refer to Note 14 for information on our share repurchase programs.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ACCUMULATED OTHER COMPREHENSIVE INCOME BY COMPONENT</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 and six-month periods ended May 2, 2021 and May 3,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Three Months Ended May 2, 2021</w:t>
            </w:r>
          </w:p>
        </w:tc>
        <w:tc>
          <w:tcPr>
            <w:tcW w:w="1680" w:type="dxa"/>
            <w:vAlign w:val="bottom"/>
          </w:tcPr>
          <w:p>
            <w:pPr>
              <w:spacing w:after="0"/>
              <w:rPr>
                <w:sz w:val="20"/>
                <w:szCs w:val="20"/>
                <w:color w:val="auto"/>
              </w:rPr>
            </w:pPr>
          </w:p>
        </w:tc>
      </w:tr>
      <w:tr>
        <w:trPr>
          <w:trHeight w:val="198"/>
        </w:trPr>
        <w:tc>
          <w:tcPr>
            <w:tcW w:w="5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5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2021</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32,029</w:t>
            </w:r>
          </w:p>
        </w:tc>
        <w:tc>
          <w:tcPr>
            <w:tcW w:w="16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3,778</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3,799</w:t>
            </w:r>
          </w:p>
        </w:tc>
        <w:tc>
          <w:tcPr>
            <w:tcW w:w="1680" w:type="dxa"/>
            <w:vAlign w:val="bottom"/>
          </w:tcPr>
          <w:p>
            <w:pPr>
              <w:spacing w:after="0"/>
              <w:rPr>
                <w:sz w:val="18"/>
                <w:szCs w:val="18"/>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Less: other comprehensive income attributable to noncontrolling interests</w:t>
            </w: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2, 2021</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36,052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35,192</w:t>
            </w:r>
          </w:p>
        </w:tc>
        <w:tc>
          <w:tcPr>
            <w:tcW w:w="1680" w:type="dxa"/>
            <w:vAlign w:val="bottom"/>
          </w:tcPr>
          <w:p>
            <w:pPr>
              <w:spacing w:after="0"/>
              <w:rPr>
                <w:sz w:val="20"/>
                <w:szCs w:val="20"/>
                <w:color w:val="auto"/>
              </w:rPr>
            </w:pP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59"/>
        </w:trPr>
        <w:tc>
          <w:tcPr>
            <w:tcW w:w="5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Three Months Ended May 3, 2020</w:t>
            </w:r>
          </w:p>
        </w:tc>
        <w:tc>
          <w:tcPr>
            <w:tcW w:w="1680" w:type="dxa"/>
            <w:vAlign w:val="bottom"/>
          </w:tcPr>
          <w:p>
            <w:pPr>
              <w:spacing w:after="0"/>
              <w:rPr>
                <w:sz w:val="24"/>
                <w:szCs w:val="24"/>
                <w:color w:val="auto"/>
              </w:rPr>
            </w:pPr>
          </w:p>
        </w:tc>
      </w:tr>
      <w:tr>
        <w:trPr>
          <w:trHeight w:val="198"/>
        </w:trPr>
        <w:tc>
          <w:tcPr>
            <w:tcW w:w="5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5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2020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(11,742)</w:t>
            </w:r>
          </w:p>
        </w:tc>
        <w:tc>
          <w:tcPr>
            <w:tcW w:w="16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(2,404)</w:t>
            </w:r>
          </w:p>
        </w:tc>
        <w:tc>
          <w:tcPr>
            <w:tcW w:w="1680" w:type="dxa"/>
            <w:vAlign w:val="bottom"/>
          </w:tcPr>
          <w:p>
            <w:pPr>
              <w:spacing w:after="0"/>
              <w:rPr>
                <w:sz w:val="18"/>
                <w:szCs w:val="18"/>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Less: other comprehensive income attributable to noncontrolling interests</w:t>
            </w: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 2020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(14,535)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(15,200)</w:t>
            </w:r>
          </w:p>
        </w:tc>
        <w:tc>
          <w:tcPr>
            <w:tcW w:w="1680" w:type="dxa"/>
            <w:vAlign w:val="bottom"/>
          </w:tcPr>
          <w:p>
            <w:pPr>
              <w:spacing w:after="0"/>
              <w:rPr>
                <w:sz w:val="20"/>
                <w:szCs w:val="20"/>
                <w:color w:val="auto"/>
              </w:rPr>
            </w:pP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0"/>
        </w:trPr>
        <w:tc>
          <w:tcPr>
            <w:tcW w:w="5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1"/>
              </w:rPr>
              <w:t>Six Months Ended May 2, 2021</w:t>
            </w:r>
          </w:p>
        </w:tc>
        <w:tc>
          <w:tcPr>
            <w:tcW w:w="1680" w:type="dxa"/>
            <w:vAlign w:val="bottom"/>
          </w:tcPr>
          <w:p>
            <w:pPr>
              <w:spacing w:after="0"/>
              <w:rPr>
                <w:sz w:val="24"/>
                <w:szCs w:val="24"/>
                <w:color w:val="auto"/>
              </w:rPr>
            </w:pPr>
          </w:p>
        </w:tc>
      </w:tr>
      <w:tr>
        <w:trPr>
          <w:trHeight w:val="198"/>
        </w:trPr>
        <w:tc>
          <w:tcPr>
            <w:tcW w:w="5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5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18,828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c>
          <w:tcPr>
            <w:tcW w:w="16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22,066</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22,087</w:t>
            </w:r>
          </w:p>
        </w:tc>
        <w:tc>
          <w:tcPr>
            <w:tcW w:w="1680" w:type="dxa"/>
            <w:vAlign w:val="bottom"/>
          </w:tcPr>
          <w:p>
            <w:pPr>
              <w:spacing w:after="0"/>
              <w:rPr>
                <w:sz w:val="18"/>
                <w:szCs w:val="18"/>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Less: other comprehensive income attributable to noncontrolling interests</w:t>
            </w: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3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2, 2021</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36,052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35,192</w:t>
            </w:r>
          </w:p>
        </w:tc>
        <w:tc>
          <w:tcPr>
            <w:tcW w:w="1680" w:type="dxa"/>
            <w:vAlign w:val="bottom"/>
          </w:tcPr>
          <w:p>
            <w:pPr>
              <w:spacing w:after="0"/>
              <w:rPr>
                <w:sz w:val="20"/>
                <w:szCs w:val="20"/>
                <w:color w:val="auto"/>
              </w:rPr>
            </w:pP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0"/>
        </w:trPr>
        <w:tc>
          <w:tcPr>
            <w:tcW w:w="5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1"/>
              </w:rPr>
              <w:t>Six Months Ended May 3, 2020</w:t>
            </w:r>
          </w:p>
        </w:tc>
        <w:tc>
          <w:tcPr>
            <w:tcW w:w="1680" w:type="dxa"/>
            <w:vAlign w:val="bottom"/>
          </w:tcPr>
          <w:p>
            <w:pPr>
              <w:spacing w:after="0"/>
              <w:rPr>
                <w:sz w:val="24"/>
                <w:szCs w:val="24"/>
                <w:color w:val="auto"/>
              </w:rPr>
            </w:pPr>
          </w:p>
        </w:tc>
      </w:tr>
      <w:tr>
        <w:trPr>
          <w:trHeight w:val="198"/>
        </w:trPr>
        <w:tc>
          <w:tcPr>
            <w:tcW w:w="5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5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(9,005)</w:t>
            </w:r>
          </w:p>
        </w:tc>
        <w:tc>
          <w:tcPr>
            <w:tcW w:w="16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(3,970)</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(3,951)</w:t>
            </w:r>
          </w:p>
        </w:tc>
        <w:tc>
          <w:tcPr>
            <w:tcW w:w="1680" w:type="dxa"/>
            <w:vAlign w:val="bottom"/>
          </w:tcPr>
          <w:p>
            <w:pPr>
              <w:spacing w:after="0"/>
              <w:rPr>
                <w:sz w:val="18"/>
                <w:szCs w:val="18"/>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Less: other comprehensive income attributable to noncontrolling interests</w:t>
            </w: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 2020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(14,535)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(15,200)</w:t>
            </w:r>
          </w:p>
        </w:tc>
        <w:tc>
          <w:tcPr>
            <w:tcW w:w="1680" w:type="dxa"/>
            <w:vAlign w:val="bottom"/>
          </w:tcPr>
          <w:p>
            <w:pPr>
              <w:spacing w:after="0"/>
              <w:rPr>
                <w:sz w:val="22"/>
                <w:szCs w:val="22"/>
                <w:color w:val="auto"/>
              </w:rPr>
            </w:pPr>
          </w:p>
        </w:tc>
      </w:tr>
      <w:tr>
        <w:trPr>
          <w:trHeight w:val="832"/>
        </w:trPr>
        <w:tc>
          <w:tcPr>
            <w:tcW w:w="54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23</w:t>
            </w: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80" w:type="dxa"/>
            <w:vAlign w:val="bottom"/>
          </w:tcPr>
          <w:p>
            <w:pPr>
              <w:spacing w:after="0"/>
              <w:rPr>
                <w:sz w:val="24"/>
                <w:szCs w:val="24"/>
                <w:color w:val="auto"/>
              </w:rPr>
            </w:pPr>
          </w:p>
        </w:tc>
      </w:tr>
      <w:tr>
        <w:trPr>
          <w:trHeight w:val="46"/>
        </w:trPr>
        <w:tc>
          <w:tcPr>
            <w:tcW w:w="54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5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 their carrying values due to the variable nature of the underlying interest rates. We did not have any assets or liabilities measured at fair value, on a recurring or a nonrecurring basis, at May 2, 2021 or October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REPURCHASE PROGRAMS</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The company commenced repurchasing shares under this authorization on September 16, 2020. All of the 1.7 million shares repurchased under this authorization prior to November 1, 2020, were retired in fiscal 2020; the table below presents information on this repurchase program.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w:t>
            </w:r>
          </w:p>
        </w:tc>
        <w:tc>
          <w:tcPr>
            <w:tcW w:w="1700" w:type="dxa"/>
            <w:vAlign w:val="bottom"/>
            <w:gridSpan w:val="4"/>
          </w:tcPr>
          <w:p>
            <w:pPr>
              <w:ind w:left="80"/>
              <w:spacing w:after="0"/>
              <w:rPr>
                <w:sz w:val="20"/>
                <w:szCs w:val="20"/>
                <w:color w:val="auto"/>
              </w:rPr>
            </w:pPr>
            <w:r>
              <w:rPr>
                <w:rFonts w:ascii="Arial" w:cs="Arial" w:eastAsia="Arial" w:hAnsi="Arial"/>
                <w:sz w:val="18"/>
                <w:szCs w:val="18"/>
                <w:b w:val="1"/>
                <w:bCs w:val="1"/>
                <w:color w:val="auto"/>
              </w:rPr>
              <w:t>Six Months Ended</w:t>
            </w:r>
          </w:p>
        </w:tc>
        <w:tc>
          <w:tcPr>
            <w:tcW w:w="1880" w:type="dxa"/>
            <w:vAlign w:val="bottom"/>
            <w:gridSpan w:val="3"/>
          </w:tcPr>
          <w:p>
            <w:pPr>
              <w:spacing w:after="0"/>
              <w:rPr>
                <w:sz w:val="20"/>
                <w:szCs w:val="20"/>
                <w:color w:val="auto"/>
              </w:rPr>
            </w:pPr>
            <w:r>
              <w:rPr>
                <w:rFonts w:ascii="Arial" w:cs="Arial" w:eastAsia="Arial" w:hAnsi="Arial"/>
                <w:sz w:val="18"/>
                <w:szCs w:val="18"/>
                <w:b w:val="1"/>
                <w:bCs w:val="1"/>
                <w:color w:val="auto"/>
                <w:w w:val="94"/>
              </w:rPr>
              <w:t>From Inception Date of</w:t>
            </w:r>
          </w:p>
        </w:tc>
      </w:tr>
      <w:tr>
        <w:trPr>
          <w:trHeight w:val="241"/>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May 2, 2021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May 2, 2021</w:t>
            </w: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16, 2020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40,750</w:t>
            </w: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10.87</w:t>
            </w:r>
          </w:p>
        </w:tc>
      </w:tr>
    </w:tbl>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This repurchase program was terminated in March of 2020. All of the shares repurchased under this program have been retired. The table below presents information on this repurchase program.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w:t>
            </w:r>
          </w:p>
        </w:tc>
        <w:tc>
          <w:tcPr>
            <w:tcW w:w="1700" w:type="dxa"/>
            <w:vAlign w:val="bottom"/>
            <w:gridSpan w:val="4"/>
          </w:tcPr>
          <w:p>
            <w:pPr>
              <w:ind w:left="80"/>
              <w:spacing w:after="0"/>
              <w:rPr>
                <w:sz w:val="20"/>
                <w:szCs w:val="20"/>
                <w:color w:val="auto"/>
              </w:rPr>
            </w:pPr>
            <w:r>
              <w:rPr>
                <w:rFonts w:ascii="Arial" w:cs="Arial" w:eastAsia="Arial" w:hAnsi="Arial"/>
                <w:sz w:val="18"/>
                <w:szCs w:val="18"/>
                <w:b w:val="1"/>
                <w:bCs w:val="1"/>
                <w:color w:val="auto"/>
              </w:rPr>
              <w:t>Six Months Ended</w:t>
            </w:r>
          </w:p>
        </w:tc>
        <w:tc>
          <w:tcPr>
            <w:tcW w:w="1880" w:type="dxa"/>
            <w:vAlign w:val="bottom"/>
            <w:gridSpan w:val="3"/>
          </w:tcPr>
          <w:p>
            <w:pPr>
              <w:spacing w:after="0"/>
              <w:rPr>
                <w:sz w:val="20"/>
                <w:szCs w:val="20"/>
                <w:color w:val="auto"/>
              </w:rPr>
            </w:pPr>
            <w:r>
              <w:rPr>
                <w:rFonts w:ascii="Arial" w:cs="Arial" w:eastAsia="Arial" w:hAnsi="Arial"/>
                <w:sz w:val="18"/>
                <w:szCs w:val="18"/>
                <w:b w:val="1"/>
                <w:bCs w:val="1"/>
                <w:color w:val="auto"/>
                <w:w w:val="94"/>
              </w:rPr>
              <w:t>From Inception Date of</w:t>
            </w:r>
          </w:p>
        </w:tc>
        <w:tc>
          <w:tcPr>
            <w:tcW w:w="1140" w:type="dxa"/>
            <w:vAlign w:val="bottom"/>
          </w:tcPr>
          <w:p>
            <w:pPr>
              <w:spacing w:after="0"/>
              <w:rPr>
                <w:sz w:val="18"/>
                <w:szCs w:val="18"/>
                <w:color w:val="auto"/>
              </w:rPr>
            </w:pPr>
          </w:p>
        </w:tc>
      </w:tr>
      <w:tr>
        <w:trPr>
          <w:trHeight w:val="241"/>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May 3, 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May 3, 2020</w:t>
            </w: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25, 2019</w:t>
            </w:r>
          </w:p>
        </w:tc>
        <w:tc>
          <w:tcPr>
            <w:tcW w:w="1140" w:type="dxa"/>
            <w:vAlign w:val="bottom"/>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27,894</w:t>
            </w:r>
          </w:p>
        </w:tc>
        <w:tc>
          <w:tcPr>
            <w:tcW w:w="114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w:t>
            </w:r>
          </w:p>
        </w:tc>
        <w:tc>
          <w:tcPr>
            <w:tcW w:w="1140" w:type="dxa"/>
            <w:vAlign w:val="bottom"/>
          </w:tcPr>
          <w:p>
            <w:pPr>
              <w:spacing w:after="0"/>
              <w:rPr>
                <w:sz w:val="18"/>
                <w:szCs w:val="18"/>
                <w:color w:val="auto"/>
              </w:rPr>
            </w:pPr>
          </w:p>
        </w:tc>
      </w:tr>
      <w:tr>
        <w:trPr>
          <w:trHeight w:val="595"/>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634"/>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4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May 2, 2021, the Company had commitments outstanding for capital expenditures of approximately $31.9 million, primarily for purchases of high-end equipment.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wholly owned subsidiary in South Korea has been involved in litigation regarding a 2016 informational tax filing for its non-South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Korean bank accounts that was not timely made under a then recently issued presidential decree. A fine (based solely on the amount in such accounts)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$2.2 million was assessed against our subsidiary. Our subsidiary appealed the fine on the grounds that it was not required to make the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filing, and such appeal was pursued up to the Supreme Court in South Korea. Under South Korean law, the tax authorities were entitled to pursue the matter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both civil and criminal courts simultaneously, with the proviso that any criminal fine imposed would act to dismiss any civil fine. The prosecutor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recommended a fine of $0.03 million. The civil matter has subsequently been dismissed. Photronics was notified on March 12, 2020, that the Supreme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rendered a decision against our subsidiary on the issue of whether our subsidiary was required to make the tax filing and remanded the case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appellate court for determination of the fine. Prior to the Supreme Court decision, our assessment was that the possibility of a fine was deemed remote,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advice of local counsel and the subsequent judgments in the lower courts having been in our favor. Our estimate of the possible range of loss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$0.03 million to $2.2 million with the most likely amount being $0.03 million. Accordingly, during the three-month period ended May 3, 2020, we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contingent loss of $0.03 million. It is reasonably possible that the estimated loss will change in the near term. Our maximum exposure to loss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accrued is $2.17 million. The imposition of the fine will not have a material impact on our financial position or financial performance.</w:t>
      </w:r>
    </w:p>
    <w:p>
      <w:pPr>
        <w:spacing w:after="0" w:line="238"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We are subject to various other claims that arise in the ordinary course of business. We believe that our potential liability under such claims, individually or in the aggregate, will not have a material effect on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w:t>
      </w:r>
    </w:p>
    <w:p>
      <w:pPr>
        <w:spacing w:after="0" w:line="256"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replaced the incurred loss impairment methodology, found in previous guidance,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was effective for Photronics in its first quarter of fiscal year 2021. We adopted ASU 2016-13 on November 1, 2020; the effect of the adoption was immaterial.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to Be Adopted</w:t>
      </w:r>
    </w:p>
    <w:p>
      <w:pPr>
        <w:spacing w:after="0" w:line="25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through December 31, 2022. We are currently evaluating the effect the potential adoption of this ASU will have on our consolidated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Form 10-K for fiscal 2020), that may cause actual results to materially differ from these expectations.</w:t>
      </w:r>
    </w:p>
    <w:p>
      <w:pPr>
        <w:spacing w:after="0" w:line="19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19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are typically required to fulfill customer orders within a short period of time after receipt of an order, sometimes within twenty-four hours. This results in a minimal level of backlog orders, typically one to two weeks of backlog for IC photomasks and two to three weeks of backlog for FPD photomasks.</w:t>
      </w:r>
    </w:p>
    <w:p>
      <w:pPr>
        <w:spacing w:after="0" w:line="2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the second quarter of fiscal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at 33.684638% of its original cost.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22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the first quarter of fiscal 2021, we entered into a five-year $35.5 million finance lease for a high-end lithography tool. Monthly payments on the lease, which commenced in January 2021, increased from $0.04 million after the first three months to $0.6 million for the following nine months, followed by forty-eight monthly payments of $0.5 million. As of the due date of the forty-eighth monthly payment, we may exercise an early buyout option to purchase the tool at 39.84% of the initial lease liability.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6, and includes a cross-default provision for any agreement or instrument with an outstanding, committed balance greater than $5.0 million in which we are the indebted party.</w:t>
      </w:r>
    </w:p>
    <w:p>
      <w:pPr>
        <w:spacing w:after="0" w:line="19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further information, refer to Item 7 in our Form </w:t>
      </w:r>
      <w:hyperlink r:id="rId35">
        <w:r>
          <w:rPr>
            <w:rFonts w:ascii="Arial" w:cs="Arial" w:eastAsia="Arial" w:hAnsi="Arial"/>
            <w:sz w:val="18"/>
            <w:szCs w:val="18"/>
            <w:u w:val="single" w:color="auto"/>
            <w:color w:val="0000EE"/>
          </w:rPr>
          <w:t>10-K for the year ended October 31, 2020</w:t>
        </w:r>
      </w:hyperlink>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May 2, 2021</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selected operating information expressed as a percentage of revenue. The columns may not foot due to rounding.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50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50"/>
              <w:spacing w:after="0" w:line="198" w:lineRule="exact"/>
              <w:rPr>
                <w:sz w:val="20"/>
                <w:szCs w:val="20"/>
                <w:color w:val="auto"/>
              </w:rPr>
            </w:pPr>
            <w:r>
              <w:rPr>
                <w:rFonts w:ascii="Arial" w:cs="Arial" w:eastAsia="Arial" w:hAnsi="Arial"/>
                <w:sz w:val="18"/>
                <w:szCs w:val="18"/>
                <w:b w:val="1"/>
                <w:bCs w:val="1"/>
                <w:color w:val="auto"/>
              </w:rPr>
              <w:t>May 2,</w:t>
            </w:r>
          </w:p>
        </w:tc>
        <w:tc>
          <w:tcPr>
            <w:tcW w:w="13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January 31,</w:t>
            </w:r>
          </w:p>
        </w:tc>
        <w:tc>
          <w:tcPr>
            <w:tcW w:w="110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May 3,</w:t>
            </w:r>
          </w:p>
        </w:tc>
        <w:tc>
          <w:tcPr>
            <w:tcW w:w="26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8"/>
              </w:rPr>
              <w:t>May 2,</w:t>
            </w:r>
          </w:p>
        </w:tc>
        <w:tc>
          <w:tcPr>
            <w:tcW w:w="110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160" w:type="dxa"/>
            <w:vAlign w:val="bottom"/>
          </w:tcPr>
          <w:p>
            <w:pPr>
              <w:spacing w:after="0"/>
              <w:rPr>
                <w:sz w:val="17"/>
                <w:szCs w:val="17"/>
                <w:color w:val="auto"/>
              </w:rPr>
            </w:pPr>
          </w:p>
        </w:tc>
      </w:tr>
      <w:tr>
        <w:trPr>
          <w:trHeight w:val="241"/>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77.6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r>
      <w:tr>
        <w:trPr>
          <w:trHeight w:val="22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45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2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45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Net income attributable to Photronics, Inc. shareholders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7"/>
        </w:trPr>
        <w:tc>
          <w:tcPr>
            <w:tcW w:w="45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Note: All tabular comparisons included in the following discussion, unless otherwise indicated, are for the three months ended May 2, 2021 (Q2 FY21), January 31, 2021 (Q1 FY21) and May 3, 2020 (Q2 FY20), and for the six months ended May 2, 2021 (YTD FY21) and May 3, 2020 (YTD FY20), in millions of dollars. The columns may not foot due to rounding.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changes in disaggregated revenue in Q2 FY21 and YTD FY21 from revenue in prior reporting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Product Type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4"/>
              </w:rPr>
              <w:t>Q2 FY21 from Q1 FY21</w:t>
            </w:r>
          </w:p>
        </w:tc>
        <w:tc>
          <w:tcPr>
            <w:tcW w:w="22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7"/>
              </w:rPr>
              <w:t>Q2 FY21 from Q2 FY20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9"/>
              </w:rPr>
              <w:t>YTD FY21 from YTD FY20</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86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w w:val="99"/>
              </w:rPr>
              <w:t>Revenue in</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Q2 FY21</w:t>
            </w:r>
          </w:p>
        </w:tc>
        <w:tc>
          <w:tcPr>
            <w:tcW w:w="2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(Decrease)</w:t>
            </w: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FY21</w:t>
            </w:r>
          </w:p>
        </w:tc>
        <w:tc>
          <w:tcPr>
            <w:tcW w:w="10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r>
      <w:tr>
        <w:trPr>
          <w:trHeight w:val="175"/>
        </w:trPr>
        <w:tc>
          <w:tcPr>
            <w:tcW w:w="2220" w:type="dxa"/>
            <w:vAlign w:val="bottom"/>
            <w:gridSpan w:val="3"/>
          </w:tcPr>
          <w:p>
            <w:pPr>
              <w:spacing w:after="0" w:line="176" w:lineRule="exact"/>
              <w:rPr>
                <w:sz w:val="20"/>
                <w:szCs w:val="20"/>
                <w:color w:val="auto"/>
              </w:rPr>
            </w:pPr>
            <w:r>
              <w:rPr>
                <w:rFonts w:ascii="Arial" w:cs="Arial" w:eastAsia="Arial" w:hAnsi="Arial"/>
                <w:sz w:val="18"/>
                <w:szCs w:val="18"/>
                <w:color w:val="auto"/>
              </w:rPr>
              <w:t>IC</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High-end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220" w:type="dxa"/>
            <w:vAlign w:val="bottom"/>
            <w:gridSpan w:val="3"/>
          </w:tcPr>
          <w:p>
            <w:pPr>
              <w:ind w:left="18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Total 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76"/>
        </w:trPr>
        <w:tc>
          <w:tcPr>
            <w:tcW w:w="222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High-end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23"/>
        </w:trPr>
        <w:tc>
          <w:tcPr>
            <w:tcW w:w="2220" w:type="dxa"/>
            <w:vAlign w:val="bottom"/>
            <w:gridSpan w:val="3"/>
          </w:tcPr>
          <w:p>
            <w:pPr>
              <w:ind w:left="18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Total FPD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High-end photomasks typically have higher average selling prices (ASPs) than mainstream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Geographic Origin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5"/>
              </w:rPr>
              <w:t>Q2 FY21 from Q1 FY21</w:t>
            </w:r>
          </w:p>
        </w:tc>
        <w:tc>
          <w:tcPr>
            <w:tcW w:w="22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7"/>
              </w:rPr>
              <w:t>Q2 FY21 from Q2 FY20</w:t>
            </w:r>
          </w:p>
        </w:tc>
        <w:tc>
          <w:tcPr>
            <w:tcW w:w="280" w:type="dxa"/>
            <w:vAlign w:val="bottom"/>
          </w:tcPr>
          <w:p>
            <w:pPr>
              <w:spacing w:after="0"/>
              <w:rPr>
                <w:sz w:val="20"/>
                <w:szCs w:val="20"/>
                <w:color w:val="auto"/>
              </w:rPr>
            </w:pPr>
          </w:p>
        </w:tc>
        <w:tc>
          <w:tcPr>
            <w:tcW w:w="304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98"/>
              </w:rPr>
              <w:t>YTD FY21 from YTD FY20</w:t>
            </w:r>
          </w:p>
        </w:tc>
      </w:tr>
      <w:tr>
        <w:trPr>
          <w:trHeight w:val="198"/>
        </w:trPr>
        <w:tc>
          <w:tcPr>
            <w:tcW w:w="2240" w:type="dxa"/>
            <w:vAlign w:val="bottom"/>
          </w:tcPr>
          <w:p>
            <w:pPr>
              <w:spacing w:after="0"/>
              <w:rPr>
                <w:sz w:val="17"/>
                <w:szCs w:val="17"/>
                <w:color w:val="auto"/>
              </w:rPr>
            </w:pPr>
          </w:p>
        </w:tc>
        <w:tc>
          <w:tcPr>
            <w:tcW w:w="8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17"/>
                <w:szCs w:val="17"/>
                <w:color w:val="auto"/>
              </w:rPr>
            </w:pPr>
          </w:p>
        </w:tc>
        <w:tc>
          <w:tcPr>
            <w:tcW w:w="110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2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Q2 FY21</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00" w:type="dxa"/>
            <w:vAlign w:val="bottom"/>
          </w:tcPr>
          <w:p>
            <w:pPr>
              <w:spacing w:after="0"/>
              <w:rPr>
                <w:sz w:val="20"/>
                <w:szCs w:val="20"/>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FY21</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r>
      <w:tr>
        <w:trPr>
          <w:trHeight w:val="216"/>
        </w:trPr>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
        </w:trPr>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Revenue increased 5.1% in Q2 FY21, compared with Q1 FY21, primarily driven by increased demand for high-end FPD, including AMOLED and LTPS, and IC logic photomasks, and higher pricing for some mainstream IC nodes. These growth factors were somewhat moderated by lower revenue from mainstream FPD photomasks as we focused production on high-end FPD products.</w:t>
      </w:r>
    </w:p>
    <w:p>
      <w:pPr>
        <w:spacing w:after="0" w:line="21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Revenue increased 11.9% in Q2 FY21, compared with Q2 FY20, primarily driven by the same factors discussed above, as growth in IC and high-end FPD, was partially offset by declines in mainstream FPD photomasks.</w:t>
      </w:r>
    </w:p>
    <w:p>
      <w:pPr>
        <w:spacing w:after="0" w:line="19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Revenue increased 3.1% in YTD FY21, compared with YTD FY20, primarily driven by mainstream IC, due to higher demand and improved pricing, and high-end FPD, as a result of higher demand for mobile displays. These increases were partially offset by lower high-end IC and mainstream FPD.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1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Q2 FY21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Q1 FY21</w:t>
            </w: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Q2 FY20</w:t>
            </w: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FY21</w:t>
            </w:r>
          </w:p>
        </w:tc>
        <w:tc>
          <w:tcPr>
            <w:tcW w:w="280" w:type="dxa"/>
            <w:vAlign w:val="bottom"/>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YTD FY20</w:t>
            </w:r>
          </w:p>
        </w:tc>
        <w:tc>
          <w:tcPr>
            <w:tcW w:w="26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39.2</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69.8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65.0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w w:val="97"/>
              </w:rPr>
              <w:t>24.6%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20.1%</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21.3%</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21.5%</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Gross margin increased by 4.5 percentage points in Q2 FY21, from Q1 FY21, as a result of the increase in revenue from the prior quarter. Material costs were essentially unchanged from the prior quarter despite the increase in revenue, as a result, material costs, as a percentage of revenue, decreased 150 basis points. Labor remained flat, but as a percentage of revenue, fell 70 basis points. Equipment and other overhead costs decreased 1.7%, or 230 basis points as a percentage of revenue, with reduced outsourced manufacturing costs most significantly contributing to the decline.</w:t>
      </w:r>
    </w:p>
    <w:p>
      <w:pPr>
        <w:spacing w:after="0" w:line="184" w:lineRule="exact"/>
        <w:rPr>
          <w:sz w:val="20"/>
          <w:szCs w:val="20"/>
          <w:color w:val="auto"/>
        </w:rPr>
      </w:pPr>
    </w:p>
    <w:p>
      <w:pPr>
        <w:ind w:right="280" w:firstLine="324"/>
        <w:spacing w:after="0" w:line="287" w:lineRule="auto"/>
        <w:rPr>
          <w:sz w:val="20"/>
          <w:szCs w:val="20"/>
          <w:color w:val="auto"/>
        </w:rPr>
      </w:pPr>
      <w:r>
        <w:rPr>
          <w:rFonts w:ascii="Arial" w:cs="Arial" w:eastAsia="Arial" w:hAnsi="Arial"/>
          <w:sz w:val="16"/>
          <w:szCs w:val="16"/>
          <w:color w:val="auto"/>
        </w:rPr>
        <w:t>Gross margin increased by 3.3 percentage points in Q2 FY21, from Q2 FY20, primarily due to the 11.9% increase in revenue from the prior year quarter. Material costs increased 10.0% from the prior year quarter, with the largest increase occurring at our China-based IC facility, where the increase was in line with that facility’s increased revenue. Globally, material costs, as a percentage of revenue, decreased 50 basis points. Labor costs increased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17.6% from the prior year quarter, but only represented a 60 basis point increase, as a percent of revenue, while equipment and other overhead costs rose moderately at 1.9%, but fell 330 basis points as a percentage of revenue. Increased equipment service contract costs were the most significant contributor to the rise in equipment and other overhead costs.</w:t>
      </w:r>
    </w:p>
    <w:p>
      <w:pPr>
        <w:spacing w:after="0" w:line="2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Gross margin increased by 0.9 percentage points in YTD FY21, from YTD FY20, primarily as a result of the 3.1% increase in revenue from the prior year period. Material costs increased 3.1% from the prior year period, but were unchanged as a percentage of revenue. Labor costs increased 11.5% from the prior year, but only 90 basis points when compared to revenue. Equipment and other overhead costs decreased 2.0%, or 180 basis points as a percentage of revenue, with reduced outsourced manufacturing costs most significantly contributing to the decline.</w:t>
      </w:r>
    </w:p>
    <w:p>
      <w:pPr>
        <w:spacing w:after="0" w:line="19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we operate in a high fixed cost environment, increases or decreases in our revenues and capacity utilization will generally positively or negatively impact our gross margin.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Selling, general and administrative expenses were $14.1 million in Q2 FY21, or unchanged from Q1 FY21 and increased $0.8 million from Q2 FY20. The increase is primarily the result of increased compensation costs. Selling, general and administrative expenses were $28.1 million in YTD FY21, as compared with $27.5 million in YTD FY20. The increase is primarily the result of increased compensation expenses, which were partially offset by decreased travel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Research and development expenses, which primarily consist of development efforts related to high-end process technologies for high-end IC and FPD applications, were $4.4 million in Q2 FY21, compared with $4.7 million in Q1 FY21 and $4.5 million in Q2 FY20. Decreased development activities at our Asia-based sites, which were partially offset by increased activities in the U.S., led to the overall decrease from the prior quarter and the prior year quarter. Year over year, research and development expenses increased $0.5 million, due to an increase in development activities in the U.S. exceeding a decline in such activities in Asia.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85"/>
        </w:trPr>
        <w:tc>
          <w:tcPr>
            <w:tcW w:w="4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Q2 FY21</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Q1 FY21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Q2 FY20</w:t>
            </w:r>
          </w:p>
        </w:tc>
        <w:tc>
          <w:tcPr>
            <w:tcW w:w="180" w:type="dxa"/>
            <w:vAlign w:val="bottom"/>
          </w:tcPr>
          <w:p>
            <w:pPr>
              <w:spacing w:after="0"/>
              <w:rPr>
                <w:sz w:val="24"/>
                <w:szCs w:val="2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YTD FY21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 FY20</w:t>
            </w:r>
          </w:p>
        </w:tc>
        <w:tc>
          <w:tcPr>
            <w:tcW w:w="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transactions impact,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r>
      <w:tr>
        <w:trPr>
          <w:trHeight w:val="216"/>
        </w:trPr>
        <w:tc>
          <w:tcPr>
            <w:tcW w:w="10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r>
      <w:tr>
        <w:trPr>
          <w:trHeight w:val="27"/>
        </w:trPr>
        <w:tc>
          <w:tcPr>
            <w:tcW w:w="10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Other income and expense, net decreased $1.5 million in Q2 FY21 from Q1 FY21, primarily as a result of less favorable foreign currency exchange movements in China against the U.S. dollar, which were somewhat mitigated by reduced losses against the U.S. dollar in Korea. The $3.5 million unfavorable foreign currency exchange movement was partially offset by a $2.0 million favorable change in interest expense that resulted from interest subsidies received in China, which we recognize at the time of their receipt.</w:t>
      </w:r>
    </w:p>
    <w:p>
      <w:pPr>
        <w:spacing w:after="0" w:line="21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 income and expense, net changed favorably from a loss of $1.0 million in Q2 FY20 to a loss $0.8 million in Q2 FY21. The $0.7 million negative impact of foreign currency transactions was primarily due to unfavorable movements against the U.S. dollar in Korea and against the Japanese yen in Taiwan, which were partially offset by favorable movements against the U.S. dollar and the Japanese yen in China. The $0.7 million unfavorable change from foreign currency transactions was partially offset by a $0.4 million favorable change in interest expense that resulted from interest subsidies received in China, which we recognize at the time of their receipt.</w:t>
      </w:r>
    </w:p>
    <w:p>
      <w:pPr>
        <w:spacing w:after="0" w:line="21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Other income and expense, net changed unfavorably from a net other income of $2.8 million in YTD FY20 to a net other expense of $0.1 million in YTD FY21. The $4.0 million negative impact of foreign currency transactions was primarily caused by unfavorable movements against the U.S. dollar in Korea and unfavorable movements against the U. S. dollar and the Japanese yen in Taiwan, which were partially offset by favorable movements against the U.S. dollar in China. The overall unfavorable impact of foreign currency transactions was partially offset by a $1.4 million favorable change in interest expense that resulted from interest subsidies received in China, which we recognize at the time of their receipt.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Q2 FY21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Q1 FY21</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Q2 FY20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FY21</w:t>
            </w:r>
          </w:p>
        </w:tc>
        <w:tc>
          <w:tcPr>
            <w:tcW w:w="240" w:type="dxa"/>
            <w:vAlign w:val="bottom"/>
          </w:tcPr>
          <w:p>
            <w:pPr>
              <w:spacing w:after="0"/>
              <w:rPr>
                <w:sz w:val="24"/>
                <w:szCs w:val="2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FY20</w:t>
            </w:r>
          </w:p>
        </w:tc>
        <w:tc>
          <w:tcPr>
            <w:tcW w:w="16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12.9</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w w:val="90"/>
              </w:rPr>
              <w:t>40.5%</w:t>
            </w:r>
          </w:p>
        </w:tc>
      </w:tr>
    </w:tbl>
    <w:p>
      <w:pPr>
        <w:spacing w:after="0" w:line="214"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w:t>
      </w:r>
    </w:p>
    <w:p>
      <w:pPr>
        <w:spacing w:after="0" w:line="19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effective income tax rate decrease in Q2 FY21, compared with Q1 FY21, is primarily due to changes in the period to period forecasted mix of jurisdictional earnings.</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effective income tax rate decrease in Q2 FY21, compared with Q2 FY20, is primarily due to an increase in credits in a non-U.S. jurisdiction in Q1 FY21, and the establishment of a valuation allowance for a non-U.S.-based loss carryforward in Q2 FY20.</w:t>
      </w:r>
    </w:p>
    <w:p>
      <w:pPr>
        <w:spacing w:after="0" w:line="19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effective income tax rate decreased in YTD FY21, compared with YTD FY20, primarily due to the establishment of a valuation allowance for a loss carryforward in a non-U.S. jurisdiction in YTD-FY20, as well as changes in the jurisdictional mix of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Cash and cash equivalents totaled $256.0 million and $278.7 million as of May 2, 2021 and October 31, 2020 respectively. As of most recent balance sheet date, total cash and cash equivalents included $182.7 million held by foreign subsidiaries. Our primary sources of liquidity are cash on hand, cash generated from operations and borrowing capacity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have approximately $30.0 million of borrowing capacity for local operations on our various lines of credit. See Item 1. Condensed Consolidated Financial Statements - Notes to Condensed Consolidated Financial statements - Note 6 for additional information.</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continually evaluate alternatives for efficiently funding our capital expenditures and ongoing operations. These reviews may result in our engagement in a variety of financing transactions, in the transfer of cash among subsidiaries, and/or the repatriation of cash to the U.S. The transfer of funds among subsidiaries could be subject to foreign withholding taxes and, in certain jurisdictions, repatriation of these funds to the U.S. may subject them to U.S. state income taxes and/or local country withholding taxes. We believe that our liquidity, including available financing, is sufficient to meet our requirements through the next 12 months and thereafter for the foreseeable future. We continually seek organic and inorganic growth opportunities and stand ready to invest at the appropriate time utilizing our existing liquidity and available borrowing capacity. To support our growth strategy, we continue to invest in manufacturing equipment to expand capacity and enhance capability. We estimate capital expenditures for the full year 2021 to be approximately $120 million, focused on high end and mainstream point tools to enhance operating capacity and efficiency. As of May 2, 2021, we had outstanding capital commitments of approximately $32 million and recognized liabilities related to capital equipment purchases of approximately $23 million. Although payment timing could vary, primarily as a result of the timing of tool installation and testing, we currently estimate that we will fund $45 million of our total $55 million committed and recognized obligations for capital expenditures over the next twelve months.</w:t>
      </w:r>
    </w:p>
    <w:p>
      <w:pPr>
        <w:spacing w:after="0" w:line="20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May 2, 2021, our current share repurchase program had approximately $59.3 million available under its authorization. Depending on market conditions, we may utilize some or all of the remaining approved amount to reacquire additional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3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4"/>
              </w:rPr>
              <w:t>Six months ended</w:t>
            </w:r>
          </w:p>
        </w:tc>
      </w:tr>
      <w:tr>
        <w:trPr>
          <w:trHeight w:val="241"/>
        </w:trPr>
        <w:tc>
          <w:tcPr>
            <w:tcW w:w="3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May 2, 2021</w:t>
            </w:r>
          </w:p>
        </w:tc>
        <w:tc>
          <w:tcPr>
            <w:tcW w:w="120" w:type="dxa"/>
            <w:vAlign w:val="bottom"/>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May 3, 2020</w:t>
            </w:r>
          </w:p>
        </w:tc>
        <w:tc>
          <w:tcPr>
            <w:tcW w:w="60" w:type="dxa"/>
            <w:vAlign w:val="bottom"/>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61,323</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(67,898)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(25,006)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w:t>
            </w:r>
          </w:p>
        </w:tc>
      </w:tr>
    </w:tbl>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Cash provided by operating activities reflects net income adjusted for certain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share-based compensation, and the effects of changes in operating assets and liabilities. The decrease in cash provided by operating activities for the six months ended May 2, 2021 compared to the six months ended May 3, 2020 was primarily due to changes in working capital experienced in Asia, the effects of which were partially offset by an increase in net income.</w:t>
      </w:r>
    </w:p>
    <w:p>
      <w:pPr>
        <w:spacing w:after="0" w:line="21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Cash flows used for investing activities consists primarily of purchases of property, plant and equipment.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May 2, 2021, purchases of property, plant and equipment were $73.5 million compared to $30.1 million for the six months ended May 3, 2020 as we increased our tool purchases in the current year primarily in response to market demands in Asia.</w:t>
      </w:r>
    </w:p>
    <w:p>
      <w:pPr>
        <w:spacing w:after="0" w:line="21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i w:val="1"/>
          <w:iCs w:val="1"/>
          <w:u w:val="single" w:color="auto"/>
          <w:color w:val="auto"/>
        </w:rPr>
        <w:t>Financing Activities</w:t>
      </w:r>
      <w:r>
        <w:rPr>
          <w:rFonts w:ascii="Arial" w:cs="Arial" w:eastAsia="Arial" w:hAnsi="Arial"/>
          <w:sz w:val="17"/>
          <w:szCs w:val="17"/>
          <w:color w:val="auto"/>
        </w:rPr>
        <w:t>: Cash flows used in financing activities consist primarily of share repurchases, proceeds / repayments of debt, and contributions</w:t>
      </w:r>
      <w:r>
        <w:rPr>
          <w:rFonts w:ascii="Arial" w:cs="Arial" w:eastAsia="Arial" w:hAnsi="Arial"/>
          <w:sz w:val="17"/>
          <w:szCs w:val="17"/>
          <w:i w:val="1"/>
          <w:iCs w:val="1"/>
          <w:color w:val="auto"/>
        </w:rPr>
        <w:t xml:space="preserve"> </w:t>
      </w:r>
      <w:r>
        <w:rPr>
          <w:rFonts w:ascii="Arial" w:cs="Arial" w:eastAsia="Arial" w:hAnsi="Arial"/>
          <w:sz w:val="17"/>
          <w:szCs w:val="17"/>
          <w:color w:val="auto"/>
        </w:rPr>
        <w:t>from noncontrolling interests. The increase in cash used in financing activities during the six months ended May 3, 2021 compared to the same period ended May 3, 2020, was primarily driven by $11.3 million increased proceeds from debt, offset by $8.2 million increase in debt repayments, $7.6 million decrease in contributions from noncontrolling interests, and $6.4 million increased purchases of treasury stock.</w:t>
      </w:r>
    </w:p>
    <w:p>
      <w:pPr>
        <w:spacing w:after="0" w:line="19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January 2018, Photronics, through its wholly owned Singapore subsidiary,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 edge and advanced generation semiconductors. Under the joint venture’s operating agreement, DNP is afforded, under certain circumstances, the right to put its interest in PDMCX to Photronics. These circumstances include disputes regarding the strategic direction of PDMCX that may arise after the initial two-year term of the operating agreement that cannot be resolved between the two parties. As of the date of issuance of this report, DNP had not indicated its intention to exercise this right.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May 2, 2021, Photronics and DNP each had net investments in PDMCX of $59.1 million.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demand outlook for both IC and FPD is positive, with growing confidence, as we enter the second half of the year. It appears the trends we have been monitoring over the last few quarters are continuing, and our expectations are solidifying for sequential growth to continue throughout the rest of the year; thus, we are expanding capacity to align with these trends and expand our share of the growing market. As such, while we, as always, caution that our outlook, due to our short backlog (which typically does not exceed two weeks) is limited, we reaffirm our Q4 FY20 expectation for revenue to increase, as a percentage of FY20 revenue, in the high single digits. In addition, we expect margins to continue to improve as revenue growth generally enables contribution margin expansion and we continue to keep costs under control. Additionally, our investment strategy of timing capital expenditures with a robust business environment and customer commitments should minimize negative margin implications from new tools coming online. As a result, we continue to anticipate that operating profit will grow at a rate similar to the 23% increase we experienced in FY20.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16 – Recent Accounting Pronouncements” for recent accounting pronouncements that may impact our financial reporting.</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21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1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primary net foreign currency exposures as of May 2, 2021, included the South Korean won, the Japanese yen, the New Taiwan dollar, the Chinese renminbi, the Singapore dollar, the British pound sterling, and the euro. As of that date, a 10% adverse movement in the value of currencies different than the functional currencies of our subsidiaries would have resulted in a net unrealized pre-tax loss of $34.5 million, which represents an increase of $2.0 million and $2.6 million from our exposures at January 31, 2021 and October 31, 2020, respectively. Our most significant exposures at May 2, 2021, related to the Chinese renminbi and the South Korean won to the U.S. dollar, which were, respectively, $13.2 million and $11.9 million at that date. We do not believe that a 10% change in the exchange rates of non-US dollar currencies, other than the aforementioned currencies and the Japanese Yen, would have had a material effect on our May 2, 2021,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May 2, 2021 condensed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May 2, 2021. We have established and currently maintain disclosure controls and procedures, as such term is defined in Rules 13a-15(e) and 15d-15(e) of the Exchange Act, designed to provide reasonable assurance that information required to be disclosed in our reports filed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Based on an evaluation of our disclosure controls and procedures as of May 2, 2021, our chief executive officer and chief financial officer concluded that, as of such date, our disclosure controls and procedures were not effective due to a material weakness in our internal control over financial reporting as discussed below.</w:t>
      </w:r>
    </w:p>
    <w:p>
      <w:pPr>
        <w:spacing w:after="0" w:line="19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Based on our prior assessment as of October 31, 2020, management concluded that our internal control over financial reporting was not effective due to a material weakness relating to the accuracy and completeness of information used in monitoring compliance with covenants stipulated by the Company’s debt agreements. This material weakness has not been remediated as of May 2, 2021.</w:t>
      </w:r>
    </w:p>
    <w:p>
      <w:pPr>
        <w:spacing w:after="0" w:line="21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Notwithstanding this material weakness, our management, including our chief executive officer and chief financial officer, has concluded that our financial statements included in this Form 10-Q present fairly, in all material respects, our financial position, results of operations, and cash flows for the periods presented in accordance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256"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Our management is committed to maintaining a strong internal control environment and implementing measures designed to help ensure that the material weakness is remediated as soon as possible. Management is in the process of designing and implementing a remediation plan to address the material weaknesses referred to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Except for changes made in connection with our implementation of the remediation efforts mentioned above, there have been no other changes in our internal control over financial reporting during the fiscal quarter ended May 2, 2021, that have materially affected, or are reasonably likely to materially affect, our internal control over financial reporting.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15 within Item 1 of this report for information on legal proceedings involving the Company.</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14, 2020, and all 1.7 million shares repurchased under this program during fiscal 2020, were retired in October 2020. The following table presents information on our common stock repurchase activity for the second fiscal quarter of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r>
      <w:tr>
        <w:trPr>
          <w:trHeight w:val="241"/>
        </w:trPr>
        <w:tc>
          <w:tcPr>
            <w:tcW w:w="5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r>
      <w:tr>
        <w:trPr>
          <w:trHeight w:val="39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2021 – February 28,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March 1, 2021 – March 28, 2021</w:t>
            </w: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12.11</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29, 2021 – May 2,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r>
      <w:tr>
        <w:trPr>
          <w:trHeight w:val="27"/>
        </w:trPr>
        <w:tc>
          <w:tcPr>
            <w:tcW w:w="52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0.1 million shares were repurchased during this period.</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This repurchase program was terminated on March 20, 2020. All shares repurchased under this program were retired in the year of their repurchase. The following table presents information on our common stock repurchase activity for the second fiscal quarter of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r>
      <w:tr>
        <w:trPr>
          <w:trHeight w:val="241"/>
        </w:trPr>
        <w:tc>
          <w:tcPr>
            <w:tcW w:w="5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r>
      <w:tr>
        <w:trPr>
          <w:trHeight w:val="39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3, 2020 – March 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March 2, 2020 – March 29, 2020</w:t>
            </w: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595"/>
        </w:trPr>
        <w:tc>
          <w:tcPr>
            <w:tcW w:w="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60" w:type="dxa"/>
            <w:vAlign w:val="bottom"/>
          </w:tcPr>
          <w:p>
            <w:pPr>
              <w:jc w:val="right"/>
              <w:ind w:right="413"/>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2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7"/>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510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2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5200" w:type="dxa"/>
            <w:vAlign w:val="bottom"/>
            <w:gridSpan w:val="4"/>
          </w:tcPr>
          <w:p>
            <w:pPr>
              <w:ind w:left="60"/>
              <w:spacing w:after="0"/>
              <w:rPr>
                <w:sz w:val="20"/>
                <w:szCs w:val="20"/>
                <w:color w:val="auto"/>
              </w:rPr>
            </w:pPr>
            <w:r>
              <w:rPr>
                <w:rFonts w:ascii="Arial" w:cs="Arial" w:eastAsia="Arial" w:hAnsi="Arial"/>
                <w:sz w:val="18"/>
                <w:szCs w:val="18"/>
                <w:b w:val="1"/>
                <w:bCs w:val="1"/>
                <w:color w:val="auto"/>
              </w:rPr>
              <w:t>EXHIBITS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4"/>
              </w:rPr>
              <w:t>Incorporated by Reference</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4"/>
            <w:vMerge w:val="restart"/>
          </w:tcPr>
          <w:p>
            <w:pPr>
              <w:jc w:val="center"/>
              <w:ind w:right="380"/>
              <w:spacing w:after="0"/>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6"/>
              </w:rPr>
              <w:t>File</w:t>
            </w:r>
          </w:p>
        </w:tc>
        <w:tc>
          <w:tcPr>
            <w:tcW w:w="3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Filing</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1"/>
              </w:rPr>
              <w:t>Furnished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5"/>
          </w:tcPr>
          <w:p>
            <w:pPr>
              <w:jc w:val="center"/>
              <w:ind w:right="60"/>
              <w:spacing w:after="0" w:line="196" w:lineRule="exact"/>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76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Form</w:t>
            </w:r>
          </w:p>
        </w:tc>
        <w:tc>
          <w:tcPr>
            <w:tcW w:w="1220" w:type="dxa"/>
            <w:vAlign w:val="bottom"/>
            <w:gridSpan w:val="5"/>
          </w:tcPr>
          <w:p>
            <w:pPr>
              <w:jc w:val="center"/>
              <w:ind w:left="50"/>
              <w:spacing w:after="0" w:line="196" w:lineRule="exact"/>
              <w:rPr>
                <w:sz w:val="20"/>
                <w:szCs w:val="20"/>
                <w:color w:val="auto"/>
              </w:rPr>
            </w:pPr>
            <w:r>
              <w:rPr>
                <w:rFonts w:ascii="Arial" w:cs="Arial" w:eastAsia="Arial" w:hAnsi="Arial"/>
                <w:sz w:val="18"/>
                <w:szCs w:val="18"/>
                <w:b w:val="1"/>
                <w:bCs w:val="1"/>
                <w:color w:val="auto"/>
                <w:w w:val="94"/>
              </w:rPr>
              <w:t>Number</w:t>
            </w:r>
          </w:p>
        </w:tc>
        <w:tc>
          <w:tcPr>
            <w:tcW w:w="104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620" w:type="dxa"/>
            <w:vAlign w:val="bottom"/>
            <w:gridSpan w:val="4"/>
          </w:tcPr>
          <w:p>
            <w:pPr>
              <w:jc w:val="center"/>
              <w:ind w:right="140"/>
              <w:spacing w:after="0" w:line="196" w:lineRule="exact"/>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7"/>
                <w:szCs w:val="17"/>
                <w:color w:val="auto"/>
              </w:rPr>
            </w:pPr>
          </w:p>
        </w:tc>
        <w:tc>
          <w:tcPr>
            <w:tcW w:w="1080" w:type="dxa"/>
            <w:vAlign w:val="bottom"/>
            <w:gridSpan w:val="6"/>
          </w:tcPr>
          <w:p>
            <w:pPr>
              <w:jc w:val="center"/>
              <w:ind w:right="280"/>
              <w:spacing w:after="0" w:line="196" w:lineRule="exact"/>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Executive Officer pursuant to Rule 13a-</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14(a)/15d-14(a) of the Exchange Act, as adopted pursuant to Section</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302 of the Sarbanes-Oxley Act of 2002.</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Financial Officer pursuant to Rule 13a-</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14(a)/15d-14(a) of the Exchange Act, as adopted pursuant to Section</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302 of the Sarbanes-Oxley Act of 2002.</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Executive Officer pursuant to 18 U.S.C.</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Certification of Chief Financial Officer pursuant to 18 U.S.C. Section</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1350, as adopted pursuant to Section 906 of the Sarbanes-Oxley Act</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of 2002.</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101.CAL</w:t>
            </w:r>
          </w:p>
        </w:tc>
        <w:tc>
          <w:tcPr>
            <w:tcW w:w="10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right="280" w:firstLine="324"/>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P. JORDAN</w:t>
            </w:r>
          </w:p>
        </w:tc>
        <w:tc>
          <w:tcPr>
            <w:tcW w:w="1520" w:type="dxa"/>
            <w:vAlign w:val="bottom"/>
          </w:tcPr>
          <w:p>
            <w:pPr>
              <w:ind w:left="1140"/>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RIVERA</w:t>
            </w:r>
          </w:p>
        </w:tc>
      </w:tr>
      <w:tr>
        <w:trPr>
          <w:trHeight w:val="202"/>
        </w:trPr>
        <w:tc>
          <w:tcPr>
            <w:tcW w:w="420" w:type="dxa"/>
            <w:vAlign w:val="bottom"/>
          </w:tcPr>
          <w:p>
            <w:pPr>
              <w:spacing w:after="0"/>
              <w:rPr>
                <w:sz w:val="17"/>
                <w:szCs w:val="17"/>
                <w:color w:val="auto"/>
              </w:rPr>
            </w:pPr>
          </w:p>
        </w:tc>
        <w:tc>
          <w:tcPr>
            <w:tcW w:w="2960" w:type="dxa"/>
            <w:vAlign w:val="bottom"/>
          </w:tcPr>
          <w:p>
            <w:pPr>
              <w:jc w:val="center"/>
              <w:spacing w:after="0" w:line="201" w:lineRule="exact"/>
              <w:rPr>
                <w:sz w:val="20"/>
                <w:szCs w:val="20"/>
                <w:color w:val="auto"/>
              </w:rPr>
            </w:pPr>
            <w:r>
              <w:rPr>
                <w:rFonts w:ascii="Arial" w:cs="Arial" w:eastAsia="Arial" w:hAnsi="Arial"/>
                <w:sz w:val="18"/>
                <w:szCs w:val="18"/>
                <w:color w:val="auto"/>
                <w:w w:val="93"/>
              </w:rPr>
              <w:t>JOHN P. JORDAN</w:t>
            </w:r>
          </w:p>
        </w:tc>
        <w:tc>
          <w:tcPr>
            <w:tcW w:w="152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97"/>
              </w:rPr>
              <w:t>ERIC RIVERA</w:t>
            </w:r>
          </w:p>
        </w:tc>
      </w:tr>
      <w:tr>
        <w:trPr>
          <w:trHeight w:val="216"/>
        </w:trPr>
        <w:tc>
          <w:tcPr>
            <w:tcW w:w="4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Executive Vice President,</w:t>
            </w:r>
          </w:p>
        </w:tc>
        <w:tc>
          <w:tcPr>
            <w:tcW w:w="15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Vice President,</w:t>
            </w:r>
          </w:p>
        </w:tc>
      </w:tr>
      <w:tr>
        <w:trPr>
          <w:trHeight w:val="216"/>
        </w:trPr>
        <w:tc>
          <w:tcPr>
            <w:tcW w:w="4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5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r>
      <w:tr>
        <w:trPr>
          <w:trHeight w:val="230"/>
        </w:trPr>
        <w:tc>
          <w:tcPr>
            <w:tcW w:w="4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5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color w:val="auto"/>
              </w:rPr>
              <w:t>Date: June 9, 2021</w:t>
            </w:r>
          </w:p>
        </w:tc>
        <w:tc>
          <w:tcPr>
            <w:tcW w:w="4500" w:type="dxa"/>
            <w:vAlign w:val="bottom"/>
            <w:gridSpan w:val="2"/>
          </w:tcPr>
          <w:p>
            <w:pPr>
              <w:ind w:left="1140"/>
              <w:spacing w:after="0"/>
              <w:rPr>
                <w:sz w:val="20"/>
                <w:szCs w:val="20"/>
                <w:color w:val="auto"/>
              </w:rPr>
            </w:pPr>
            <w:r>
              <w:rPr>
                <w:rFonts w:ascii="Arial" w:cs="Arial" w:eastAsia="Arial" w:hAnsi="Arial"/>
                <w:sz w:val="18"/>
                <w:szCs w:val="18"/>
                <w:color w:val="auto"/>
              </w:rPr>
              <w:t>Date: June 9, 2021</w:t>
            </w:r>
          </w:p>
        </w:tc>
      </w:tr>
      <w:tr>
        <w:trPr>
          <w:trHeight w:val="892"/>
        </w:trPr>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80" w:type="dxa"/>
            <w:vAlign w:val="bottom"/>
          </w:tcPr>
          <w:p>
            <w:pPr>
              <w:jc w:val="right"/>
              <w:ind w:right="2093"/>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1">
            <w:col w:w="11240"/>
          </w:cols>
          <w:pgMar w:left="320" w:top="113"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Peter S. Kirlin, certify that:</w:t>
      </w:r>
    </w:p>
    <w:p>
      <w:pPr>
        <w:spacing w:after="0" w:line="24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00" w:hanging="328"/>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40" w:hanging="328"/>
        <w:spacing w:after="0" w:line="34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00" w:hanging="328"/>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John P. Jordan, certify that:</w:t>
      </w:r>
    </w:p>
    <w:p>
      <w:pPr>
        <w:spacing w:after="0" w:line="24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0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40" w:hanging="328"/>
        <w:spacing w:after="0" w:line="342"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0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Peter S. Kirlin, Chief Executive Officer of Photronics, Inc. (the “Company”), certify, to my knowledge, pursuant to Section 906 of the Sarbanes-Oxley Act of 2002, 18 U.S.C. Section 1350, that:</w:t>
      </w:r>
    </w:p>
    <w:p>
      <w:pPr>
        <w:spacing w:after="0" w:line="209" w:lineRule="exact"/>
        <w:rPr>
          <w:sz w:val="20"/>
          <w:szCs w:val="20"/>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2,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39"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I, John P. Jordan, Chief Financial Officer of Photronics, Inc. (the “Company”), certify, to my knowledge, pursuant to Section 906 of the Sarbanes-Oxley Act of 2002, 18 U.S.C. Section 1350, that:</w:t>
      </w:r>
    </w:p>
    <w:p>
      <w:pPr>
        <w:spacing w:after="0" w:line="209"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2,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35" Type="http://schemas.openxmlformats.org/officeDocument/2006/relationships/hyperlink" Target="https://www.sec.gov/ix?doc=/Archives/edgar/data/810136/000114036121001225/brhc10018426_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2021-06-09T14:16:27Z</dcterms:created>
  <dcterms:modified xsi:type="dcterms:W3CDTF">2021-06-09T14:16:27Z</dcterms:modified>
</cp:coreProperties>
</file>