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8"/>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ind w:right="-408"/>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408"/>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408"/>
        <w:spacing w:after="0"/>
        <w:rPr>
          <w:sz w:val="20"/>
          <w:szCs w:val="20"/>
          <w:color w:val="auto"/>
        </w:rPr>
      </w:pPr>
      <w:r>
        <w:rPr>
          <w:rFonts w:ascii="Arial" w:cs="Arial" w:eastAsia="Arial" w:hAnsi="Arial"/>
          <w:sz w:val="32"/>
          <w:szCs w:val="32"/>
          <w:b w:val="1"/>
          <w:bCs w:val="1"/>
          <w:color w:val="auto"/>
        </w:rPr>
        <w:t>FORM 10-K</w:t>
      </w:r>
    </w:p>
    <w:p>
      <w:pPr>
        <w:spacing w:after="0" w:line="263" w:lineRule="exact"/>
        <w:rPr>
          <w:sz w:val="24"/>
          <w:szCs w:val="24"/>
          <w:color w:val="auto"/>
        </w:rPr>
      </w:pPr>
    </w:p>
    <w:p>
      <w:pPr>
        <w:ind w:left="3909" w:right="1540" w:hanging="3909"/>
        <w:spacing w:after="0" w:line="282" w:lineRule="auto"/>
        <w:tabs>
          <w:tab w:leader="none" w:pos="274" w:val="left"/>
        </w:tabs>
        <w:numPr>
          <w:ilvl w:val="0"/>
          <w:numId w:val="1"/>
        </w:numPr>
        <w:rPr>
          <w:rFonts w:ascii="Arial" w:cs="Arial" w:eastAsia="Arial" w:hAnsi="Arial"/>
          <w:sz w:val="16"/>
          <w:szCs w:val="16"/>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November 3, 2013</w:t>
      </w:r>
    </w:p>
    <w:p>
      <w:pPr>
        <w:spacing w:after="0" w:line="162" w:lineRule="exact"/>
        <w:rPr>
          <w:sz w:val="24"/>
          <w:szCs w:val="24"/>
          <w:color w:val="auto"/>
        </w:rPr>
      </w:pPr>
    </w:p>
    <w:p>
      <w:pPr>
        <w:jc w:val="center"/>
        <w:ind w:right="-408"/>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029" w:right="1160" w:hanging="4029"/>
        <w:spacing w:after="0" w:line="282" w:lineRule="auto"/>
        <w:tabs>
          <w:tab w:leader="none" w:pos="287" w:val="left"/>
        </w:tabs>
        <w:numPr>
          <w:ilvl w:val="0"/>
          <w:numId w:val="2"/>
        </w:numPr>
        <w:rPr>
          <w:rFonts w:ascii="Arial" w:cs="Arial" w:eastAsia="Arial" w:hAnsi="Arial"/>
          <w:sz w:val="16"/>
          <w:szCs w:val="16"/>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spacing w:after="0" w:line="189" w:lineRule="exact"/>
        <w:rPr>
          <w:sz w:val="24"/>
          <w:szCs w:val="24"/>
          <w:color w:val="auto"/>
        </w:rPr>
      </w:pPr>
    </w:p>
    <w:p>
      <w:pPr>
        <w:jc w:val="center"/>
        <w:ind w:right="-408"/>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3258820</wp:posOffset>
            </wp:positionH>
            <wp:positionV relativeFrom="paragraph">
              <wp:posOffset>172085</wp:posOffset>
            </wp:positionV>
            <wp:extent cx="471805" cy="523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180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3489"/>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ind w:left="362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409" w:type="dxa"/>
        <w:tblCellMar>
          <w:top w:w="0" w:type="dxa"/>
          <w:left w:w="0" w:type="dxa"/>
          <w:bottom w:w="0" w:type="dxa"/>
          <w:right w:w="0" w:type="dxa"/>
        </w:tblCellMar>
      </w:tblPr>
      <w:tr>
        <w:trPr>
          <w:trHeight w:val="220"/>
        </w:trPr>
        <w:tc>
          <w:tcPr>
            <w:tcW w:w="5360" w:type="dxa"/>
            <w:vAlign w:val="bottom"/>
          </w:tcPr>
          <w:p>
            <w:pPr>
              <w:jc w:val="center"/>
              <w:ind w:right="890"/>
              <w:spacing w:after="0"/>
              <w:rPr>
                <w:sz w:val="20"/>
                <w:szCs w:val="20"/>
                <w:color w:val="auto"/>
              </w:rPr>
            </w:pPr>
            <w:r>
              <w:rPr>
                <w:rFonts w:ascii="Arial" w:cs="Arial" w:eastAsia="Arial" w:hAnsi="Arial"/>
                <w:sz w:val="18"/>
                <w:szCs w:val="18"/>
                <w:b w:val="1"/>
                <w:bCs w:val="1"/>
                <w:color w:val="auto"/>
                <w:w w:val="90"/>
              </w:rPr>
              <w:t>Connecticut</w:t>
            </w:r>
          </w:p>
        </w:tc>
        <w:tc>
          <w:tcPr>
            <w:tcW w:w="432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06-0854886</w:t>
            </w:r>
          </w:p>
        </w:tc>
      </w:tr>
      <w:tr>
        <w:trPr>
          <w:trHeight w:val="230"/>
        </w:trPr>
        <w:tc>
          <w:tcPr>
            <w:tcW w:w="5360" w:type="dxa"/>
            <w:vAlign w:val="bottom"/>
          </w:tcPr>
          <w:p>
            <w:pPr>
              <w:jc w:val="center"/>
              <w:ind w:right="89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4320" w:type="dxa"/>
            <w:vAlign w:val="bottom"/>
          </w:tcPr>
          <w:p>
            <w:pPr>
              <w:jc w:val="center"/>
              <w:ind w:left="87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5360" w:type="dxa"/>
            <w:vAlign w:val="bottom"/>
          </w:tcPr>
          <w:p>
            <w:pPr>
              <w:jc w:val="center"/>
              <w:ind w:right="89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4320" w:type="dxa"/>
            <w:vAlign w:val="bottom"/>
          </w:tcPr>
          <w:p>
            <w:pPr>
              <w:jc w:val="center"/>
              <w:ind w:left="870"/>
              <w:spacing w:after="0"/>
              <w:rPr>
                <w:sz w:val="20"/>
                <w:szCs w:val="20"/>
                <w:color w:val="auto"/>
              </w:rPr>
            </w:pPr>
            <w:r>
              <w:rPr>
                <w:rFonts w:ascii="Arial" w:cs="Arial" w:eastAsia="Arial" w:hAnsi="Arial"/>
                <w:sz w:val="18"/>
                <w:szCs w:val="18"/>
                <w:b w:val="1"/>
                <w:bCs w:val="1"/>
                <w:color w:val="auto"/>
                <w:w w:val="87"/>
              </w:rPr>
              <w:t>06804</w:t>
            </w:r>
          </w:p>
        </w:tc>
      </w:tr>
      <w:tr>
        <w:trPr>
          <w:trHeight w:val="230"/>
        </w:trPr>
        <w:tc>
          <w:tcPr>
            <w:tcW w:w="5360" w:type="dxa"/>
            <w:vAlign w:val="bottom"/>
          </w:tcPr>
          <w:p>
            <w:pPr>
              <w:jc w:val="center"/>
              <w:ind w:right="89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320" w:type="dxa"/>
            <w:vAlign w:val="bottom"/>
          </w:tcPr>
          <w:p>
            <w:pPr>
              <w:jc w:val="center"/>
              <w:ind w:left="89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5360" w:type="dxa"/>
            <w:vAlign w:val="bottom"/>
          </w:tcPr>
          <w:p>
            <w:pPr>
              <w:jc w:val="center"/>
              <w:ind w:right="890"/>
              <w:spacing w:after="0"/>
              <w:rPr>
                <w:sz w:val="20"/>
                <w:szCs w:val="20"/>
                <w:color w:val="auto"/>
              </w:rPr>
            </w:pPr>
            <w:r>
              <w:rPr>
                <w:rFonts w:ascii="Arial" w:cs="Arial" w:eastAsia="Arial" w:hAnsi="Arial"/>
                <w:sz w:val="18"/>
                <w:szCs w:val="18"/>
                <w:color w:val="auto"/>
                <w:w w:val="89"/>
              </w:rPr>
              <w:t>Registrant's telephone number, including area code</w:t>
            </w:r>
          </w:p>
        </w:tc>
        <w:tc>
          <w:tcPr>
            <w:tcW w:w="432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(203) 775-9000</w:t>
            </w:r>
          </w:p>
        </w:tc>
      </w:tr>
      <w:tr>
        <w:trPr>
          <w:trHeight w:val="441"/>
        </w:trPr>
        <w:tc>
          <w:tcPr>
            <w:tcW w:w="9680" w:type="dxa"/>
            <w:vAlign w:val="bottom"/>
            <w:gridSpan w:val="2"/>
          </w:tcPr>
          <w:p>
            <w:pPr>
              <w:ind w:left="3020"/>
              <w:spacing w:after="0"/>
              <w:rPr>
                <w:sz w:val="20"/>
                <w:szCs w:val="20"/>
                <w:color w:val="auto"/>
              </w:rPr>
            </w:pPr>
            <w:r>
              <w:rPr>
                <w:rFonts w:ascii="Arial" w:cs="Arial" w:eastAsia="Arial" w:hAnsi="Arial"/>
                <w:sz w:val="18"/>
                <w:szCs w:val="18"/>
                <w:i w:val="1"/>
                <w:iCs w:val="1"/>
                <w:color w:val="auto"/>
              </w:rPr>
              <w:t>Securities registered pursuant to Section 12(b) of the Act:</w:t>
            </w:r>
          </w:p>
        </w:tc>
      </w:tr>
      <w:tr>
        <w:trPr>
          <w:trHeight w:val="220"/>
        </w:trPr>
        <w:tc>
          <w:tcPr>
            <w:tcW w:w="5360" w:type="dxa"/>
            <w:vAlign w:val="bottom"/>
          </w:tcPr>
          <w:p>
            <w:pPr>
              <w:jc w:val="center"/>
              <w:ind w:right="890"/>
              <w:spacing w:after="0"/>
              <w:rPr>
                <w:sz w:val="20"/>
                <w:szCs w:val="20"/>
                <w:color w:val="auto"/>
              </w:rPr>
            </w:pPr>
            <w:r>
              <w:rPr>
                <w:rFonts w:ascii="Arial" w:cs="Arial" w:eastAsia="Arial" w:hAnsi="Arial"/>
                <w:sz w:val="18"/>
                <w:szCs w:val="18"/>
                <w:b w:val="1"/>
                <w:bCs w:val="1"/>
                <w:color w:val="auto"/>
                <w:w w:val="86"/>
              </w:rPr>
              <w:t>Title of each class</w:t>
            </w:r>
          </w:p>
        </w:tc>
        <w:tc>
          <w:tcPr>
            <w:tcW w:w="4320" w:type="dxa"/>
            <w:vAlign w:val="bottom"/>
          </w:tcPr>
          <w:p>
            <w:pPr>
              <w:jc w:val="center"/>
              <w:ind w:left="8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360" w:type="dxa"/>
            <w:vAlign w:val="bottom"/>
          </w:tcPr>
          <w:p>
            <w:pPr>
              <w:jc w:val="center"/>
              <w:ind w:right="870"/>
              <w:spacing w:after="0"/>
              <w:rPr>
                <w:sz w:val="20"/>
                <w:szCs w:val="20"/>
                <w:color w:val="auto"/>
              </w:rPr>
            </w:pPr>
            <w:r>
              <w:rPr>
                <w:rFonts w:ascii="Arial" w:cs="Arial" w:eastAsia="Arial" w:hAnsi="Arial"/>
                <w:sz w:val="18"/>
                <w:szCs w:val="18"/>
                <w:color w:val="auto"/>
                <w:w w:val="90"/>
              </w:rPr>
              <w:t>Common Stock, $.01 par value</w:t>
            </w:r>
          </w:p>
        </w:tc>
        <w:tc>
          <w:tcPr>
            <w:tcW w:w="4320" w:type="dxa"/>
            <w:vAlign w:val="bottom"/>
          </w:tcPr>
          <w:p>
            <w:pPr>
              <w:jc w:val="center"/>
              <w:ind w:left="890"/>
              <w:spacing w:after="0"/>
              <w:rPr>
                <w:sz w:val="20"/>
                <w:szCs w:val="20"/>
                <w:color w:val="auto"/>
              </w:rPr>
            </w:pPr>
            <w:r>
              <w:rPr>
                <w:rFonts w:ascii="Arial" w:cs="Arial" w:eastAsia="Arial" w:hAnsi="Arial"/>
                <w:sz w:val="18"/>
                <w:szCs w:val="18"/>
                <w:color w:val="auto"/>
                <w:w w:val="94"/>
              </w:rPr>
              <w:t>NASDAQ Global Select Market</w:t>
            </w:r>
          </w:p>
        </w:tc>
      </w:tr>
    </w:tbl>
    <w:p>
      <w:pPr>
        <w:spacing w:after="0" w:line="229" w:lineRule="exact"/>
        <w:rPr>
          <w:sz w:val="24"/>
          <w:szCs w:val="24"/>
          <w:color w:val="auto"/>
        </w:rPr>
      </w:pPr>
    </w:p>
    <w:p>
      <w:pPr>
        <w:jc w:val="center"/>
        <w:ind w:right="-488"/>
        <w:spacing w:after="0"/>
        <w:rPr>
          <w:sz w:val="20"/>
          <w:szCs w:val="20"/>
          <w:color w:val="auto"/>
        </w:rPr>
      </w:pPr>
      <w:r>
        <w:rPr>
          <w:rFonts w:ascii="Arial" w:cs="Arial" w:eastAsia="Arial" w:hAnsi="Arial"/>
          <w:sz w:val="18"/>
          <w:szCs w:val="18"/>
          <w:i w:val="1"/>
          <w:iCs w:val="1"/>
          <w:color w:val="auto"/>
        </w:rPr>
        <w:t>Securities registered pursuant to Section 12(g) of the Act:</w:t>
      </w:r>
    </w:p>
    <w:p>
      <w:pPr>
        <w:spacing w:after="0" w:line="23" w:lineRule="exact"/>
        <w:rPr>
          <w:sz w:val="24"/>
          <w:szCs w:val="24"/>
          <w:color w:val="auto"/>
        </w:rPr>
      </w:pPr>
    </w:p>
    <w:p>
      <w:pPr>
        <w:jc w:val="center"/>
        <w:ind w:right="-488"/>
        <w:spacing w:after="0"/>
        <w:rPr>
          <w:sz w:val="20"/>
          <w:szCs w:val="20"/>
          <w:color w:val="auto"/>
        </w:rPr>
      </w:pPr>
      <w:r>
        <w:rPr>
          <w:rFonts w:ascii="Arial" w:cs="Arial" w:eastAsia="Arial" w:hAnsi="Arial"/>
          <w:sz w:val="18"/>
          <w:szCs w:val="18"/>
          <w:b w:val="1"/>
          <w:bCs w:val="1"/>
          <w:color w:val="auto"/>
        </w:rPr>
        <w:t>None</w:t>
      </w:r>
    </w:p>
    <w:p>
      <w:pPr>
        <w:spacing w:after="0" w:line="238" w:lineRule="exact"/>
        <w:rPr>
          <w:sz w:val="24"/>
          <w:szCs w:val="24"/>
          <w:color w:val="auto"/>
        </w:rPr>
      </w:pPr>
    </w:p>
    <w:p>
      <w:pPr>
        <w:ind w:left="529"/>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ind w:left="52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16"/>
          <w:szCs w:val="16"/>
          <w:color w:val="auto"/>
        </w:rPr>
        <w:t>o</w:t>
      </w:r>
      <w:r>
        <w:rPr>
          <w:rFonts w:ascii="Arial" w:cs="Arial" w:eastAsia="Arial" w:hAnsi="Arial"/>
          <w:sz w:val="18"/>
          <w:szCs w:val="18"/>
          <w:color w:val="auto"/>
        </w:rPr>
        <w:t xml:space="preserve"> No </w:t>
      </w:r>
      <w:r>
        <w:rPr>
          <w:rFonts w:ascii="Arial" w:cs="Arial" w:eastAsia="Arial" w:hAnsi="Arial"/>
          <w:sz w:val="16"/>
          <w:szCs w:val="16"/>
          <w:color w:val="auto"/>
        </w:rPr>
        <w:t>x</w:t>
      </w:r>
    </w:p>
    <w:p>
      <w:pPr>
        <w:spacing w:after="0" w:line="238" w:lineRule="exact"/>
        <w:rPr>
          <w:sz w:val="24"/>
          <w:szCs w:val="24"/>
          <w:color w:val="auto"/>
        </w:rPr>
      </w:pPr>
    </w:p>
    <w:p>
      <w:pPr>
        <w:ind w:left="529" w:right="1480"/>
        <w:spacing w:after="0" w:line="277" w:lineRule="auto"/>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Arial" w:cs="Arial" w:eastAsia="Arial" w:hAnsi="Arial"/>
          <w:sz w:val="16"/>
          <w:szCs w:val="16"/>
          <w:color w:val="auto"/>
        </w:rPr>
        <w:t>o</w:t>
      </w:r>
      <w:r>
        <w:rPr>
          <w:rFonts w:ascii="Arial" w:cs="Arial" w:eastAsia="Arial" w:hAnsi="Arial"/>
          <w:sz w:val="18"/>
          <w:szCs w:val="18"/>
          <w:color w:val="auto"/>
        </w:rPr>
        <w:t xml:space="preserve"> No </w:t>
      </w:r>
      <w:r>
        <w:rPr>
          <w:rFonts w:ascii="Arial" w:cs="Arial" w:eastAsia="Arial" w:hAnsi="Arial"/>
          <w:sz w:val="16"/>
          <w:szCs w:val="16"/>
          <w:color w:val="auto"/>
        </w:rPr>
        <w:t>x</w:t>
      </w:r>
    </w:p>
    <w:p>
      <w:pPr>
        <w:spacing w:after="0" w:line="197" w:lineRule="exact"/>
        <w:rPr>
          <w:sz w:val="24"/>
          <w:szCs w:val="24"/>
          <w:color w:val="auto"/>
        </w:rPr>
      </w:pPr>
    </w:p>
    <w:p>
      <w:pPr>
        <w:ind w:left="529" w:right="120"/>
        <w:spacing w:after="0" w:line="29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ind w:left="529" w:right="5160" w:hanging="3"/>
        <w:spacing w:after="0" w:line="261" w:lineRule="auto"/>
        <w:tabs>
          <w:tab w:leader="none" w:pos="78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has been subject to such filing requirements for the past 90 days. Yes </w:t>
      </w:r>
      <w:r>
        <w:rPr>
          <w:rFonts w:ascii="Arial" w:cs="Arial" w:eastAsia="Arial" w:hAnsi="Arial"/>
          <w:sz w:val="16"/>
          <w:szCs w:val="16"/>
          <w:color w:val="auto"/>
        </w:rPr>
        <w:t>x</w:t>
      </w:r>
      <w:r>
        <w:rPr>
          <w:rFonts w:ascii="Arial" w:cs="Arial" w:eastAsia="Arial" w:hAnsi="Arial"/>
          <w:sz w:val="18"/>
          <w:szCs w:val="18"/>
          <w:color w:val="auto"/>
        </w:rPr>
        <w:t xml:space="preserve"> No </w:t>
      </w:r>
      <w:r>
        <w:rPr>
          <w:rFonts w:ascii="Arial" w:cs="Arial" w:eastAsia="Arial" w:hAnsi="Arial"/>
          <w:sz w:val="16"/>
          <w:szCs w:val="16"/>
          <w:color w:val="auto"/>
        </w:rPr>
        <w:t>o</w:t>
      </w:r>
    </w:p>
    <w:p>
      <w:pPr>
        <w:spacing w:after="0" w:line="211" w:lineRule="exact"/>
        <w:rPr>
          <w:sz w:val="24"/>
          <w:szCs w:val="24"/>
          <w:color w:val="auto"/>
        </w:rPr>
      </w:pPr>
    </w:p>
    <w:p>
      <w:pPr>
        <w:ind w:left="529" w:right="220"/>
        <w:spacing w:after="0" w:line="259"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8"/>
          <w:szCs w:val="18"/>
          <w:color w:val="auto"/>
        </w:rPr>
        <w:t xml:space="preserve"> No </w:t>
      </w:r>
      <w:r>
        <w:rPr>
          <w:rFonts w:ascii="Arial" w:cs="Arial" w:eastAsia="Arial" w:hAnsi="Arial"/>
          <w:sz w:val="16"/>
          <w:szCs w:val="16"/>
          <w:color w:val="auto"/>
        </w:rPr>
        <w:t>o</w:t>
      </w:r>
    </w:p>
    <w:p>
      <w:pPr>
        <w:spacing w:after="0" w:line="214" w:lineRule="exact"/>
        <w:rPr>
          <w:sz w:val="24"/>
          <w:szCs w:val="24"/>
          <w:color w:val="auto"/>
        </w:rPr>
      </w:pPr>
    </w:p>
    <w:p>
      <w:pPr>
        <w:ind w:left="529"/>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08" w:lineRule="exact"/>
        <w:rPr>
          <w:sz w:val="24"/>
          <w:szCs w:val="24"/>
          <w:color w:val="auto"/>
        </w:rPr>
      </w:pPr>
    </w:p>
    <w:p>
      <w:pPr>
        <w:jc w:val="both"/>
        <w:ind w:left="529" w:right="100"/>
        <w:spacing w:after="0" w:line="286" w:lineRule="auto"/>
        <w:rPr>
          <w:sz w:val="20"/>
          <w:szCs w:val="20"/>
          <w:color w:val="auto"/>
        </w:rPr>
      </w:pPr>
      <w:r>
        <w:rPr>
          <w:rFonts w:ascii="Arial" w:cs="Arial" w:eastAsia="Arial" w:hAnsi="Arial"/>
          <w:sz w:val="17"/>
          <w:szCs w:val="17"/>
          <w:color w:val="auto"/>
        </w:rPr>
        <w:t xml:space="preserve">Indicate by check mark whether the registrant is a large accelerated filer, an accelerated filer, a non-accelerated filer or a smaller reporting company. See definition of "accelerated filer, large accelerated filer” and “smaller reporting company” in Rule 12b-2 of the Exchange Act. Large Accelerated Filer </w:t>
      </w:r>
      <w:r>
        <w:rPr>
          <w:rFonts w:ascii="Arial" w:cs="Arial" w:eastAsia="Arial" w:hAnsi="Arial"/>
          <w:sz w:val="15"/>
          <w:szCs w:val="15"/>
          <w:color w:val="auto"/>
        </w:rPr>
        <w:t>o</w:t>
      </w:r>
      <w:r>
        <w:rPr>
          <w:rFonts w:ascii="Arial" w:cs="Arial" w:eastAsia="Arial" w:hAnsi="Arial"/>
          <w:sz w:val="17"/>
          <w:szCs w:val="17"/>
          <w:color w:val="auto"/>
        </w:rPr>
        <w:t xml:space="preserve"> Accelerated Filer </w:t>
      </w:r>
      <w:r>
        <w:rPr>
          <w:rFonts w:ascii="Arial" w:cs="Arial" w:eastAsia="Arial" w:hAnsi="Arial"/>
          <w:sz w:val="15"/>
          <w:szCs w:val="15"/>
          <w:color w:val="auto"/>
        </w:rPr>
        <w:t>x</w:t>
      </w:r>
      <w:r>
        <w:rPr>
          <w:rFonts w:ascii="Arial" w:cs="Arial" w:eastAsia="Arial" w:hAnsi="Arial"/>
          <w:sz w:val="17"/>
          <w:szCs w:val="17"/>
          <w:color w:val="auto"/>
        </w:rPr>
        <w:t xml:space="preserve"> Non-Accelerated Filer </w:t>
      </w:r>
      <w:r>
        <w:rPr>
          <w:rFonts w:ascii="Arial" w:cs="Arial" w:eastAsia="Arial" w:hAnsi="Arial"/>
          <w:sz w:val="15"/>
          <w:szCs w:val="15"/>
          <w:color w:val="auto"/>
        </w:rPr>
        <w:t>o</w:t>
      </w:r>
      <w:r>
        <w:rPr>
          <w:rFonts w:ascii="Arial" w:cs="Arial" w:eastAsia="Arial" w:hAnsi="Arial"/>
          <w:sz w:val="17"/>
          <w:szCs w:val="17"/>
          <w:color w:val="auto"/>
        </w:rPr>
        <w:t xml:space="preserve"> Smaller Reporting Company </w:t>
      </w:r>
      <w:r>
        <w:rPr>
          <w:rFonts w:ascii="Arial" w:cs="Arial" w:eastAsia="Arial" w:hAnsi="Arial"/>
          <w:sz w:val="15"/>
          <w:szCs w:val="15"/>
          <w:color w:val="auto"/>
        </w:rPr>
        <w:t>o</w:t>
      </w:r>
    </w:p>
    <w:p>
      <w:pPr>
        <w:spacing w:after="0" w:line="193" w:lineRule="exact"/>
        <w:rPr>
          <w:sz w:val="24"/>
          <w:szCs w:val="24"/>
          <w:color w:val="auto"/>
        </w:rPr>
      </w:pPr>
    </w:p>
    <w:p>
      <w:pPr>
        <w:ind w:left="529"/>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2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16"/>
          <w:szCs w:val="16"/>
          <w:color w:val="auto"/>
        </w:rPr>
        <w:t>o</w:t>
      </w:r>
      <w:r>
        <w:rPr>
          <w:rFonts w:ascii="Arial" w:cs="Arial" w:eastAsia="Arial" w:hAnsi="Arial"/>
          <w:sz w:val="18"/>
          <w:szCs w:val="18"/>
          <w:color w:val="auto"/>
        </w:rPr>
        <w:t xml:space="preserve"> No </w:t>
      </w:r>
      <w:r>
        <w:rPr>
          <w:rFonts w:ascii="Arial" w:cs="Arial" w:eastAsia="Arial" w:hAnsi="Arial"/>
          <w:sz w:val="16"/>
          <w:szCs w:val="16"/>
          <w:color w:val="auto"/>
        </w:rPr>
        <w:t>x</w:t>
      </w:r>
    </w:p>
    <w:p>
      <w:pPr>
        <w:spacing w:after="0" w:line="238" w:lineRule="exact"/>
        <w:rPr>
          <w:sz w:val="24"/>
          <w:szCs w:val="24"/>
          <w:color w:val="auto"/>
        </w:rPr>
      </w:pPr>
    </w:p>
    <w:p>
      <w:pPr>
        <w:jc w:val="both"/>
        <w:ind w:left="529" w:right="540"/>
        <w:spacing w:after="0" w:line="286" w:lineRule="auto"/>
        <w:rPr>
          <w:sz w:val="20"/>
          <w:szCs w:val="20"/>
          <w:color w:val="auto"/>
        </w:rPr>
      </w:pPr>
      <w:r>
        <w:rPr>
          <w:rFonts w:ascii="Arial" w:cs="Arial" w:eastAsia="Arial" w:hAnsi="Arial"/>
          <w:sz w:val="17"/>
          <w:szCs w:val="17"/>
          <w:color w:val="auto"/>
        </w:rPr>
        <w:t>As of April 28, 2013, which was the last business day of the registrant's most recently completed second fiscal quarter, the aggregate market value of the shares of the registrant's common stock held by non-affiliates was approximately $445,857,320 (based upon the closing price of $7.49 per share as reported by the NASDAQ Global Select Market on that date).</w:t>
      </w:r>
    </w:p>
    <w:p>
      <w:pPr>
        <w:sectPr>
          <w:pgSz w:w="11900" w:h="16838" w:orient="portrait"/>
          <w:cols w:equalWidth="0" w:num="1">
            <w:col w:w="10609"/>
          </w:cols>
          <w:pgMar w:left="451" w:top="535" w:right="839" w:bottom="0" w:gutter="0" w:footer="0" w:header="0"/>
        </w:sectPr>
      </w:pPr>
    </w:p>
    <w:bookmarkStart w:id="1" w:name="page2"/>
    <w:bookmarkEnd w:id="1"/>
    <w:p>
      <w:pPr>
        <w:ind w:left="740"/>
        <w:spacing w:after="0"/>
        <w:rPr>
          <w:sz w:val="20"/>
          <w:szCs w:val="20"/>
          <w:color w:val="auto"/>
        </w:rPr>
      </w:pPr>
      <w:r>
        <w:rPr>
          <w:rFonts w:ascii="Arial" w:cs="Arial" w:eastAsia="Arial" w:hAnsi="Arial"/>
          <w:sz w:val="16"/>
          <w:szCs w:val="16"/>
          <w:color w:val="auto"/>
        </w:rPr>
        <w:t>As of December 27, 2013, 61,556,948 shares of the registrant's common stock were outstanding.</w:t>
      </w:r>
    </w:p>
    <w:p>
      <w:pPr>
        <w:spacing w:after="0" w:line="271" w:lineRule="exact"/>
        <w:rPr>
          <w:sz w:val="20"/>
          <w:szCs w:val="20"/>
          <w:color w:val="auto"/>
        </w:rPr>
      </w:pPr>
    </w:p>
    <w:p>
      <w:pPr>
        <w:jc w:val="right"/>
        <w:ind w:right="11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for the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of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be held in April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Incorporated into Part III</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this Form 10-K</w:t>
      </w:r>
    </w:p>
    <w:p>
      <w:pPr>
        <w:sectPr>
          <w:pgSz w:w="11900" w:h="16838" w:orient="portrait"/>
          <w:cols w:equalWidth="0" w:num="2">
            <w:col w:w="8880" w:space="720"/>
            <w:col w:w="1800"/>
          </w:cols>
          <w:pgMar w:left="240" w:top="368"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and similar expressions, or the negative of such terms, or other comparable terminology. All forward-looking statements involve risks and uncertainties that are difficult to predict. In particular, any statement contained in this annual report on Form 10-K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future transactions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federal, state and international tax requirements (including tax rate changes, new tax laws and revised tax law interpretations); interest rate and other capital market conditions, including changes in the market price of the Company's securities; foreign currency exchange rate fluctuations; changes in technology; the timing, impact, and other uncertainties of future transactions and acquisitions, divestitures and joint ventures as well as decisions the Company may make in the future regarding the Company’s business, capital and organizational structure and other matters;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Photronics, Inc. is a Connecticut corporation, organized in 1969. Its principal executive offices are located at 15 Secor Road, Brookfield, Connecticut 06804, telephone (203) 775-9000. Photronics, Inc. and its subsidiaries are collectively referred to herein as "Photronics" or the "Company". The Company's website is located at http://www.photronics.com. The Company makes available, free of charge through its website, its annual reports on Form 10-K, quarterly reports on Form 10-Q, current reports on Form 8-K, and amendments to those reports filed or furnished pursuant to Section 13(a) or 15(d) of the Securities Exchange Act of 1934 as soon as reasonably practicable after such materials are electronically filed or furnished to the Securities and Exchange Commission. The information contained or incorporated in the Company's website is not part of these documents.</w:t>
      </w:r>
    </w:p>
    <w:p>
      <w:pPr>
        <w:spacing w:after="0" w:line="19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Photronics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eight manufacturing facilities; two of which are located in Europe, two in Taiwan, one in Korea and three in the United States.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Technology</w:t>
      </w:r>
    </w:p>
    <w:p>
      <w:pPr>
        <w:spacing w:after="0" w:line="256"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The Company manufactures photomasks, which are used as masters to transfer circuit patterns onto semiconductor wafers and flat panel substrates. Photomasks are manufactured in accordance with circuit designs provided on a confidential basis by the Company's customers. IC and FPD photomask sets are manufactured in layers, each having a distinct pattern which is etched onto a different photomask. The resulting series of photomasks is then used to image the circuit patterns onto each successive layer of a semiconductor wafer or flat panel substrate. The typical manufacturing process for a photomask involves the receipt and conversion of circuit design data to manufacturing pattern data. A lithography system then exposes the circuit pattern onto the photomask blank. The exposed areas are developed and etched to produce that pattern on the photomask. The photomask is then inspected for defects and conformity to the customer's design data. After any defects are repaired, the photomask is cleaned using a proprietary process, any required pellicles (protective translucent cellulose membranes) are applied and, after final inspection, the photomask is shipped to the customer.</w:t>
      </w:r>
    </w:p>
    <w:p>
      <w:pPr>
        <w:spacing w:after="0" w:line="19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Company currently supports customers across the full spectrum of IC production and FPD technologies by manufacturing photomasks using electron beam or optical (laser-based) technologies. Electron beam and laser-based systems are the predominant technologies used for photomask manufacturing. These technologies are capable of producing the finer line resolution, tighter overlay and larger die size for the larger and more complex circuits currently being designed. Electron beam and laser generated photomasks can be used to produce the most advanced semiconductors and FPDs for use in an array of products. However, in the case of IC production, electron beam technologies fabricate the large majority of critical layer photomasks. End markets served with IC photomasks include devices used for microprocessors, memory, telecommunications and related applications. The Company currently owns a number of high-end and mature electron beam and laser-based systems. Photomasks produced using laser-based systems are less expensive and less precise than those manufactured on high-end electron beam systems.</w:t>
      </w:r>
    </w:p>
    <w:p>
      <w:pPr>
        <w:spacing w:after="0" w:line="20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first several layers of photomasks are sometimes required to be delivered by the Company within 24 hours from the time it receives customers' design data. The ability to manufacture high quality photomasks within short time periods is dependent upon robust processes, efficient manufacturing methods, high production yield and high equipment reliability. The Company works to meet these requirements by making significant investments in research and development, manufacturing, and data processing systems, and by utilizing statistical process control methods to optimize the manufacturing process and reduce cycle times.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40" w:firstLine="324"/>
        <w:spacing w:after="0" w:line="259" w:lineRule="auto"/>
        <w:rPr>
          <w:sz w:val="20"/>
          <w:szCs w:val="20"/>
          <w:color w:val="auto"/>
        </w:rPr>
      </w:pPr>
      <w:r>
        <w:rPr>
          <w:rFonts w:ascii="Arial" w:cs="Arial" w:eastAsia="Arial" w:hAnsi="Arial"/>
          <w:sz w:val="18"/>
          <w:szCs w:val="18"/>
          <w:color w:val="auto"/>
        </w:rPr>
        <w:t>Quality control is an integral part of the photomask manufacturing process. Photomasks are manufactured in temperature, humidity, and particulate controlled clean rooms because of the high level of precision, quality and manufacturing yield required. Each photomask is inspected several times during the manufacturing process to ensure compliance with customer specifications. The Company continues to make substantial investments in equipment to inspect and repair photomasks to ensure that customer specifications are met.</w:t>
      </w:r>
    </w:p>
    <w:p>
      <w:pPr>
        <w:spacing w:after="0" w:line="21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majority of IC photomasks produced for the semiconductor industry employ geometries of 65 nanometers or larger. At these geometries, the Company can produce full lines of photomasks and there is no significant technology employed by the Company's competitors that is not also available to the Company. The Company is also capable of producing full lines of photomasks for high-end IC and FPD applications. In the case of ICs, this includes photomasks at and below the 45 nanometer technology node and, for FPDs, at and above the Generation 8 technology node and active-matrix organic light-emitting diode (AMOLED) display screens. The Company has access to technology and customer qualified manufacturing capability that allows it to compete in high-end markets, serving both IC and FPD applications.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market for photomasks primarily consists of domestic and international semiconductor and FPD manufacturers and designers, including a limited number of manufacturers who have the capability to internally manufacture photomasks. Photomasks are manufactured by independent merchant manufacturers like Photronics, and by semiconductor and FPD manufacturers that produce photomasks exclusively for their own use (captive manufacturers). Previously there was a trend towards the divesture or closing of captive photomask operations by semiconductor manufacturers and an increase in the share of the market served by independent manufacturers. This trend was driven by the increased complexity and cost of capital equipment used in manufacturing photomasks and the lack of economy of scale for many semiconductor and FPD manufacturers to effectively utilize the equipment. However, more recently the remaining and largest captive mask facilities have started investing at faster rates than independent manufacturers to capture certain roadmap requirements. Nevertheless, most captives maintain business and technology relationships with independent photomask manufacturers for ongoing support.</w:t>
      </w:r>
    </w:p>
    <w:p>
      <w:pPr>
        <w:spacing w:after="0" w:line="193"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Generally, the Company and each of its customers engage in a qualification and correlation process before the Company becomes an approved supplier. Thereafter, the Company typically negotiates pricing parameters for a customer's orders based on the customer's specifications. Some prices may remain in effect for an extended period of time. In some instances, the Company enters into sales arrangements with an understanding that, as long as the Company's performance is competitive, the Company will receive a specified percentage of that customer's photomask requirements.</w:t>
      </w:r>
    </w:p>
    <w:p>
      <w:pPr>
        <w:spacing w:after="0" w:line="1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 conducts its sales and marketing activities primarily through a staff of full-time sales personnel and customer service representatives who work closely with the Company's management and technical personnel. In addition to the sales personnel at the Company's manufacturing facilities, the Company has sales offices in the United States, Europe and Asia.</w:t>
      </w:r>
    </w:p>
    <w:p>
      <w:pPr>
        <w:spacing w:after="0" w:line="20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 supports international customers through both its domestic and international facilities. The Company considers its presence in international markets to be an important factor in attracting new customers, providing global solutions to its customers, minimizing delivery time, and serving customers that utilize manufacturing foundries outside of the United States, principally in Asia. See Note 17 to the Company's consolidated financial statements for the amount of net sales and long-lived assets attributable to each of the Company's geographic areas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primarily sells its products to leading semiconductor and FPD manufacturers. The Company's largest customers (listed alphabetically)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ended November 3, 2013 ("fiscal 2013") included the following:</w:t>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ASML Holding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 Optronics Corp.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Chimei Innolux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Dongbu HiTek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Foundries,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Himax Display,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Ili Technology Corp.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IM Flash Technologies,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Inotera Memories,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Jenoptik AG</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LG Electronics,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Nanya Technology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Novatek Microelectronics Corp.,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Semiconductor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Samsung Electronics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Microelectronics,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Microelectronics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X-FAB Silicon Foundries</w:t>
      </w:r>
    </w:p>
    <w:p>
      <w:pPr>
        <w:spacing w:after="0" w:line="200" w:lineRule="exact"/>
        <w:rPr>
          <w:sz w:val="20"/>
          <w:szCs w:val="20"/>
          <w:color w:val="auto"/>
        </w:rPr>
      </w:pPr>
    </w:p>
    <w:p>
      <w:pPr>
        <w:sectPr>
          <w:pgSz w:w="11900" w:h="16838" w:orient="portrait"/>
          <w:cols w:equalWidth="0" w:num="2">
            <w:col w:w="4060" w:space="720"/>
            <w:col w:w="6640"/>
          </w:cols>
          <w:pgMar w:left="240" w:top="121" w:right="239" w:bottom="1440" w:gutter="0" w:footer="0" w:header="0"/>
          <w:type w:val="continuous"/>
        </w:sectPr>
      </w:pPr>
    </w:p>
    <w:p>
      <w:pPr>
        <w:spacing w:after="0" w:line="3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During fiscal 2013, the Company sold its products and services to approximately 600 customers. Samsung Electronics Co., Ltd. accounted for approximately 18%, 22% and 20% of the Company’s net sales in fiscal 2013, 2012, and 2011, respectively. This included sales of both IC and FPD photomasks. The Company's five largest customers, in the aggregate, accounted for approximately 43%, 43%, and 45% of net sales in fiscal 2013, 2012 and 2011, respectively. A significant decrease in the amount of sales to any of these customers could have a material adverse effect on the financial performance and business prospects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The Company's quarterly revenues can be affected by the seasonal purchasing of its customers. The Company is typically impacted during its first quarter by the North American and European holiday periods, as some customers reduce their effective workdays and orders during this period. Additionally, the Company can be impacted during its first or second fiscal quarter by the Asian New Year holiday period, which also may reduce customer orders.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Company conducts its primary research and development activities for IC photomasks at its MP Mask Technology Center, LLC ("MP Mask"), a joint venture with Micron Technology, Inc. (“Micron”) and at its U.S. nanoFab, both of which are located in Boise, Idaho, and also at PK, Ltd. (“PKL”), its subsidiary in Korea, and at Photronics Semiconductor Mask Corporation (“PSMC”), one of its subsidiaries in Taiwan, and for FPD photomasks at PKL, and in site-specific research and development programs to support strategic customers. These research and development programs and activities are designed to advance the Company's leadership in technology and manufacturing efficiency. The Company also conducts application oriented research and development activities to support the early adoption of new photomask or supporting data and services technology into the customers' applications. Currently, research and development photomask activities for ICs are focused on 20 nanometer node and below, and for FPDs on Generation 8 resolution enhancement masks, substrates larger than Generation 8 and masks for AMOLED type displays. The Company believes these core competencies will continue to be a critical part of semiconductor and FPD manufacturing, as optical lithography continues to scale device capabilities at and below 45 nanometer and at and above Generation 8. The Company has incurred research and development expenses of $20.8 million, $19.4 million and $15.5 million in fiscal 2013, 2012 and 2011, respectively. The Company believes that it owns, controls, or licenses valuable proprietary information that is necessary for its business as it is presently conducted. This includes trade secrets as well as patents. The Company also believes that its intellectual property and trade secret know-how will continue to be important to its maintaining technical leadership in the field of photomasks.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56"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The Company has ownership interests in over 45 issued U.S. patents. The subject matter of these patents, which are registered in various countries, generally relates to the manufacture of IC photomasks or the use of photomasks to manufacture other products. The expiration dates of these patents range from 2018 to 2030. Additionally, pursuant to a technology license agreement with Micron, the Company has access to certain technology of Micron and MP Mask. The Company also has a number of trademarks and trademark registrations in the United States and in other countries.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ind w:right="20" w:firstLine="324"/>
        <w:spacing w:after="0" w:line="264" w:lineRule="auto"/>
        <w:rPr>
          <w:sz w:val="20"/>
          <w:szCs w:val="20"/>
          <w:color w:val="auto"/>
        </w:rPr>
      </w:pPr>
      <w:r>
        <w:rPr>
          <w:rFonts w:ascii="Arial" w:cs="Arial" w:eastAsia="Arial" w:hAnsi="Arial"/>
          <w:sz w:val="18"/>
          <w:szCs w:val="18"/>
          <w:color w:val="auto"/>
        </w:rPr>
        <w:t>While the Company believes that its intellectual property is and will continue to be, important to its technical leadership in the field of photomasks, its operations are not dependent on any one individual patent. The Company protects its intellectual property rights and proprietary processes by utilizing patents and non-disclosure agreements with employees, customers and vendors.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Supplies and Equipment</w:t>
      </w:r>
    </w:p>
    <w:p>
      <w:pPr>
        <w:spacing w:after="0" w:line="2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Raw materials used by the Company generally include: high precision quartz plates (including large area plates), which are used as photomask blanks and are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The Company believes that its utilization of a select group of strategic suppliers enables it to access the most technologically advanced materials available. On an ongoing basis, the Company continues to consider additional supply sources.</w:t>
      </w:r>
    </w:p>
    <w:p>
      <w:pPr>
        <w:spacing w:after="0" w:line="215"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The Company relies on a limited number of equipment suppliers to develop and supply the equipment used in the photomask manufacturing process. Although the Company has been able to obtain equipment on a timely basis, an inability to obtain equipment when required could adversely affect the Company's business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first several layers of a set of photomasks for a circuit pattern are often required to be shipped within 24 hours of receiving a customer's designs. Because of the short period between order and shipment dates (typically from 1 day to 2 weeks) for a significant amount of the Company's sales, the dollar amount of current backlog is not considered to be a reliable indicator of future sales volume.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Merger of PSMC with DNP Photomask Technology Taiwan Co., LTD.</w:t>
      </w:r>
    </w:p>
    <w:p>
      <w:pPr>
        <w:spacing w:after="0" w:line="25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November 2013 the Company announced that it had entered into an agreement to merge Photronics Semiconductor Mask Corporation (PSMC), its Taiwanese IC subsidiary, with DNP Photomask Technology Taiwan Co., Ltd., a wholly owned subsidiary of Dai Nippon Printing Co., Ltd. (DNP), to form a joint venture which will operate under the name of Photronics DNP Mask Corporation (PDMC). The pending merger, which is a noncash transaction, would result in the Company owning 50.01% and DNP owning 49.99% of PDMC, whose financial results would be included in the Company’s consolidated financial statements. The merger is subject to regulatory approvals and customary closing conditions, and is expected to be finalized during the first half of fiscal 2014.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5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Sales from the Company’s international operations were approximately 70%, 70%, and 69% of the Company's net sales in fiscal 2013, 2012 and 2011, respectively. The Company believes that its ability to serve international markets is enhanced by it having, among other things, a local presence in the markets that it serves. This requires a significant investment in financial, managerial, operational, and other resources.</w:t>
      </w:r>
    </w:p>
    <w:p>
      <w:pPr>
        <w:spacing w:after="0" w:line="208"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political and economic conditions in various countries, unexpected changes in regulatory requirements, tariffs and other trade barriers, difficulties in staffing and managing international operations, longer accounts receivable collection cycles and potentially adverse tax consequences. These factors may have a material adverse effect on the Company's ability to generate sales outside of the United States and to deploy resources where they could otherwise be used to their greatest advantage and, consequently, may adversely affect its financial condition and results of operations. Note 17 of the notes to the Company's consolidated financial statements presents net sales and long-lived assets by geographic area.</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photomask industry is highly competitive and most of the Company's customers utilize multiple photomask suppliers. The Company's ability to compete depends primarily upon the consistency of its products’ quality, timeliness of delivery, as well as pricing, technical capability and service, which the Company believes are the principal factors considered by customers in selecting their photomask suppliers. The Company also believes that proximity to customers is an important factor in certain markets where cycle time from order to delivery is critical. A few competitors have greater financial, technical, sales, marketing and other resources than the Company. An inability to meet these requirements could adversely affect the Company's financial condition, results of operations and cash flows. The Company believes that it is able to compete effectively because of its dedication to customer service, investment in state-of-the-art photomask equipment and facilities, and experienced technical employees.</w:t>
      </w:r>
    </w:p>
    <w:p>
      <w:pPr>
        <w:spacing w:after="0" w:line="20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estimates that, for the types of photomasks it manufactures (IC and FPD), the size of the total market (captive and merchant) is approximately $3.7 billion. Its competitors include Compugraphics, Inc., Dai Nippon Printing Co., Ltd., Hoya Corporation, SK-Electronics Co. Ltd., Taiwan Mask Corporation and Toppan Printing Co., Ltd. The Company also competes with semiconductor manufacturers' captive photomask manufacturing operations that supply photomasks for internal use and, in some instances, also for external customers and foundries. The Company expects to face continued competition which, in the past, has led to pressure to reduce prices. The Company believes the pressure to reduce prices has contributed to the decrease in the number of independent manufacturers, and expects such pressure to continue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As of November 3, 2013, the Company had approximately 1,300 employees. The Company believes it offers competitive compensation and other benefits and that its employee relations are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Company's dependency on the semiconductor industry, which as a whole is volatile, could have a negative material impact on its business.</w:t>
      </w:r>
    </w:p>
    <w:p>
      <w:pPr>
        <w:spacing w:after="0" w:line="27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The Company sells substantially all of its photomasks to semiconductor designers, manufacturers and foundries, as well as to other high performance electronics manufacturers. The Company believes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customized ICs, a reduction in design complexity, other changes in the technology or methods of manufacturing or designing semiconductors or a slowdown in the introduction of new semiconductor or FPD designs could reduce demand for photomasks even if the demand for semiconductors and FPDs increases. Further, advances in design and production methods for semiconductors and other high performance electronics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0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Company's results may suffer if either the IC or FPD photomask market does not grow or if the Company is unable to serve these markets successfully. The Company believes that the demand for photomasks for both ICs and FPDs depends primarily on design activity and, to a lesser extent, upon an increase in the number of production facilities used to manufacture ICs or FPDs. As a result, an increase in IC or FPD sales will not necessarily lead to a corresponding increase in photomask sales. A slowdown in the development of new technologies for fabricating ICs or FPDs could reduce the demand for related photomasks even if the demand for ICs or FPDs increases.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incur future net losses.</w:t>
      </w:r>
    </w:p>
    <w:p>
      <w:pPr>
        <w:spacing w:after="0" w:line="25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Although the Company has been profitable since fiscal 2010, it has, in the past, incurred net losses. The net losses experienced in prior recent years were due, in part, to macroeconomic factors, which resulted in significant charges for restructurings and impairments of long-lived assets. The Company cannot provide assurance that it will not incur net losses in the future.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The Company's quarterly operating results fluctuate significantly and may continue to do so in the future.</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has experienced fluctuations in its quarterly operating results and anticipates that such fluctuations will continue and could intensify in the future. Fluctuations in operating results may result in volatility in the prices of the Company's common stock and financial instruments linked to the value of the Company's common stock. Operating results may fluctuate as a result of many factors, including the size and timing of orders and shipments, the loss of significant customers, changes in product mix, the flow of customer design releases, technological change, fluctuations in manufacturing yields, competition and general economic conditions. The Company operates in a high fixed cost environment and, should its revenues and asset utilization decrease, its operating margins could be negatively impacted.</w:t>
      </w:r>
    </w:p>
    <w:p>
      <w:pPr>
        <w:spacing w:after="0" w:line="22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customers generally order photomasks on an as-needed basis, and substantially all of the Company's net sales in any quarter are dependent on orders received during that quarter. Since the Company operates with little backlog and the rate of new orders may vary significantly from quarter-to-quarter, the Company's capital expenditures and, to some extent, expense levels are based primarily on sales forecasts. Consequently, if anticipated sales in any quarter do not occur when expected, capital expenditures and expense levels could be disproportionately high, and the Company's operating results would be adversely affected. Due to the foregoing factors, the Company believes that quarter-to-quarter comparisons of its operating results are not necessarily meaningful and that these comparisons cannot be relied upon as indicators of future performance. In addition, in future quarters the Company's operating results could be below the expectations of public market analysts and investors which, in turn, could materially adversely affect the market price of the Company's common stock.</w:t>
      </w:r>
    </w:p>
    <w:p>
      <w:pPr>
        <w:spacing w:after="0" w:line="21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The photomask industry is subject to rapid technological change and the Company might fail to remain competitive, which could have a material adverse effect on the Company's business and results of operations.</w:t>
      </w:r>
    </w:p>
    <w:p>
      <w:pPr>
        <w:spacing w:after="0" w:line="19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of increasing complexity in both traditional and emerging markets that it serves. In particular, the Company believes that, as semiconductor geometries continue to become smaller and FPDs become larger with improved performance, it will be required to manufacture increasingly complex photomasks. Additionally, the demand for photomasks has been, and could in the future be, adversely affected by changes in semiconductor and high performance electronics fabrication methods that affect the type or quantity of photomasks utilized, such as changes in semiconductor demand that favor field programmable gate arrays and other semiconductor designs that replace application-specific ICs. Furthermore, increased market acceptance of alternative methods of transferring IC designs onto semiconductor wafers could reduce or eliminate the need for photomasks in the production of semiconductors. As of the end of fiscal 2013, one alternative method, direct-write lithography, has not been proven to be a commercially viable alternative to photomasks, as it is considered to be too slow for high volume semiconductor wafer production. However, should direct-write or any other alternative method of transferring IC designs to semiconductor wafers without the use of photomasks achieve market acceptance, and if the Company is unable to anticipate, respond to or utilize these or other technological changes, due to resource, technological or other constraints, its business and results of operations could be materially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operations will continue to require substantial capital expenditures, for which it may be unable to obtain funding.</w:t>
      </w:r>
    </w:p>
    <w:p>
      <w:pPr>
        <w:spacing w:after="0" w:line="25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manufacture of photomasks requires substantial investments by the Company in high-end manufacturing capability. The Company expects that it will be required to continue to make substantial capital expenditures to meet the technological demands of its customers and to position itself for future growth. The Company's capital expenditure payments for fiscal 2014 are expected to be in the range of $70 million to $90 million, of which $19 million was in accounts payable and accrued liabilities as of November 3, 2013. The Company cannot provide assurance that it will be able to obtain the additional capital required to fund its operations on reasonable terms, if at all, or that any such inability will not have a material adverse effect on its business and results of operations.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right="180"/>
        <w:spacing w:after="0" w:line="266" w:lineRule="auto"/>
        <w:rPr>
          <w:sz w:val="20"/>
          <w:szCs w:val="20"/>
          <w:color w:val="auto"/>
        </w:rPr>
      </w:pPr>
      <w:r>
        <w:rPr>
          <w:rFonts w:ascii="Arial" w:cs="Arial" w:eastAsia="Arial" w:hAnsi="Arial"/>
          <w:sz w:val="18"/>
          <w:szCs w:val="18"/>
          <w:b w:val="1"/>
          <w:bCs w:val="1"/>
          <w:color w:val="auto"/>
        </w:rPr>
        <w:t>The Company's agreements with Micron have several risks; should either company not comply or execute under these agreements it could significantly disrupt the Company's business and technological activities, which could have a material adverse effect on the Company's operations and cash flows.</w:t>
      </w:r>
    </w:p>
    <w:p>
      <w:pPr>
        <w:spacing w:after="0" w:line="207"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In 2006 Photronics and Micron entered into a joint venture known as MP Mask. The joint venture develops and produces photomasks for leading-edge and advanced next generation semiconductors. As part of the formation of the joint venture, Micron contributed its existing photomask technology center located at its Boise, Idaho, headquarters to MP Mask and Photronics paid Micron $135 million in exchange for a 49.99% interest in MP Mask, a license for photomask technology of Micron and certain supply agreements. Since the formation of the joint venture, the Company has, through November 3, 2013, made contributions to MP Mask of $38 million and received returns of investments of $10 million.</w:t>
      </w:r>
    </w:p>
    <w:p>
      <w:pPr>
        <w:spacing w:after="0" w:line="20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would need to pursue its own financing. If MP Mask is unable to obtain its own financing, it may request additional capital contributions from the Company. Should the Company choose not to make a requested contribution to MP Mask, its ownership percentage may be reduced.</w:t>
      </w:r>
    </w:p>
    <w:p>
      <w:pPr>
        <w:spacing w:after="0" w:line="19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failure of Photronics or Micron to comply or execute under any of these agreements, capitalize on the use of existing technology or further develop technology could result in a significant disruption to the Company's business and technological activities, and could adversely affect the Company's operations and cash flows.</w:t>
      </w:r>
    </w:p>
    <w:p>
      <w:pPr>
        <w:spacing w:after="0" w:line="20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The Company has been dependent on sales to a limited number of large customers; the loss of any of these customers or a significant reduction in orders from these customers could have a material adverse effect on its sales and results of operations.</w:t>
      </w:r>
    </w:p>
    <w:p>
      <w:pPr>
        <w:spacing w:after="0" w:line="19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Historically, the Company has sold a significant proportion of photomasks to a limited number of IC and FPD manufacturers. During fiscal 2013, one customer, Samsung Electronics Co., Ltd., accounted for 18% of the Company's net sales. The Company's five largest customers, in the aggregate, accounted for 43%, 43% and 45% of net sales in fiscal 2013, 2012, and 2011, respectively. None of the Company's customers have entered into a significant long-term agreement with the Company requiring them to purchase the Company's products. The loss of a significant customer or a significant reduction or delay in orders from any significant customer, (including reductions or delays due to customer departures from recent buying patterns), or an unfavorable change in market, economic, or competitive conditions in the semiconductor or FPD industries, could have a material adverse effect on the Company's financial performance and business prospects. The consolidation of semiconductor manufacturers or an economic downturn in the semiconductor industry may increase the likelihood of losing a significant customer and could also have an adverse effect on the Company's financial performance and business prospects.</w:t>
      </w:r>
    </w:p>
    <w:p>
      <w:pPr>
        <w:spacing w:after="0" w:line="189"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b w:val="1"/>
          <w:bCs w:val="1"/>
          <w:color w:val="auto"/>
        </w:rPr>
        <w:t>The Company depends on a small number of suppliers for equipment and raw materials and, if the Company's suppliers do not deliver their products to it, the Company may be unable to deliver its products to its customers, which could adversely affect its business and results of operations.</w:t>
      </w:r>
    </w:p>
    <w:p>
      <w:pPr>
        <w:spacing w:after="0" w:line="207"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Company relies on a limited number of photomask equipment manufacturers to develop and supply the equipment it uses. These equipment manufacturers currently require lead times of up to twelve months or longer between the order and the delivery of certain photomask imaging and inspection equipment. The failure of such manufacturers to develop or deliver such equipment on a timely basis could have a material adverse effect on the Company's business and results of operations. Further, the Company relies on equipment manufacturers to develop future generations of manufacturing equipment to meet its requirements. In addition, the manufacturing equipment necessary to produce advanced photomasks could become prohibitively expensive.</w:t>
      </w:r>
    </w:p>
    <w:p>
      <w:pPr>
        <w:spacing w:after="0" w:line="18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Company uses high precision quartz photomask blanks, pellicles, and electronic grade chemicals in its manufacturing processes. There are a limited number of suppliers of these raw materials. The Company has no long-term contracts for the supply of these raw materials. Any delays or quality problems in connection with significant raw materials, particularly photomask blanks, could cause delays in the shipments of photomasks, which could have a material adverse effect on the Company's business and results of operations. The fluctuation of foreign currency exchange rates, with respect to prices of equipment and raw materials used in manufacturing, could also have a material adverse effect on the Company's business and results of operations.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 w:name="page11"/>
    <w:bookmarkEnd w:id="10"/>
    <w:p>
      <w:pPr>
        <w:ind w:right="20"/>
        <w:spacing w:after="0" w:line="266" w:lineRule="auto"/>
        <w:rPr>
          <w:sz w:val="20"/>
          <w:szCs w:val="20"/>
          <w:color w:val="auto"/>
        </w:rPr>
      </w:pPr>
      <w:r>
        <w:rPr>
          <w:rFonts w:ascii="Arial" w:cs="Arial" w:eastAsia="Arial" w:hAnsi="Arial"/>
          <w:sz w:val="18"/>
          <w:szCs w:val="18"/>
          <w:b w:val="1"/>
          <w:bCs w:val="1"/>
          <w:color w:val="auto"/>
        </w:rPr>
        <w:t>The Company faces risks associated with the use of sophisticated equipment and complex manufacturing processes and technologies. The inability of the Company to effectively utilize such equipment and technologies and perform such processes could have a material adverse effect on its business and results of operations.</w:t>
      </w:r>
    </w:p>
    <w:p>
      <w:pPr>
        <w:spacing w:after="0" w:line="207"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The Company's complex manufacturing processes require the use of expensive and technologically sophisticated equipment and materials, and are continually modified in an effort to improve manufacturing yields and product quality. Minute impurities, defects or other difficulties in the manufacturing process can lower manufacturing yields and make products unmarketable. Moreover, manufacturing leading-edge photomasks is more complex and time consuming than manufacturing less advanced photomasks, and may lead to delays in the manufacturing of all levels of photomasks. The Company has, on occasion, experienced manufacturing difficulties and capacity limitations that have delayed the Company's ability to deliver products within the time frames contracted for by its customers. The Company cannot provide assurance that it will not experience these or other manufacturing difficulties, or be subject to increased costs or production capacity constraints in the future, any of which could result in a loss of customers or could otherwise have a material adverse effect on its business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debt agreements limit its ability to obtain financing and may obligate the Company to repay debt before its maturity.</w:t>
      </w:r>
    </w:p>
    <w:p>
      <w:pPr>
        <w:spacing w:after="0" w:line="25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Financial covenants related to the Company’s credit facility, which was amended in December 2013, include Total Leverage Ratio, a Minimum Interest Coverage Ratio, and Minimum Unrestricted Cash Balances. Existing covenant restrictions limit the Company's ability to obtain additional debt financing and, should Photronics be unable to meet one or more of these covenants, its lenders may require the Company to repay any outstanding balance prior to the expiration date of the agreements. The Company's ability to comply with the financial and other covenants in its debt agreements may be affected by worsening economic or business conditions, or other events. The Company cannot assure that additional sources of financing would be available to pay off any long-term borrowings, so as to avoid default. Should the Company default on certain of its long-term borrowings, a cross default would occur on other long-term borrowings, unless amended or waived.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mergers or joint ventures by the Company may entail certain operational and financial risks.</w:t>
      </w:r>
    </w:p>
    <w:p>
      <w:pPr>
        <w:spacing w:after="0" w:line="25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Company has made significant acquisitions throughout its history. In November 2013 the Company announced that it had entered into an agreement to merge PSMC with DNP Photomask Technology Taiwan Co., Ltd., a wholly owned subsidiary of Dai Nippon Printing Co., Ltd. (DNP), to form a joint venture which will operate under the name of Photronics DNP Mask Corporation (PDMC) (see Note 22 to the consolidated financial statements for further discussion), and it may make other acquisitions or participate in other joint ventures or mergers in the future. Such transactions are subject to acquisition accounting, as prescribed in ASC 805 “Business Combinations”, under which identifiable assets acquired, liabilities assumed and any noncontrolling interests are generally recognized at their acquisition date fair values and separately from goodwill, if any, that may be required to be recognized. Goodwill, when recognizable, would be measured as the excess amount of any consideration transferred, which is generally measured at fair value, over the acquisition date fair values of the identifiable assets acquired and liabilities assumed. In cases of acquisitions that require the Company to estimate the fair values of assets acquired and liabilities assumed, such estimates, though based upon assumptions that the Company believes to be reasonable, are subject to uncertainty. After the completion of such an acquisition, if in fact the transaction is consumated, the Company may be subject to various risks which could adversely affect its future earnings and cash flows. These may include that: the cost of combining the operations of the acquired company with the Company’s operations may exceed the Company’s estimates; goodwill, if any, or other intangible assets recognized may be subject to impairment charges; the lives of intangible assets acquired may be reduced; contingent liabilities are identified or change; the unanticipated loss of sales due to an overlap of customers served by the Company and the acquiree occurs; and that greater than anticipated charges to maintain duplicate pre-merger activities and eliminate duplicative activities are experienced. Furthermore, the Company may need to utilize its cash reserves and/or issue new securities to fund future acquisitions, which could have a dilutive effect on its earnings per share.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The Company's cash flows from operations and current holdings of cash may not be adequate for its current and long-term needs.</w:t>
      </w:r>
    </w:p>
    <w:p>
      <w:pPr>
        <w:spacing w:after="0" w:line="25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Company's liquidity is highly dependent on its sales volume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and covenant restrictions on its existing debt, some financing instruments used by the Company in the past may not be available to it. Therefore, the Company cannot provide assurance that additional sources of financing would be available to it on commercially favorable terms, if at all, should its cash requirements exceed its cash available from operations, existing cash, and cash available under its credit facility.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incur unforeseen charges related to possible future facility closures or restructurings.</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cannot provide assurance that there will not be facility closures or restructurings in the near or long-term, nor can it assure that it will not incur significant charges, should there be any future facility closures or restructurings.</w:t>
      </w:r>
    </w:p>
    <w:p>
      <w:pPr>
        <w:spacing w:after="0" w:line="193"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The Company operates in a highly competitive environment and, should it be unable to meet its customers’ requirements for product quality, timeliness of delivery or technical capabilities, its sales could be adversely affected.</w:t>
      </w:r>
    </w:p>
    <w:p>
      <w:pPr>
        <w:spacing w:after="0" w:line="193"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The photomask industry is highly competitive, and most of the Company's customers utilize more than one photomask supplier. The Company's competitors include Compugraphics, Dai Nippon Printing Co., Ltd., Hoya Corporation, SK-Electronics Co., Ltd., Taiwan Mask Corporation and Toppan Printing Co., Ltd. The Company also competes with semiconductor manufacturers' captive photomask manufacturing operations, some of which market their photomask manufacturing services to outside customers. The Company expects to face continued competition from these and other suppliers in the future. Many of the Company's competitors have substantially greater financial, technical, sales, marketing and other resources than it has. Also, when producing smaller geometry photomasks, some of the Company's competitors may be able to more rapidly develop, produce, and achieve higher manufacturing yields than the Company. The Company believes that consistency of product quality and timeliness of delivery, as well as price, technical capability, and service are the principal factors considered by customers in selecting their photomask suppliers. The Company's inability to meet these requirements could have a material adverse effect on its business and results of operations. In the past, competition led to pressure to reduce prices which, the Company believes, contributed to the decrease in the number of independent photomask suppliers. This pressure to reduce prices may continue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substantial international operations are subject to additional risks.</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Sales from the Company’s international operations were approximately 70%, 70% and 69% of the Company's net sales in fiscal 2013, 2012 and 2011, respectively. The Company believes that maintaining significant international operations requires it to have, among other things, a local presence in the geographic markets that it supplies. This requires significant investments in financial, managerial, operational, and other resources. Since 1996, the Company has significantly expanded its operations in international markets by acquiring existing businesses in Europe, acquiring majority equity interests in photomask manufacturing operations in Korea and Taiwan and building a new manufacturing facility for FPD photomasks in Taiwan. The Company, in order to enable it to optimize its investments and other resources, closely monitors the semiconductor and FPD manufacturing markets for indications of geographic movement and, in conjunction with these efforts, continues to assess the locations of its manufacturing facilities. These assessments may result in the opening or closing of facilities.</w:t>
      </w:r>
    </w:p>
    <w:p>
      <w:pPr>
        <w:spacing w:after="0" w:line="21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unstable political and economic conditions in various countries, unexpected changes in regulatory requirements, tariffs and other trade barriers, difficulties in staffing and managing international operations, longer accounts receivable payment cycles and potentially adverse tax consequences. These factors may have a material adverse effect on the Company's ability to generate sales outside of the United States and, consequently, on its business and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ind w:right="80"/>
        <w:spacing w:after="0" w:line="282" w:lineRule="auto"/>
        <w:rPr>
          <w:sz w:val="20"/>
          <w:szCs w:val="20"/>
          <w:color w:val="auto"/>
        </w:rPr>
      </w:pPr>
      <w:r>
        <w:rPr>
          <w:rFonts w:ascii="Arial" w:cs="Arial" w:eastAsia="Arial" w:hAnsi="Arial"/>
          <w:sz w:val="18"/>
          <w:szCs w:val="18"/>
          <w:b w:val="1"/>
          <w:bCs w:val="1"/>
          <w:color w:val="auto"/>
        </w:rPr>
        <w:t>Changes in foreign currency exchange rates could have a material adverse effect on the Company's results of operations, financial condition or cash flows.</w:t>
      </w:r>
    </w:p>
    <w:p>
      <w:pPr>
        <w:spacing w:after="0" w:line="193"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Company's financial statements are prepared in accordance with accounting principles generally accepted in the United States of America (U.S. GAAP) and are reported in U.S. dollars. The Company's operations have transactions and balances denominated in currencies other than the U.S. dollar, primarily the Korean won, New Taiwan dollar, Japanese yen, Singapore dollar, euro, and the pound sterling. In fiscal 2013, the Company recorded a net gain from changes in foreign currency exchange rates of $0.5 million in its statement of income, while its net assets were increased by $10.6 million as a result of the translation of foreign currency financial statements to U.S. dollars. In the event of significant foreign currency fluctuations, the Company's results of operations, financial condition or cash flows may be adversely affected.</w:t>
      </w:r>
    </w:p>
    <w:p>
      <w:pPr>
        <w:spacing w:after="0" w:line="20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Company's business depends on managerial and technical personnel, who are in great demand, and its inability to attract and retain qualified employees could adversely affect the Company's business and results of operations.</w:t>
      </w:r>
    </w:p>
    <w:p>
      <w:pPr>
        <w:spacing w:after="0" w:line="193"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Company's success depends, in part, upon key managerial, engineering and technical personnel, as well as its ability to continue to attract and retain additional qualified personnel. The loss of certain key personnel could have a material adverse effect upon the Company's business and results of operations. There can be no assurance that the Company can retain its key managerial, and technical employees, or that it can attract similar additional employees in the future.</w:t>
      </w:r>
    </w:p>
    <w:p>
      <w:pPr>
        <w:spacing w:after="0" w:line="210"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The Company may be unable to enforce or defend its ownership and use of proprietary technology, and the utilization of unprotected Company developed technology by its competitors could adversely affect the Company's business, results of operations and financial position.</w:t>
      </w:r>
    </w:p>
    <w:p>
      <w:pPr>
        <w:spacing w:after="0" w:line="14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Company believes that the success of its business depends more on its proprietary technology, information and processes, and know-how than on its patents or trademarks. Much of its proprietary information and technology related to manufacturing processes is not patented and may not be patentable. The Company cannot offer assurance that:</w:t>
      </w:r>
    </w:p>
    <w:p>
      <w:pPr>
        <w:spacing w:after="0" w:line="20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8"/>
          <w:szCs w:val="18"/>
          <w:color w:val="auto"/>
        </w:rPr>
        <w:t>it will be able to adequately protect its technology;</w:t>
      </w:r>
    </w:p>
    <w:p>
      <w:pPr>
        <w:spacing w:after="0" w:line="25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8"/>
          <w:szCs w:val="18"/>
          <w:color w:val="auto"/>
        </w:rPr>
        <w:t>competitors will not independently develop similar technology; or</w:t>
      </w:r>
    </w:p>
    <w:p>
      <w:pPr>
        <w:spacing w:after="0" w:line="25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8"/>
          <w:szCs w:val="18"/>
          <w:color w:val="auto"/>
        </w:rPr>
        <w:t>international intellectual property laws will adequately protect its intellectual property rights.</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may become the subject of infringement claims or legal proceedings by third parties with respect to current or future products or processes. Any such claims, with or without merit, or litigation to enforce or protect its intellectual property rights, or that require the Company to defend itself against claimed infringements of the rights of others, could result in substantial costs, diversion of resources, and product shipment delays or could force the Company to enter into royalty or license agreements, rather than dispute the merits of these claims. Any of the foregoing could have a material adverse effect on the Company's business, results of operations and financial position.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 may be unprepared for changes to environmental laws and regulations and may incur liabilities arising from environmental matters.</w:t>
      </w:r>
    </w:p>
    <w:p>
      <w:pPr>
        <w:spacing w:after="0" w:line="27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 is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the Company's financial position and results of operations. Any failure by the Company to adequately comply with these laws and regulations could subject it to significant future liabilities.</w:t>
      </w:r>
    </w:p>
    <w:p>
      <w:pPr>
        <w:spacing w:after="0" w:line="21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addition, these laws and regulations may impose clean-up liabilities on current and former owners and operators of real property as well as parties who arrange for the disposal of hazardous substances at off-site locations owned or operated by others, without regard to fault, so that these liabilities may be joint and several with other parties. In the past, the Company has been involved in remediation activities related to its properties. The Company believes, based upon current information, that environmental liabilities relating to these activities or other matters are not material to its financial position or operations. However, there can be no assurances that the Company will not incur any material environmental liabilities in the future.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ind w:right="220"/>
        <w:spacing w:after="0" w:line="282" w:lineRule="auto"/>
        <w:rPr>
          <w:sz w:val="20"/>
          <w:szCs w:val="20"/>
          <w:color w:val="auto"/>
        </w:rPr>
      </w:pPr>
      <w:r>
        <w:rPr>
          <w:rFonts w:ascii="Arial" w:cs="Arial" w:eastAsia="Arial" w:hAnsi="Arial"/>
          <w:sz w:val="18"/>
          <w:szCs w:val="18"/>
          <w:b w:val="1"/>
          <w:bCs w:val="1"/>
          <w:color w:val="auto"/>
        </w:rPr>
        <w:t>The Company's production facilities could be damaged or disrupted by a natural disaster or labor strike, either of which could adversely affect its financial position, results of operations and cash flows.</w:t>
      </w:r>
    </w:p>
    <w:p>
      <w:pPr>
        <w:spacing w:after="0" w:line="193" w:lineRule="exact"/>
        <w:rPr>
          <w:sz w:val="20"/>
          <w:szCs w:val="20"/>
          <w:color w:val="auto"/>
        </w:rPr>
      </w:pPr>
    </w:p>
    <w:p>
      <w:pPr>
        <w:ind w:right="400" w:firstLine="324"/>
        <w:spacing w:after="0" w:line="302" w:lineRule="auto"/>
        <w:rPr>
          <w:sz w:val="20"/>
          <w:szCs w:val="20"/>
          <w:color w:val="auto"/>
        </w:rPr>
      </w:pPr>
      <w:r>
        <w:rPr>
          <w:rFonts w:ascii="Arial" w:cs="Arial" w:eastAsia="Arial" w:hAnsi="Arial"/>
          <w:sz w:val="16"/>
          <w:szCs w:val="16"/>
          <w:color w:val="auto"/>
        </w:rPr>
        <w:t>A major catastrophe, such as an earthquake or other natural disaster, labor strike, or work stoppage at any manufacturing facility of the Company, its suppliers, or its customers, could result in a prolonged interruption of the Company’s business. A disruption resulting from any one of these events could cause significant delays in shipments of the Company's products and the loss of sales and customers, which could have a material adverse effect on the Company's financial position, results of operations, and cash flows. The Company's facilities in Taiwan are located in a seismically active area.</w:t>
      </w:r>
    </w:p>
    <w:p>
      <w:pPr>
        <w:spacing w:after="0" w:line="17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Company's sales can be impacted by the health and stability of the general economy, which could adversely affect its results of operations and cash flows.</w:t>
      </w:r>
    </w:p>
    <w:p>
      <w:pPr>
        <w:spacing w:after="0" w:line="1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Unfavorable general economic conditions in the U.S. or other countries in which the Company or its customers conduct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or FPD manufacturers, and adversely affect the Company's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taxes could adversely affect the Company's financial results.</w:t>
      </w:r>
    </w:p>
    <w:p>
      <w:pPr>
        <w:spacing w:after="0" w:line="256"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Company's tax filings are subjected to audit by tax authorities in the various jurisdictions in which it does business. These audits may result in assessments of additional taxes that are subsequently resolved with the authorities or through the courts. Currently, the Company believes there are no outstanding assessments whose resolution would result in a material adverse financial result. However, the Company cannot offer assurances that unasserted or potential future assessments would not have a material adverse effect on its financial condition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business could be adversely impacted by global or regional catastrophic events.</w:t>
      </w:r>
    </w:p>
    <w:p>
      <w:pPr>
        <w:spacing w:after="0" w:line="256"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Company's business could be adversely affected by terrorist acts, major natural disasters, widespread outbreaks of infectious diseases, or the outbreak or escalation of wars, especially in the Asian markets, where the Company generates a significant portion of its sales, and in Japan where it purchases raw materials and capital equipment. Such events in the geographic regions in which the Company does business, including escalations of political tensions and military operations within the Korean Peninsula, where a major portion of the Company's foreign operations are located, could have material adverse impacts on its sales volume, cost of raw materials, results of operations, cash flows and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failures or cyber security breaches could have a material adverse effect on the Company’s operations.</w:t>
      </w:r>
    </w:p>
    <w:p>
      <w:pPr>
        <w:spacing w:after="0" w:line="25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relies on information technology systems to process, transmit, store, and protect electronic information. For example, a significant portion of the communications between the Company’s personnel, customers, and suppliers depends on information technology. Information technology systems of the Company may be vulnerable to a variety of interruptions due to events beyond its control including, but not limited to, natural disasters, terrorist attacks, telecommunications failures, computer viruses, hackers, and other security issues. The Company has technology and information security processes and disaster recovery plans in place to mitigate its risk to these vulnerabilities. However, these measures may not be adequate to ensure that its operations will not be disrupted, should such an event occur.</w:t>
      </w:r>
    </w:p>
    <w:p>
      <w:pPr>
        <w:spacing w:after="0" w:line="21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Servicing the Company's debt requires a significant amount of cash, and the Company may not have sufficient cash flows from its operations to pay its indebtedness.</w:t>
      </w:r>
    </w:p>
    <w:p>
      <w:pPr>
        <w:spacing w:after="0" w:line="19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Company's ability to make scheduled payments of debt principal and interest or to refinance its indebtedness depends on its future performance, which is subject to economic, financial, competitive and other factors beyond the Company's control. The Company's business may not continue to generate sufficient cash flows from operations in the future to both service its debt and make necessary capital expenditures. If the Company is unable to generate such cash flows, it may be required to adopt one or more alternatives, such as selling assets, restructuring debt or obtaining additional equity capital on terms that may be onerous or highly dilutive. The Company's ability to refinance its indebtedness would depend upon the conditions in the capital markets and the Company's financial condition at such time. The Company may not be able to engage in any of these activities or engage in these activities on desirable terms, which could result in a default on its debt obligations.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about the Company's photomask manufacturing facilities: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Type of</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Location</w:t>
            </w: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Allen, Texas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Boise, Idaho</w:t>
            </w:r>
          </w:p>
        </w:tc>
        <w:tc>
          <w:tcPr>
            <w:tcW w:w="2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Owned</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Brookfield, Connecticut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Bridgend, South Wales</w:t>
            </w:r>
          </w:p>
        </w:tc>
        <w:tc>
          <w:tcPr>
            <w:tcW w:w="2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Leased</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Cheonan, Korea</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Dresden, Germany</w:t>
            </w:r>
          </w:p>
        </w:tc>
        <w:tc>
          <w:tcPr>
            <w:tcW w:w="2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Leased</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Hsinchu, Taiwan</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Taichung, Taiwan</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Owned</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The Company owns its manufacturing facility in Taichung, however, it leases the related land.</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believes that its existing manufacturing facilities are suitable and adequate for its present purposes. The Company also leases various sales offices. The Company's administrative headquarters are located in Brookfield, Connecticut, in a building that it owns.</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LEGAL PROCEEDINGS</w:t>
      </w:r>
    </w:p>
    <w:p>
      <w:pPr>
        <w:spacing w:after="0" w:line="256"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the business of the Company.</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820" w:right="36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9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Common Stock of the Company is traded on the NASDAQ Global Select Market ("NASDAQ") under the symbol PLAB. The table below shows the range of high and low sale prices per share of each quarter for fiscal years 2013 and 2012, as reported by the NASDAQ Global Select Market.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Low</w:t>
            </w:r>
          </w:p>
        </w:tc>
      </w:tr>
      <w:tr>
        <w:trPr>
          <w:trHeight w:val="216"/>
        </w:trPr>
        <w:tc>
          <w:tcPr>
            <w:tcW w:w="4720" w:type="dxa"/>
            <w:vAlign w:val="bottom"/>
          </w:tcPr>
          <w:p>
            <w:pPr>
              <w:spacing w:after="0"/>
              <w:rPr>
                <w:sz w:val="20"/>
                <w:szCs w:val="20"/>
                <w:color w:val="auto"/>
              </w:rPr>
            </w:pPr>
            <w:r>
              <w:rPr>
                <w:rFonts w:ascii="Arial" w:cs="Arial" w:eastAsia="Arial" w:hAnsi="Arial"/>
                <w:sz w:val="18"/>
                <w:szCs w:val="18"/>
                <w:b w:val="1"/>
                <w:bCs w:val="1"/>
                <w:color w:val="auto"/>
              </w:rPr>
              <w:t>Fiscal Year Ended November 3, 2013:</w:t>
            </w:r>
          </w:p>
        </w:tc>
        <w:tc>
          <w:tcPr>
            <w:tcW w:w="18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260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Quarter Ended January 27, 2013</w:t>
            </w:r>
          </w:p>
        </w:tc>
        <w:tc>
          <w:tcPr>
            <w:tcW w:w="26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6.21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w:t>
            </w:r>
          </w:p>
        </w:tc>
      </w:tr>
      <w:tr>
        <w:trPr>
          <w:trHeight w:val="216"/>
        </w:trPr>
        <w:tc>
          <w:tcPr>
            <w:tcW w:w="4720" w:type="dxa"/>
            <w:vAlign w:val="bottom"/>
          </w:tcPr>
          <w:p>
            <w:pPr>
              <w:ind w:left="140"/>
              <w:spacing w:after="0"/>
              <w:rPr>
                <w:sz w:val="20"/>
                <w:szCs w:val="20"/>
                <w:color w:val="auto"/>
              </w:rPr>
            </w:pPr>
            <w:r>
              <w:rPr>
                <w:rFonts w:ascii="Arial" w:cs="Arial" w:eastAsia="Arial" w:hAnsi="Arial"/>
                <w:sz w:val="18"/>
                <w:szCs w:val="18"/>
                <w:color w:val="auto"/>
              </w:rPr>
              <w:t>Quarter Ended April 28, 2013</w:t>
            </w: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7.50</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5.81</w:t>
            </w:r>
          </w:p>
        </w:tc>
      </w:tr>
      <w:tr>
        <w:trPr>
          <w:trHeight w:val="216"/>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Quarter Ended July 28, 2013</w:t>
            </w:r>
          </w:p>
        </w:tc>
        <w:tc>
          <w:tcPr>
            <w:tcW w:w="1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8.85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w:t>
            </w: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Quarter Ended November 3, 2013</w:t>
            </w:r>
          </w:p>
        </w:tc>
        <w:tc>
          <w:tcPr>
            <w:tcW w:w="1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8.89</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7.03</w:t>
            </w:r>
          </w:p>
        </w:tc>
      </w:tr>
      <w:tr>
        <w:trPr>
          <w:trHeight w:val="418"/>
        </w:trPr>
        <w:tc>
          <w:tcPr>
            <w:tcW w:w="4720" w:type="dxa"/>
            <w:vAlign w:val="bottom"/>
          </w:tcPr>
          <w:p>
            <w:pPr>
              <w:spacing w:after="0"/>
              <w:rPr>
                <w:sz w:val="20"/>
                <w:szCs w:val="20"/>
                <w:color w:val="auto"/>
              </w:rPr>
            </w:pPr>
            <w:r>
              <w:rPr>
                <w:rFonts w:ascii="Arial" w:cs="Arial" w:eastAsia="Arial" w:hAnsi="Arial"/>
                <w:sz w:val="18"/>
                <w:szCs w:val="18"/>
                <w:b w:val="1"/>
                <w:bCs w:val="1"/>
                <w:color w:val="auto"/>
              </w:rPr>
              <w:t>Fiscal Year Ended October 28, 2012:</w:t>
            </w:r>
          </w:p>
        </w:tc>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720" w:type="dxa"/>
            <w:vAlign w:val="bottom"/>
          </w:tcPr>
          <w:p>
            <w:pPr>
              <w:spacing w:after="0"/>
              <w:rPr>
                <w:sz w:val="18"/>
                <w:szCs w:val="18"/>
                <w:color w:val="auto"/>
              </w:rPr>
            </w:pPr>
          </w:p>
        </w:tc>
        <w:tc>
          <w:tcPr>
            <w:tcW w:w="260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Quarter Ended January 29, 2012</w:t>
            </w:r>
          </w:p>
        </w:tc>
        <w:tc>
          <w:tcPr>
            <w:tcW w:w="26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7.65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w:t>
            </w:r>
          </w:p>
        </w:tc>
      </w:tr>
      <w:tr>
        <w:trPr>
          <w:trHeight w:val="216"/>
        </w:trPr>
        <w:tc>
          <w:tcPr>
            <w:tcW w:w="4720" w:type="dxa"/>
            <w:vAlign w:val="bottom"/>
          </w:tcPr>
          <w:p>
            <w:pPr>
              <w:ind w:left="140"/>
              <w:spacing w:after="0"/>
              <w:rPr>
                <w:sz w:val="20"/>
                <w:szCs w:val="20"/>
                <w:color w:val="auto"/>
              </w:rPr>
            </w:pPr>
            <w:r>
              <w:rPr>
                <w:rFonts w:ascii="Arial" w:cs="Arial" w:eastAsia="Arial" w:hAnsi="Arial"/>
                <w:sz w:val="18"/>
                <w:szCs w:val="18"/>
                <w:color w:val="auto"/>
              </w:rPr>
              <w:t>Quarter Ended April 29, 2012</w:t>
            </w: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7.70</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5.80</w:t>
            </w:r>
          </w:p>
        </w:tc>
      </w:tr>
      <w:tr>
        <w:trPr>
          <w:trHeight w:val="216"/>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Quarter Ended July 29, 2012</w:t>
            </w:r>
          </w:p>
        </w:tc>
        <w:tc>
          <w:tcPr>
            <w:tcW w:w="1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6.72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w:t>
            </w: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Quarter Ended October 28, 2012</w:t>
            </w:r>
          </w:p>
        </w:tc>
        <w:tc>
          <w:tcPr>
            <w:tcW w:w="1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6.45</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r>
    </w:tbl>
    <w:p>
      <w:pPr>
        <w:spacing w:after="0" w:line="214"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On December 27, 2013, the closing sale price of the Common Stock per the NASDAQ Global Select Market was $8.98. Based on information available to the Company, the Company believes it has approximately 11,000 shareholders.</w:t>
      </w:r>
    </w:p>
    <w:p>
      <w:pPr>
        <w:spacing w:after="0" w:line="19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 to date, has not paid any cash dividends on PLAB shares and, for the foreseeable future, anticipates that earnings will continue to be retained for use in its business. Further, the Company's credit facility precludes it from paying cash dividends.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252"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The information regarding the Company's equity compensation required to be disclosed by Item 201(d) of Regulation S-K is incorporated by reference from the Company's 2014 definitive Proxy Statement into Item 12 of Part III of this report. The 2014 Proxy Statement will be filed within 120 days after the Company’s fiscal year ended November 3, 2013.</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following selected financial data is derived from the Company's audited consolidated financial statements. The data should be read in conjunction with the audited consolidated financial statements and notes thereto and other financial information included elsewhere in this Form 10-K (in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w w:val="94"/>
              </w:rPr>
              <w:t>Year Ended</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gridSpan w:val="2"/>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November 3,</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October 28,</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right"/>
              <w:ind w:right="140"/>
              <w:spacing w:after="0" w:line="198" w:lineRule="exact"/>
              <w:rPr>
                <w:sz w:val="20"/>
                <w:szCs w:val="20"/>
                <w:color w:val="auto"/>
              </w:rPr>
            </w:pPr>
            <w:r>
              <w:rPr>
                <w:rFonts w:ascii="Arial" w:cs="Arial" w:eastAsia="Arial" w:hAnsi="Arial"/>
                <w:sz w:val="18"/>
                <w:szCs w:val="18"/>
                <w:b w:val="1"/>
                <w:bCs w:val="1"/>
                <w:color w:val="auto"/>
                <w:w w:val="94"/>
              </w:rPr>
              <w:t>October 30,</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160"/>
              <w:spacing w:after="0" w:line="198" w:lineRule="exact"/>
              <w:rPr>
                <w:sz w:val="20"/>
                <w:szCs w:val="20"/>
                <w:color w:val="auto"/>
              </w:rPr>
            </w:pPr>
            <w:r>
              <w:rPr>
                <w:rFonts w:ascii="Arial" w:cs="Arial" w:eastAsia="Arial" w:hAnsi="Arial"/>
                <w:sz w:val="18"/>
                <w:szCs w:val="18"/>
                <w:b w:val="1"/>
                <w:bCs w:val="1"/>
                <w:color w:val="auto"/>
                <w:w w:val="94"/>
              </w:rPr>
              <w:t>October 31,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line="198" w:lineRule="exact"/>
              <w:rPr>
                <w:sz w:val="20"/>
                <w:szCs w:val="20"/>
                <w:color w:val="auto"/>
              </w:rPr>
            </w:pPr>
            <w:r>
              <w:rPr>
                <w:rFonts w:ascii="Arial" w:cs="Arial" w:eastAsia="Arial" w:hAnsi="Arial"/>
                <w:sz w:val="18"/>
                <w:szCs w:val="18"/>
                <w:b w:val="1"/>
                <w:bCs w:val="1"/>
                <w:color w:val="auto"/>
                <w:w w:val="92"/>
              </w:rPr>
              <w:t>November 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OPERATING DATA:</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422,180</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450,439</w:t>
            </w: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512,020</w:t>
            </w:r>
          </w:p>
        </w:tc>
        <w:tc>
          <w:tcPr>
            <w:tcW w:w="6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425,554</w:t>
            </w: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361,353</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1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(322,540)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(338,519)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(375,806)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(333,739)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(304,282)</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(48,213) (a)</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(46,706)</w:t>
            </w: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(45,240)</w:t>
            </w: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(42,387)</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(41,162)</w:t>
            </w: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(20,758)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(19,371)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(15,507)</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(14,932)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(15,423)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Consolidation, restructuring</w:t>
            </w:r>
          </w:p>
        </w:tc>
        <w:tc>
          <w:tcPr>
            <w:tcW w:w="2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and related (charges) credits</w:t>
            </w:r>
          </w:p>
        </w:tc>
        <w:tc>
          <w:tcPr>
            <w:tcW w:w="20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213"/>
              <w:spacing w:after="0"/>
              <w:rPr>
                <w:sz w:val="20"/>
                <w:szCs w:val="20"/>
                <w:color w:val="auto"/>
              </w:rPr>
            </w:pPr>
            <w:r>
              <w:rPr>
                <w:rFonts w:ascii="Arial" w:cs="Arial" w:eastAsia="Arial" w:hAnsi="Arial"/>
                <w:sz w:val="18"/>
                <w:szCs w:val="18"/>
                <w:color w:val="auto"/>
              </w:rPr>
              <w:t>(1,428) (b)</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4,979</w:t>
            </w: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(13,557)</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ind w:left="120"/>
              <w:spacing w:after="0" w:line="201" w:lineRule="exact"/>
              <w:rPr>
                <w:sz w:val="20"/>
                <w:szCs w:val="20"/>
                <w:color w:val="auto"/>
              </w:rPr>
            </w:pPr>
            <w:r>
              <w:rPr>
                <w:rFonts w:ascii="Arial" w:cs="Arial" w:eastAsia="Arial" w:hAnsi="Arial"/>
                <w:sz w:val="18"/>
                <w:szCs w:val="18"/>
                <w:color w:val="auto"/>
              </w:rPr>
              <w:t>Impairment of long-lived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2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(1,458)</w:t>
            </w:r>
          </w:p>
        </w:tc>
        <w:tc>
          <w:tcPr>
            <w:tcW w:w="640" w:type="dxa"/>
            <w:vAlign w:val="bottom"/>
          </w:tcPr>
          <w:p>
            <w:pPr>
              <w:ind w:lef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facility</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2,034</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30,669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44,415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75,467</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39,475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(12,495)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(7,488)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(22,401)</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ind w:left="120"/>
              <w:spacing w:after="0" w:line="201" w:lineRule="exact"/>
              <w:rPr>
                <w:sz w:val="20"/>
                <w:szCs w:val="20"/>
                <w:color w:val="auto"/>
              </w:rPr>
            </w:pPr>
            <w:r>
              <w:rPr>
                <w:rFonts w:ascii="Arial" w:cs="Arial" w:eastAsia="Arial" w:hAnsi="Arial"/>
                <w:sz w:val="18"/>
                <w:szCs w:val="18"/>
                <w:color w:val="auto"/>
              </w:rPr>
              <w:t>Interest and other income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240"/>
              <w:spacing w:after="0"/>
              <w:rPr>
                <w:sz w:val="20"/>
                <w:szCs w:val="20"/>
                <w:color w:val="auto"/>
              </w:rPr>
            </w:pPr>
            <w:r>
              <w:rPr>
                <w:rFonts w:ascii="Arial" w:cs="Arial" w:eastAsia="Arial" w:hAnsi="Arial"/>
                <w:sz w:val="18"/>
                <w:szCs w:val="18"/>
                <w:color w:val="auto"/>
              </w:rPr>
              <w:t>(expense), net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3,892</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3,721</w:t>
            </w:r>
          </w:p>
        </w:tc>
        <w:tc>
          <w:tcPr>
            <w:tcW w:w="520" w:type="dxa"/>
            <w:vAlign w:val="bottom"/>
          </w:tcPr>
          <w:p>
            <w:pPr>
              <w:jc w:val="right"/>
              <w:ind w:right="233"/>
              <w:spacing w:after="0"/>
              <w:rPr>
                <w:sz w:val="20"/>
                <w:szCs w:val="20"/>
                <w:color w:val="auto"/>
              </w:rPr>
            </w:pPr>
            <w:r>
              <w:rPr>
                <w:rFonts w:ascii="Arial" w:cs="Arial" w:eastAsia="Arial" w:hAnsi="Arial"/>
                <w:sz w:val="18"/>
                <w:szCs w:val="18"/>
                <w:color w:val="auto"/>
                <w:w w:val="85"/>
              </w:rPr>
              <w:t>(c)</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2,949</w:t>
            </w:r>
          </w:p>
        </w:tc>
        <w:tc>
          <w:tcPr>
            <w:tcW w:w="600" w:type="dxa"/>
            <w:vAlign w:val="bottom"/>
          </w:tcPr>
          <w:p>
            <w:pPr>
              <w:ind w:left="20"/>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2,553</w:t>
            </w:r>
          </w:p>
        </w:tc>
        <w:tc>
          <w:tcPr>
            <w:tcW w:w="580" w:type="dxa"/>
            <w:vAlign w:val="bottom"/>
          </w:tcPr>
          <w:p>
            <w:pPr>
              <w:ind w:left="40"/>
              <w:spacing w:after="0"/>
              <w:rPr>
                <w:sz w:val="20"/>
                <w:szCs w:val="20"/>
                <w:color w:val="auto"/>
              </w:rPr>
            </w:pPr>
            <w:r>
              <w:rPr>
                <w:rFonts w:ascii="Arial" w:cs="Arial" w:eastAsia="Arial" w:hAnsi="Arial"/>
                <w:sz w:val="18"/>
                <w:szCs w:val="18"/>
                <w:color w:val="auto"/>
              </w:rPr>
              <w:t>(g)</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(2,208)</w:t>
            </w:r>
          </w:p>
        </w:tc>
        <w:tc>
          <w:tcPr>
            <w:tcW w:w="640" w:type="dxa"/>
            <w:vAlign w:val="bottom"/>
          </w:tcPr>
          <w:p>
            <w:pPr>
              <w:ind w:left="2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extinguishment loss</w:t>
            </w:r>
          </w:p>
        </w:tc>
        <w:tc>
          <w:tcPr>
            <w:tcW w:w="20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(35,259) (e)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Borders>
              <w:top w:val="single" w:sz="8" w:color="CCEEFF"/>
            </w:tcBorders>
          </w:tcPr>
          <w:p>
            <w:pPr>
              <w:ind w:left="120"/>
              <w:spacing w:after="0" w:line="201" w:lineRule="exact"/>
              <w:rPr>
                <w:sz w:val="20"/>
                <w:szCs w:val="20"/>
                <w:color w:val="auto"/>
              </w:rPr>
            </w:pPr>
            <w:r>
              <w:rPr>
                <w:rFonts w:ascii="Arial" w:cs="Arial" w:eastAsia="Arial" w:hAnsi="Arial"/>
                <w:sz w:val="18"/>
                <w:szCs w:val="18"/>
                <w:color w:val="auto"/>
              </w:rPr>
              <w:t>Income (loss) before income</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240"/>
              <w:spacing w:after="0"/>
              <w:rPr>
                <w:sz w:val="20"/>
                <w:szCs w:val="20"/>
                <w:color w:val="auto"/>
              </w:rPr>
            </w:pPr>
            <w:r>
              <w:rPr>
                <w:rFonts w:ascii="Arial" w:cs="Arial" w:eastAsia="Arial" w:hAnsi="Arial"/>
                <w:sz w:val="18"/>
                <w:szCs w:val="18"/>
                <w:color w:val="auto"/>
              </w:rPr>
              <w:t>tax provision</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26,805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40,648</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35,899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32,553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(37,104)</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(10,793)</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(15,691)</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(7,471)</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(4,323)</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Borders>
              <w:top w:val="single" w:sz="8" w:color="CCEEFF"/>
            </w:tcBorders>
            <w:vMerge w:val="restart"/>
          </w:tcPr>
          <w:p>
            <w:pPr>
              <w:ind w:left="12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ind w:left="20"/>
              <w:spacing w:after="0" w:line="201" w:lineRule="exact"/>
              <w:rPr>
                <w:sz w:val="20"/>
                <w:szCs w:val="20"/>
                <w:color w:val="auto"/>
              </w:rPr>
            </w:pPr>
            <w:r>
              <w:rPr>
                <w:rFonts w:ascii="Arial" w:cs="Arial" w:eastAsia="Arial" w:hAnsi="Arial"/>
                <w:sz w:val="18"/>
                <w:szCs w:val="18"/>
                <w:color w:val="auto"/>
              </w:rPr>
              <w:t>(h) (i)</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19,576</w:t>
            </w: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(a)</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29,855</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1"/>
              </w:rPr>
              <w:t>(b) (c)</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20,208</w:t>
            </w:r>
          </w:p>
        </w:tc>
        <w:tc>
          <w:tcPr>
            <w:tcW w:w="600" w:type="dxa"/>
            <w:vAlign w:val="bottom"/>
            <w:vMerge w:val="restart"/>
          </w:tcPr>
          <w:p>
            <w:pPr>
              <w:ind w:left="20"/>
              <w:spacing w:after="0"/>
              <w:rPr>
                <w:sz w:val="20"/>
                <w:szCs w:val="20"/>
                <w:color w:val="auto"/>
              </w:rPr>
            </w:pPr>
            <w:r>
              <w:rPr>
                <w:rFonts w:ascii="Arial" w:cs="Arial" w:eastAsia="Arial" w:hAnsi="Arial"/>
                <w:sz w:val="18"/>
                <w:szCs w:val="18"/>
                <w:color w:val="auto"/>
              </w:rPr>
              <w:t>(d) (e)</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25,082</w:t>
            </w:r>
          </w:p>
        </w:tc>
        <w:tc>
          <w:tcPr>
            <w:tcW w:w="580" w:type="dxa"/>
            <w:vAlign w:val="bottom"/>
            <w:vMerge w:val="restart"/>
          </w:tcPr>
          <w:p>
            <w:pPr>
              <w:ind w:left="40"/>
              <w:spacing w:after="0"/>
              <w:rPr>
                <w:sz w:val="20"/>
                <w:szCs w:val="20"/>
                <w:color w:val="auto"/>
              </w:rPr>
            </w:pPr>
            <w:r>
              <w:rPr>
                <w:rFonts w:ascii="Arial" w:cs="Arial" w:eastAsia="Arial" w:hAnsi="Arial"/>
                <w:sz w:val="18"/>
                <w:szCs w:val="18"/>
                <w:color w:val="auto"/>
              </w:rPr>
              <w:t>(f) (g)</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(41,427)</w:t>
            </w:r>
          </w:p>
        </w:tc>
        <w:tc>
          <w:tcPr>
            <w:tcW w:w="640" w:type="dxa"/>
            <w:vAlign w:val="bottom"/>
            <w:vMerge w:val="restart"/>
          </w:tcPr>
          <w:p>
            <w:pPr>
              <w:ind w:left="2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Net income attributable to</w:t>
            </w:r>
          </w:p>
        </w:tc>
        <w:tc>
          <w:tcPr>
            <w:tcW w:w="200" w:type="dxa"/>
            <w:vAlign w:val="bottom"/>
            <w:shd w:val="clear" w:color="auto" w:fill="CCEEFF"/>
          </w:tcPr>
          <w:p>
            <w:pPr>
              <w:spacing w:after="0"/>
              <w:rPr>
                <w:sz w:val="17"/>
                <w:szCs w:val="17"/>
                <w:color w:val="auto"/>
              </w:rPr>
            </w:pPr>
          </w:p>
        </w:tc>
        <w:tc>
          <w:tcPr>
            <w:tcW w:w="9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(1,987)</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(3,979)</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(1,160)</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Borders>
              <w:top w:val="single" w:sz="8" w:color="CCEEFF"/>
            </w:tcBorders>
          </w:tcPr>
          <w:p>
            <w:pPr>
              <w:ind w:left="120"/>
              <w:spacing w:after="0" w:line="201" w:lineRule="exact"/>
              <w:rPr>
                <w:sz w:val="20"/>
                <w:szCs w:val="20"/>
                <w:color w:val="auto"/>
              </w:rPr>
            </w:pPr>
            <w:r>
              <w:rPr>
                <w:rFonts w:ascii="Arial" w:cs="Arial" w:eastAsia="Arial" w:hAnsi="Arial"/>
                <w:sz w:val="18"/>
                <w:szCs w:val="18"/>
                <w:color w:val="auto"/>
              </w:rPr>
              <w:t>Net income (loss) attributable</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ind w:left="240"/>
              <w:spacing w:after="0" w:line="176" w:lineRule="exact"/>
              <w:rPr>
                <w:sz w:val="20"/>
                <w:szCs w:val="20"/>
                <w:color w:val="auto"/>
              </w:rPr>
            </w:pPr>
            <w:r>
              <w:rPr>
                <w:rFonts w:ascii="Arial" w:cs="Arial" w:eastAsia="Arial" w:hAnsi="Arial"/>
                <w:sz w:val="18"/>
                <w:szCs w:val="18"/>
                <w:color w:val="auto"/>
              </w:rPr>
              <w:t>to Photronics, Inc.</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20"/>
              <w:spacing w:after="0" w:line="176" w:lineRule="exact"/>
              <w:rPr>
                <w:sz w:val="20"/>
                <w:szCs w:val="20"/>
                <w:color w:val="auto"/>
              </w:rPr>
            </w:pPr>
            <w:r>
              <w:rPr>
                <w:rFonts w:ascii="Arial" w:cs="Arial" w:eastAsia="Arial" w:hAnsi="Arial"/>
                <w:sz w:val="18"/>
                <w:szCs w:val="18"/>
                <w:color w:val="auto"/>
              </w:rPr>
              <w:t>(h) (i)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240"/>
              <w:spacing w:after="0" w:line="196" w:lineRule="exact"/>
              <w:rPr>
                <w:sz w:val="20"/>
                <w:szCs w:val="20"/>
                <w:color w:val="auto"/>
              </w:rPr>
            </w:pPr>
            <w:r>
              <w:rPr>
                <w:rFonts w:ascii="Arial" w:cs="Arial" w:eastAsia="Arial" w:hAnsi="Arial"/>
                <w:sz w:val="18"/>
                <w:szCs w:val="18"/>
                <w:color w:val="auto"/>
              </w:rPr>
              <w:t>shareholders</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17,966</w:t>
            </w:r>
          </w:p>
        </w:tc>
        <w:tc>
          <w:tcPr>
            <w:tcW w:w="38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(a)</w:t>
            </w:r>
          </w:p>
        </w:tc>
        <w:tc>
          <w:tcPr>
            <w:tcW w:w="3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27,868</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91"/>
              </w:rPr>
              <w:t>(b) (c)</w:t>
            </w:r>
          </w:p>
        </w:tc>
        <w:tc>
          <w:tcPr>
            <w:tcW w:w="3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16,229</w:t>
            </w:r>
          </w:p>
        </w:tc>
        <w:tc>
          <w:tcPr>
            <w:tcW w:w="600" w:type="dxa"/>
            <w:vAlign w:val="bottom"/>
          </w:tcPr>
          <w:p>
            <w:pPr>
              <w:ind w:left="20"/>
              <w:spacing w:after="0" w:line="196" w:lineRule="exact"/>
              <w:rPr>
                <w:sz w:val="20"/>
                <w:szCs w:val="20"/>
                <w:color w:val="auto"/>
              </w:rPr>
            </w:pPr>
            <w:r>
              <w:rPr>
                <w:rFonts w:ascii="Arial" w:cs="Arial" w:eastAsia="Arial" w:hAnsi="Arial"/>
                <w:sz w:val="18"/>
                <w:szCs w:val="18"/>
                <w:color w:val="auto"/>
              </w:rPr>
              <w:t>(d) (e)</w:t>
            </w:r>
          </w:p>
        </w:tc>
        <w:tc>
          <w:tcPr>
            <w:tcW w:w="3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23,922</w:t>
            </w:r>
          </w:p>
        </w:tc>
        <w:tc>
          <w:tcPr>
            <w:tcW w:w="580" w:type="dxa"/>
            <w:vAlign w:val="bottom"/>
          </w:tcPr>
          <w:p>
            <w:pPr>
              <w:ind w:left="40"/>
              <w:spacing w:after="0" w:line="196" w:lineRule="exact"/>
              <w:rPr>
                <w:sz w:val="20"/>
                <w:szCs w:val="20"/>
                <w:color w:val="auto"/>
              </w:rPr>
            </w:pPr>
            <w:r>
              <w:rPr>
                <w:rFonts w:ascii="Arial" w:cs="Arial" w:eastAsia="Arial" w:hAnsi="Arial"/>
                <w:sz w:val="18"/>
                <w:szCs w:val="18"/>
                <w:color w:val="auto"/>
              </w:rPr>
              <w:t>(f) (g)</w:t>
            </w:r>
          </w:p>
        </w:tc>
        <w:tc>
          <w:tcPr>
            <w:tcW w:w="3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370"/>
              <w:spacing w:after="0" w:line="197" w:lineRule="exact"/>
              <w:rPr>
                <w:sz w:val="20"/>
                <w:szCs w:val="20"/>
                <w:color w:val="auto"/>
              </w:rPr>
            </w:pPr>
            <w:r>
              <w:rPr>
                <w:rFonts w:ascii="Arial" w:cs="Arial" w:eastAsia="Arial" w:hAnsi="Arial"/>
                <w:sz w:val="13"/>
                <w:szCs w:val="13"/>
                <w:color w:val="auto"/>
              </w:rPr>
              <w:t>(41,910</w:t>
            </w:r>
            <w:r>
              <w:rPr>
                <w:rFonts w:ascii="Arial" w:cs="Arial" w:eastAsia="Arial" w:hAnsi="Arial"/>
                <w:sz w:val="22"/>
                <w:szCs w:val="22"/>
                <w:color w:val="auto"/>
                <w:vertAlign w:val="subscript"/>
              </w:rPr>
              <w:t>) (j)</w:t>
            </w:r>
          </w:p>
        </w:tc>
        <w:tc>
          <w:tcPr>
            <w:tcW w:w="0" w:type="dxa"/>
            <w:vAlign w:val="bottom"/>
          </w:tcPr>
          <w:p>
            <w:pPr>
              <w:spacing w:after="0"/>
              <w:rPr>
                <w:sz w:val="1"/>
                <w:szCs w:val="1"/>
                <w:color w:val="auto"/>
              </w:rPr>
            </w:pPr>
          </w:p>
        </w:tc>
      </w:tr>
      <w:tr>
        <w:trPr>
          <w:trHeight w:val="21"/>
        </w:trPr>
        <w:tc>
          <w:tcPr>
            <w:tcW w:w="25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vMerge w:val="restart"/>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20"/>
              <w:spacing w:after="0" w:line="162" w:lineRule="exact"/>
              <w:rPr>
                <w:sz w:val="20"/>
                <w:szCs w:val="20"/>
                <w:color w:val="auto"/>
              </w:rPr>
            </w:pPr>
            <w:r>
              <w:rPr>
                <w:rFonts w:ascii="Arial" w:cs="Arial" w:eastAsia="Arial" w:hAnsi="Arial"/>
                <w:sz w:val="18"/>
                <w:szCs w:val="18"/>
                <w:color w:val="auto"/>
              </w:rPr>
              <w:t>(h) (i)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vMerge w:val="continue"/>
          </w:tcPr>
          <w:p>
            <w:pPr>
              <w:spacing w:after="0"/>
              <w:rPr>
                <w:sz w:val="18"/>
                <w:szCs w:val="18"/>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0.30</w:t>
            </w:r>
          </w:p>
        </w:tc>
        <w:tc>
          <w:tcPr>
            <w:tcW w:w="38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(a)</w:t>
            </w:r>
          </w:p>
        </w:tc>
        <w:tc>
          <w:tcPr>
            <w:tcW w:w="3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0.46</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91"/>
              </w:rPr>
              <w:t>(b) (c)</w:t>
            </w:r>
          </w:p>
        </w:tc>
        <w:tc>
          <w:tcPr>
            <w:tcW w:w="3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0.28</w:t>
            </w:r>
          </w:p>
        </w:tc>
        <w:tc>
          <w:tcPr>
            <w:tcW w:w="600" w:type="dxa"/>
            <w:vAlign w:val="bottom"/>
          </w:tcPr>
          <w:p>
            <w:pPr>
              <w:ind w:left="20"/>
              <w:spacing w:after="0" w:line="196" w:lineRule="exact"/>
              <w:rPr>
                <w:sz w:val="20"/>
                <w:szCs w:val="20"/>
                <w:color w:val="auto"/>
              </w:rPr>
            </w:pPr>
            <w:r>
              <w:rPr>
                <w:rFonts w:ascii="Arial" w:cs="Arial" w:eastAsia="Arial" w:hAnsi="Arial"/>
                <w:sz w:val="18"/>
                <w:szCs w:val="18"/>
                <w:color w:val="auto"/>
              </w:rPr>
              <w:t>(d) (e)</w:t>
            </w:r>
          </w:p>
        </w:tc>
        <w:tc>
          <w:tcPr>
            <w:tcW w:w="3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0.45</w:t>
            </w:r>
          </w:p>
        </w:tc>
        <w:tc>
          <w:tcPr>
            <w:tcW w:w="580" w:type="dxa"/>
            <w:vAlign w:val="bottom"/>
          </w:tcPr>
          <w:p>
            <w:pPr>
              <w:ind w:left="40"/>
              <w:spacing w:after="0" w:line="196" w:lineRule="exact"/>
              <w:rPr>
                <w:sz w:val="20"/>
                <w:szCs w:val="20"/>
                <w:color w:val="auto"/>
              </w:rPr>
            </w:pPr>
            <w:r>
              <w:rPr>
                <w:rFonts w:ascii="Arial" w:cs="Arial" w:eastAsia="Arial" w:hAnsi="Arial"/>
                <w:sz w:val="18"/>
                <w:szCs w:val="18"/>
                <w:color w:val="auto"/>
              </w:rPr>
              <w:t>(f) (g)</w:t>
            </w:r>
          </w:p>
        </w:tc>
        <w:tc>
          <w:tcPr>
            <w:tcW w:w="3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370"/>
              <w:spacing w:after="0" w:line="197" w:lineRule="exact"/>
              <w:rPr>
                <w:sz w:val="20"/>
                <w:szCs w:val="20"/>
                <w:color w:val="auto"/>
              </w:rPr>
            </w:pPr>
            <w:r>
              <w:rPr>
                <w:rFonts w:ascii="Arial" w:cs="Arial" w:eastAsia="Arial" w:hAnsi="Arial"/>
                <w:sz w:val="13"/>
                <w:szCs w:val="13"/>
                <w:color w:val="auto"/>
              </w:rPr>
              <w:t>(0.97</w:t>
            </w:r>
            <w:r>
              <w:rPr>
                <w:rFonts w:ascii="Arial" w:cs="Arial" w:eastAsia="Arial" w:hAnsi="Arial"/>
                <w:sz w:val="22"/>
                <w:szCs w:val="22"/>
                <w:color w:val="auto"/>
                <w:vertAlign w:val="subscript"/>
              </w:rPr>
              <w:t>) (j)</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(h) (i)</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20" w:type="dxa"/>
            <w:vAlign w:val="bottom"/>
            <w:vMerge w:val="continue"/>
            <w:shd w:val="clear" w:color="auto" w:fill="CCEEFF"/>
          </w:tcPr>
          <w:p>
            <w:pPr>
              <w:spacing w:after="0"/>
              <w:rPr>
                <w:sz w:val="22"/>
                <w:szCs w:val="22"/>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3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(a)</w:t>
            </w:r>
          </w:p>
        </w:tc>
        <w:tc>
          <w:tcPr>
            <w:tcW w:w="34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0.44</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(b) (c)</w:t>
            </w:r>
          </w:p>
        </w:tc>
        <w:tc>
          <w:tcPr>
            <w:tcW w:w="38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0.28</w:t>
            </w:r>
          </w:p>
        </w:tc>
        <w:tc>
          <w:tcPr>
            <w:tcW w:w="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 (e)</w:t>
            </w:r>
          </w:p>
        </w:tc>
        <w:tc>
          <w:tcPr>
            <w:tcW w:w="32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0.43</w:t>
            </w:r>
          </w:p>
        </w:tc>
        <w:tc>
          <w:tcPr>
            <w:tcW w:w="5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(f) (g)</w:t>
            </w:r>
          </w:p>
        </w:tc>
        <w:tc>
          <w:tcPr>
            <w:tcW w:w="320" w:type="dxa"/>
            <w:vAlign w:val="bottom"/>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370"/>
              <w:spacing w:after="0" w:line="197" w:lineRule="exact"/>
              <w:rPr>
                <w:sz w:val="20"/>
                <w:szCs w:val="20"/>
                <w:color w:val="auto"/>
              </w:rPr>
            </w:pPr>
            <w:r>
              <w:rPr>
                <w:rFonts w:ascii="Arial" w:cs="Arial" w:eastAsia="Arial" w:hAnsi="Arial"/>
                <w:sz w:val="13"/>
                <w:szCs w:val="13"/>
                <w:color w:val="auto"/>
              </w:rPr>
              <w:t>(0.97</w:t>
            </w:r>
            <w:r>
              <w:rPr>
                <w:rFonts w:ascii="Arial" w:cs="Arial" w:eastAsia="Arial" w:hAnsi="Arial"/>
                <w:sz w:val="22"/>
                <w:szCs w:val="22"/>
                <w:color w:val="auto"/>
                <w:vertAlign w:val="subscript"/>
              </w:rPr>
              <w:t>) (j)</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Weighted-average number of</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120"/>
              <w:spacing w:after="0"/>
              <w:rPr>
                <w:sz w:val="20"/>
                <w:szCs w:val="20"/>
                <w:color w:val="auto"/>
              </w:rPr>
            </w:pPr>
            <w:r>
              <w:rPr>
                <w:rFonts w:ascii="Arial" w:cs="Arial" w:eastAsia="Arial" w:hAnsi="Arial"/>
                <w:sz w:val="18"/>
                <w:szCs w:val="18"/>
                <w:color w:val="auto"/>
              </w:rPr>
              <w:t>common shares outstanding:</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60,644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60,055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57,030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53,433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43,210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61,599</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58,458</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43,210</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November 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October 30,</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2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213,879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234,281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209,306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86,573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422,740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380,808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368,680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369,814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885,929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849,234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817,854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703,879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182,203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168,956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152,577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78,852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587,831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586,001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559,756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495,943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449,696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transaction expenses of $0.8 million in connection with the pending joint venture with DNP Photomask Technology Co., Ltd.</w:t>
      </w:r>
    </w:p>
    <w:p>
      <w:pPr>
        <w:spacing w:after="0" w:line="252"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$1.4 million in connection with the discontinuance of manufacturing operations at the Company's Singapore facility.</w:t>
      </w:r>
    </w:p>
    <w:p>
      <w:pPr>
        <w:spacing w:after="0" w:line="197"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non-cash gain of $0.1 million in connection with subsequent measurement at fair value of warrants issued to purchase the Company’s common stock.</w:t>
      </w:r>
    </w:p>
    <w:p>
      <w:pPr>
        <w:spacing w:after="0" w:line="197" w:lineRule="exact"/>
        <w:rPr>
          <w:rFonts w:ascii="Arial" w:cs="Arial" w:eastAsia="Arial" w:hAnsi="Arial"/>
          <w:sz w:val="18"/>
          <w:szCs w:val="18"/>
          <w:color w:val="auto"/>
        </w:rPr>
      </w:pPr>
    </w:p>
    <w:p>
      <w:pPr>
        <w:ind w:left="340" w:right="6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non-cash charge of $0.4 million in connection with subsequent measurement at fair value of warrants issued to purchase the Company’s common stock.</w:t>
      </w:r>
    </w:p>
    <w:p>
      <w:pPr>
        <w:spacing w:after="0" w:line="197"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losses recorded in connection with the acquisition of $35.4 million face amount of the Company’s 5.5% convertible senior notes, in exchange for 5.2 million shares of its common stock and cash of $22.9 million.</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consolidation and restructuring credits of $5.0 million in connection with the closure of the Company's Shanghai, China, facility.</w:t>
      </w:r>
    </w:p>
    <w:p>
      <w:pPr>
        <w:spacing w:after="0" w:line="252" w:lineRule="exact"/>
        <w:rPr>
          <w:rFonts w:ascii="Arial" w:cs="Arial" w:eastAsia="Arial" w:hAnsi="Arial"/>
          <w:sz w:val="18"/>
          <w:szCs w:val="18"/>
          <w:color w:val="auto"/>
        </w:rPr>
      </w:pPr>
    </w:p>
    <w:p>
      <w:pPr>
        <w:ind w:left="340" w:right="66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non-cash charge of $0.9 million in connection with subsequent measurement at fair value of warrants issued to purchase the Company's common stock.</w:t>
      </w:r>
    </w:p>
    <w:p>
      <w:pPr>
        <w:spacing w:after="0" w:line="197"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$13.6 million in connection with the closures of the Company's Shanghai, China, and Manchester, U.K., manufacturing facilities.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impairment charge of $1.5 million related to the Company's Manchester, U.K., manufacturing facility.</w:t>
      </w:r>
    </w:p>
    <w:p>
      <w:pPr>
        <w:spacing w:after="0" w:line="252" w:lineRule="exact"/>
        <w:rPr>
          <w:rFonts w:ascii="Arial" w:cs="Arial" w:eastAsia="Arial" w:hAnsi="Arial"/>
          <w:sz w:val="18"/>
          <w:szCs w:val="18"/>
          <w:color w:val="auto"/>
        </w:rPr>
      </w:pPr>
    </w:p>
    <w:p>
      <w:pPr>
        <w:ind w:left="340" w:right="66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non-cash charge of $0.3 million in connection with subsequent measurement at fair value of warrants issued to purchase the Company's common stock.</w:t>
      </w:r>
    </w:p>
    <w:p>
      <w:pPr>
        <w:spacing w:after="0" w:line="193" w:lineRule="exact"/>
        <w:rPr>
          <w:sz w:val="20"/>
          <w:szCs w:val="20"/>
          <w:color w:val="auto"/>
        </w:rPr>
      </w:pPr>
    </w:p>
    <w:p>
      <w:pPr>
        <w:ind w:right="1300"/>
        <w:spacing w:after="0" w:line="651"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Results of Operations for the Years Ended November 3, 2013, October 28, 2012 and October 30, 2011 Overview</w:t>
      </w:r>
    </w:p>
    <w:p>
      <w:pPr>
        <w:spacing w:after="0" w:line="25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and FPD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right="20" w:firstLine="324"/>
        <w:spacing w:after="0" w:line="290" w:lineRule="auto"/>
        <w:rPr>
          <w:sz w:val="20"/>
          <w:szCs w:val="20"/>
          <w:color w:val="auto"/>
        </w:rPr>
      </w:pPr>
      <w:r>
        <w:rPr>
          <w:rFonts w:ascii="Arial" w:cs="Arial" w:eastAsia="Arial" w:hAnsi="Arial"/>
          <w:sz w:val="16"/>
          <w:szCs w:val="16"/>
          <w:color w:val="auto"/>
        </w:rPr>
        <w:t>The global semiconductor industry, including mobile display devices,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 believes its ability to remain successful in these environments is dependent upon its achieving its goals of being a service and technology leader and efficient solutions supplier, which it believes should enable it to continually reinvest in its global infrastructure.</w:t>
      </w:r>
    </w:p>
    <w:p>
      <w:pPr>
        <w:spacing w:after="0" w:line="193"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Company is focused on improving its competitiveness by advancing its technology and reducing costs and, in connection therewith, has invested in manufacturing equipment to serve the high-end market. As the Company continues to face challenges in the current and near term that require it to continue to make significant improvements in its competitiveness, it continues to evaluate further cost reduction initiatives.</w:t>
      </w:r>
    </w:p>
    <w:p>
      <w:pPr>
        <w:spacing w:after="0" w:line="19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As of December 2013 state-of-the-art production for semiconductor masks is considered to be 45 nanometer and lower for ICs and Generation 8 and above and AMOLED display based process technologies for FPDs. However, 65 nanometer and above geometries for semiconductors and Generation 7 and below, excluding AMOLED, process technologies for FPDs constitute the majority of designs currently being fabricated in volume. At these geometries, the Company can produce full lines of photomasks and there is no significant technology employed by the Company's competitors that is not available to the Company. The Company expects 45 nanometer and below designs to continue to move to wafer fabrication throughout fiscal 2014, and believes it is well positioned to service an increasing volume of this business as a result of its investments in manufacturing processes and technology in the global regions where its customers are located.</w:t>
      </w:r>
    </w:p>
    <w:p>
      <w:pPr>
        <w:spacing w:after="0" w:line="21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In particular, the Company believes that, as semiconductor geometries continue to become smaller, it will be required to manufacture even more complex optically-enhanced reticles, including optical proximity correction and phase-shift photomasks. Additionally, demand for photomasks has been, and could in the future be, adversely affected by changes in semiconductor and high performance electronics fabrication methods that affect the type or quantity of photomasks used, such as changes in semiconductor demand that favor field-programmable gate arrays and other semiconductor designs that replace application-specific ICs. Furthermore, increased market acceptance of alternative methods of transferring circuit designs onto semiconductor wafers could reduce or eliminate the need for photomasks in the production of semiconductors. As of the end of fiscal 2013, one alternative method, direct-write lithography, has not been proven to be a commercially viable alternative to photomasks, as it is considered too slow for high volume semiconductor wafer production, and the Company has not experienced a significant loss of revenue as a result of this or other alternative semiconductor design methodologies. However, should direct-write or any other alternative method of transferring IC designs to semiconductor wafers without the use of photomasks achieve market acceptance, and the Company does not anticipate, respond to, or utilize these or other changing technologies due to resource, technological or other constraints, its business and results of operations could be materially adversely affected.</w:t>
      </w:r>
    </w:p>
    <w:p>
      <w:pPr>
        <w:spacing w:after="0" w:line="21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Both revenues and costs have been affected by the increased demand for high-end technology photomasks that require more advanced manufacturing capabilities, but generally command higher average selling prices ("ASPs"). The Company's capital expenditure payments aggregated approximately $243 million for the three fiscal years ended November 3, 2013, which has significantly contributed to the Company’s operating expenses. The Company intends to continue to make the required investments to support the technological demands of its customers and position itself for future growth, and expects capital expenditure payments to be between $70 million and $90 million in fiscal 2014.</w:t>
      </w:r>
    </w:p>
    <w:p>
      <w:pPr>
        <w:spacing w:after="0" w:line="20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manufacture of photomasks for use in fabricating ICs and other related products built using comparable photomask-based process technologies has been, and continues to be, capital intensive. The Company's integrated global manufacturing network, which consists of eight manufacturing sites, and its employees represent a significant portion of its fixed operating cost base. Should sales volumes decrease as a result of a decrease in design releases from the Company's customers, the Company may have excess or underutilized production capacity that could significantly impact operating margins, or result in write-offs from asset impairments.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ind w:firstLine="324"/>
        <w:spacing w:after="0" w:line="255" w:lineRule="auto"/>
        <w:rPr>
          <w:sz w:val="20"/>
          <w:szCs w:val="20"/>
          <w:color w:val="auto"/>
        </w:rPr>
      </w:pPr>
      <w:r>
        <w:rPr>
          <w:rFonts w:ascii="Arial" w:cs="Arial" w:eastAsia="Arial" w:hAnsi="Arial"/>
          <w:sz w:val="18"/>
          <w:szCs w:val="18"/>
          <w:color w:val="auto"/>
        </w:rPr>
        <w:t>In the first quarter of fiscal 2014 the Company entered an agreement to merge PSMC with DNP Photomask Technology Taiwan Co., Ltd., a wholly owned subsidiary of Dai Nippon Printing Co., Ltd. (DNP), to form a joint venture which will operate under the name of Photronics DNP Mask Corporation (PDMC). The pending merger, which is a noncash transaction, will result in the Company owning 50.01% and DNP owning 49.99% of PDMC, whose financial results will be included in the Company’s consolidated financial statements. PDMC is expected to generate sufficient cash flows to fund its operating and capital requirements. The merger is subject to regulatory approvals and customary closing conditions, and is expected to be finalized during the first half of fiscal 2014.</w:t>
      </w:r>
    </w:p>
    <w:p>
      <w:pPr>
        <w:spacing w:after="0" w:line="22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In the first quarter of fiscal 2014 the Company amended its credit facility to a five year $50 million credit facility (the “new credit facility”) with an expansion capacity to $75 million, and simultaneously repaid its $21.3 million term loan. The new credit facility, which replaced the credit facility in effect at November 3, 2013, bears interest based on the Company’s total leverage ratio, at LIBOR plus a spread, as defined in the new credit facility.</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the fourth quarter of fiscal 2013 a $26.4 million principal amount, five year capital lease to fund the purchase of a high-end lithography tool commenced. Payments under the lease, which bears interest at 2.77% are $0.5 million per month through July 2018. Under the terms of the lease agreement, the Company must maintain the equipment in good working order, and is subject to a cross default with a cross acceleration provision related to certain nonfinancial covenants incorporated in its credit facility. As of November 3, 2013, the total amount payable through the end of the lease term was $26.8 million, of which $25.1 million represented principal and $1.7 million represented interest.</w:t>
      </w:r>
    </w:p>
    <w:p>
      <w:pPr>
        <w:spacing w:after="0" w:line="21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the third quarter of fiscal 2013 the Company completed a tender offer for shares of PSMC. A total of 50.3 million shares were tendered at the offering price of 16.30 NTD (equivalent to a total of $27.4 million), which increased the Company’s ownership interest in PSMC from 75.11% to 98.13%. In the fourth quarter of fiscal 2013 the Company further increased its ownership interest in PSMC to 98.63% with the purchase of an additional 1.1 million shares of PSMC for $0.7 million.</w:t>
      </w:r>
    </w:p>
    <w:p>
      <w:pPr>
        <w:spacing w:after="0" w:line="214"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In the first quarter of fiscal 2013 PSMC completed a stock repurchase plan that had been authorized by its board of directors in fiscal 2012. The completion of this repurchase plan resulted in the Company acquiring an additional 9.2 million shares at a cost $4.2 million, and increasing its ownership percentage in PSMC from 72.09% at October 28, 2012 to 75.11% as of January 27, 2013.</w:t>
      </w:r>
    </w:p>
    <w:p>
      <w:pPr>
        <w:spacing w:after="0" w:line="20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the second quarter of fiscal 2012 the Company paid $35 million to Micron in connection with its purchase of the U.S. nanoFab facility, which it had been leasing from Micron under an operating lease that was to end in December 2014. The purchase of the facility resulted in the Company’s outstanding operating lease commitments being reduced by a total of $15 million for fiscal years 2013 and 2014.</w:t>
      </w:r>
    </w:p>
    <w:p>
      <w:pPr>
        <w:spacing w:after="0" w:line="208"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In the second quarter of fiscal 2012 the Company, in connection with its purchase of the U.S. nanoFab facility, amended its credit facility (“the credit facility”) to include the addition of a $25 million term loan maturing in March 2017 with minimum quarterly principal payments of $0.6 million (quarterly payments commenced in June 2012 and were based on a ten year repayment period). The Company repaid the $21.3 million balance of this term loan that was outstanding at November 3, 2013, in the first quarter of fiscal 2014. The credit facility bore interest (2.69% at November 3, 2013), based on the Company’s total leverage ratio, at LIBOR plus a spread, as defined in the credit facility.</w:t>
      </w:r>
    </w:p>
    <w:p>
      <w:pPr>
        <w:spacing w:after="0" w:line="21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the first quarter of fiscal 2012 the Company ceased the manufacture of photomasks at its Singapore facility. This action, which was substantially completed in fiscal 2012, resulted in the Company recording restructuring charges of $1.4 million in fiscal 2012.</w:t>
      </w:r>
    </w:p>
    <w:p>
      <w:pPr>
        <w:spacing w:after="0" w:line="197"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In 2012 the board of directors of PSMC authorized PSMC to repurchase additional shares of its outstanding common stock for retirement. These repurchase programs resulted in 35.9 million shares being purchased for $15.6 million in the fiscal year ended October 28, 2012. PSMC’s repurchase of these shares increased the Company’s ownership percentage in PSMC from 62.25% at October 30, 2011 to 72.09% as of October 28, 2012.</w:t>
      </w:r>
    </w:p>
    <w:p>
      <w:pPr>
        <w:spacing w:after="0" w:line="193" w:lineRule="exact"/>
        <w:rPr>
          <w:sz w:val="20"/>
          <w:szCs w:val="20"/>
          <w:color w:val="auto"/>
        </w:rPr>
      </w:pPr>
    </w:p>
    <w:p>
      <w:pPr>
        <w:ind w:right="580" w:firstLine="324"/>
        <w:spacing w:after="0" w:line="264" w:lineRule="auto"/>
        <w:rPr>
          <w:sz w:val="20"/>
          <w:szCs w:val="20"/>
          <w:color w:val="auto"/>
        </w:rPr>
      </w:pPr>
      <w:r>
        <w:rPr>
          <w:rFonts w:ascii="Arial" w:cs="Arial" w:eastAsia="Arial" w:hAnsi="Arial"/>
          <w:sz w:val="18"/>
          <w:szCs w:val="18"/>
          <w:color w:val="auto"/>
        </w:rPr>
        <w:t>In 2011 the board of directors of PSMC authorized PSMC to repurchase shares of its outstanding common stock for retirement. These repurchase programs resulted in 21.6 million shares being purchased for $9.9 million. PSMC’s repurchase of these shares increased the Company’s ownership percentage in PSMC from 57.53% at October 31, 2010 to 62.25% as of October 30, 2011.</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right="20" w:firstLine="324"/>
        <w:spacing w:after="0" w:line="253" w:lineRule="auto"/>
        <w:rPr>
          <w:sz w:val="20"/>
          <w:szCs w:val="20"/>
          <w:color w:val="auto"/>
        </w:rPr>
      </w:pPr>
      <w:r>
        <w:rPr>
          <w:rFonts w:ascii="Arial" w:cs="Arial" w:eastAsia="Arial" w:hAnsi="Arial"/>
          <w:sz w:val="18"/>
          <w:szCs w:val="18"/>
          <w:color w:val="auto"/>
        </w:rPr>
        <w:t>In the second quarter of fiscal 2011 the Company issued, through a private offering pursuant to Rule 144A under the Securities Act of 1933, as amended, $115 million aggregate principal amount of 3.25% convertible senior notes. The notes mature on April 1, 2016, and note holders may convert each $1,000 principal amount of notes to 96.3879 shares of common stock (equivalent to an initial conversion price of $10.37 per share of common stock) at any time prior to the close of business on the second scheduled trading day immediately preceding April 1, 2016. The conversion rate is subject to adjustment upon the occurrence of certain events, which are described in the indenture dated March 28, 2011. The Company is not required to redeem the notes prior to their maturity date. Interest on the notes accrues in arrears, and is paid semiannually through the notes’ maturity date. Interest payments on the notes commenced on October 1, 2011. The net proceeds of the notes were approximately $110.7 million, which were used, in part, to repurchase $35.4 million of the Company’s 5.5% convertible senior notes, which were to mature in October 2014, and to pay, in full, its then outstanding obligations under capital leases of $19.8 million.</w:t>
      </w:r>
    </w:p>
    <w:p>
      <w:pPr>
        <w:spacing w:after="0" w:line="22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second and third quarters of fiscal 2011 the Company, in two separate transactions, acquired $35.4 million of its 5.5% convertible senior notes in exchange for 5.2 million shares of its common stock, with a fair value of $45.7 million, and cash of $22.9 million (the note holders received 147.529 shares and cash of $647 for each $1,000 note). The Company, in connection with these transactions, recorded extinguishment losses of $35.1 million, which included the write-off of deferred financing fees of $2.0 million. The losses are included in other income (expense) in the Company’s consolidated statements of income. As discussed above, in the first quarter of fiscal 2014 the Company entered into an amended five year $50 million credit facility. The Company intends to repay its remaining 5.5% convertible senior notes with borrowings against the amended credit facility and, therefore, has classified as long-term the entire $22.1 million of those notes that was outstanding as of November 3, 2013.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operating information expressed as a percentage of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Year Ended</w:t>
            </w:r>
          </w:p>
        </w:tc>
        <w:tc>
          <w:tcPr>
            <w:tcW w:w="1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36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4"/>
              </w:rPr>
              <w:t>November 3,</w:t>
            </w:r>
          </w:p>
        </w:tc>
        <w:tc>
          <w:tcPr>
            <w:tcW w:w="140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October 28,</w:t>
            </w:r>
          </w:p>
        </w:tc>
        <w:tc>
          <w:tcPr>
            <w:tcW w:w="116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October 30,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Cost of sales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(76.4)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(75.1)</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Consolidation, restructuring and related charges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Interest expense</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tcBorders>
              <w:left w:val="single" w:sz="8" w:color="CCEEFF"/>
            </w:tcBorders>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Debt extinguishment loss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Income tax provision</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Note: All the following tabular comparisons, unless otherwise indicated, are for the fiscal years ended November 3, 2013 (2013), October 28, 2012 (2012) and October 30, 2011 (2011), in millions of dollars.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3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5"/>
          </w:tcPr>
          <w:p>
            <w:pPr>
              <w:ind w:left="72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jc w:val="center"/>
              <w:ind w:left="210"/>
              <w:spacing w:after="0" w:line="198" w:lineRule="exact"/>
              <w:rPr>
                <w:sz w:val="20"/>
                <w:szCs w:val="20"/>
                <w:color w:val="auto"/>
              </w:rPr>
            </w:pPr>
            <w:r>
              <w:rPr>
                <w:rFonts w:ascii="Arial" w:cs="Arial" w:eastAsia="Arial" w:hAnsi="Arial"/>
                <w:sz w:val="18"/>
                <w:szCs w:val="18"/>
                <w:b w:val="1"/>
                <w:bCs w:val="1"/>
                <w:color w:val="auto"/>
                <w:w w:val="90"/>
              </w:rPr>
              <w:t>2012 to</w:t>
            </w:r>
          </w:p>
        </w:tc>
        <w:tc>
          <w:tcPr>
            <w:tcW w:w="3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6"/>
              </w:rPr>
              <w:t>2011 to</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391.2</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(8.4)%</w:t>
            </w:r>
          </w:p>
        </w:tc>
        <w:tc>
          <w:tcPr>
            <w:tcW w:w="13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5"/>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FPD</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120.8</w:t>
            </w:r>
          </w:p>
        </w:tc>
        <w:tc>
          <w:tcPr>
            <w:tcW w:w="86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1380" w:type="dxa"/>
            <w:vAlign w:val="bottom"/>
            <w:gridSpan w:val="2"/>
          </w:tcPr>
          <w:p>
            <w:pPr>
              <w:ind w:left="7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(6.3)%</w:t>
            </w:r>
          </w:p>
        </w:tc>
        <w:tc>
          <w:tcPr>
            <w:tcW w:w="13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5"/>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Net sales for 2013 decreased 6.3% to $422.2 million as compared to $450.4 million for 2012, primarily related to reduced high-end IC sales of $30 million as compared to the prior year. The reduced high-end IC revenue was primarily attributable to an Asian foundry customer for which the Company was not qualified as a result of a node migration, and to a lesser extent, reduced average selling prices (ASPs). Total IC sales decreased by $29.5 million or 8.4% in 2013 as compared to 2012, primarily due to reduced high-end IC sales discussed previously, and mainstream IC sales were essentially flat. Total FPD sales increased by $1.3 million or 1.3% in 2013 as compared to 2012, primarily due to increased high-end FPD sales, which was partially offset by a $4 million decrease in mainstream FPD sales. Total revenues attributable to high-end products decreased by $24 million to $149 million in 2013, as high-end revenues for IC decreased by $30 million to $80 million, which were partially offset by a $6 million increase in high-end FPD revenues to $69 million. High-end photomask applications, which typically have higher ASPs, include photomask sets for IC products using 45 nanometer and below technologies, and for FPD products using Generation 8 and above and AMOLED technologies. By geographic area, net sales in 2013 as compared to 2012 decreased by $26.9 million or 16.7% in Korea, decreased by $8.1 million or 6.0% in the United States, increased by $8.1 million or 7.4% in Taiwan, increased by $0.5 million or 1.2% in Europe and decreased by $1.8 million at other international locations. As a percent of total sales in 2013, sales were 32% in Korea, 30% in the United States, 28% in Taiwan, 9% in Europe, and 1% at other international locations.</w:t>
      </w:r>
    </w:p>
    <w:p>
      <w:pPr>
        <w:spacing w:after="0" w:line="20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Net sales for 2012 decreased 12.0% to $450.4 million as compared to $512.0 million for 2011, primarily due to reduced photomask demand as a result of a general slowdown in the semiconductor industry, although high-end IC unit demand and revenues increased. Revenues attributable to high-end products increased by $12 million to $173 million, as high-end revenues for IC increased by $15 million to $110 million, which were partially offset by a $3 million reduction in high-end FPD revenues to $63 million. Mainstream IC and FPD revenues decreased in 2012 as compared to 2011 as a result of decreases in both unit demand and ASPs. By geographic area, net sales in 2012 as compared to 2011 decreased by $22.8 million or 14.5% in the United States, by $12.8 million or 10.5% in Taiwan, by $10.2 million or 5.9% in Korea, by 9.8 million in Singapore or 69.8% (the Company ceased the manufacture of photomasks at its Singapore facility in the first quarter of fiscal 2012) and by $6.0 million or 12.8% in Europe. As a percent of total sales in 2012 sales were 36% in Korea, 30% in the United States, 24% in Taiwan, 9% in Europe and 1% at other international locations.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60" w:type="dxa"/>
            <w:vAlign w:val="bottom"/>
            <w:gridSpan w:val="5"/>
          </w:tcPr>
          <w:p>
            <w:pPr>
              <w:ind w:left="68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Borders>
              <w:top w:val="single" w:sz="8" w:color="auto"/>
            </w:tcBorders>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rPr>
              <w:t>2012 to</w:t>
            </w:r>
          </w:p>
        </w:tc>
        <w:tc>
          <w:tcPr>
            <w:tcW w:w="11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2011 to</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99.6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111.9</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Gross margin %</w:t>
            </w: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93"/>
              </w:rPr>
              <w:t>23.6%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ind w:right="180" w:firstLine="324"/>
        <w:spacing w:after="0" w:line="259" w:lineRule="auto"/>
        <w:rPr>
          <w:sz w:val="20"/>
          <w:szCs w:val="20"/>
          <w:color w:val="auto"/>
        </w:rPr>
      </w:pPr>
      <w:r>
        <w:rPr>
          <w:rFonts w:ascii="Arial" w:cs="Arial" w:eastAsia="Arial" w:hAnsi="Arial"/>
          <w:sz w:val="18"/>
          <w:szCs w:val="18"/>
          <w:color w:val="auto"/>
        </w:rPr>
        <w:t>Gross margin percentage decreased to 23.6% in 2013 from 24.9% in 2012, primarily due to a decrease in sales in 2013 as compared to 2012. The Company operates in a high fixed cost environment and, to the extent that the Company's revenues and utilization increase or decrease, gross margin will generally be positively or negatively impacted. Gross margin percentage decreased to 24.9% in 2012 from 26.6% in 2011. This decrease was also primarily due to a decrease in sales in 2012 as compared to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tcBorders>
              <w:bottom w:val="single" w:sz="8" w:color="auto"/>
            </w:tcBorders>
            <w:gridSpan w:val="4"/>
          </w:tcPr>
          <w:p>
            <w:pPr>
              <w:ind w:left="660"/>
              <w:spacing w:after="0"/>
              <w:rPr>
                <w:sz w:val="20"/>
                <w:szCs w:val="20"/>
                <w:color w:val="auto"/>
              </w:rPr>
            </w:pPr>
            <w:r>
              <w:rPr>
                <w:rFonts w:ascii="Arial" w:cs="Arial" w:eastAsia="Arial" w:hAnsi="Arial"/>
                <w:sz w:val="18"/>
                <w:szCs w:val="18"/>
                <w:b w:val="1"/>
                <w:bCs w:val="1"/>
                <w:color w:val="auto"/>
              </w:rPr>
              <w:t>Percent Change</w:t>
            </w:r>
          </w:p>
        </w:tc>
        <w:tc>
          <w:tcPr>
            <w:tcW w:w="2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center"/>
              <w:ind w:left="170"/>
              <w:spacing w:after="0" w:line="198" w:lineRule="exact"/>
              <w:rPr>
                <w:sz w:val="20"/>
                <w:szCs w:val="20"/>
                <w:color w:val="auto"/>
              </w:rPr>
            </w:pPr>
            <w:r>
              <w:rPr>
                <w:rFonts w:ascii="Arial" w:cs="Arial" w:eastAsia="Arial" w:hAnsi="Arial"/>
                <w:sz w:val="18"/>
                <w:szCs w:val="18"/>
                <w:b w:val="1"/>
                <w:bCs w:val="1"/>
                <w:color w:val="auto"/>
                <w:w w:val="90"/>
              </w:rPr>
              <w:t>2012 to</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center"/>
              <w:ind w:left="190"/>
              <w:spacing w:after="0" w:line="198" w:lineRule="exact"/>
              <w:rPr>
                <w:sz w:val="20"/>
                <w:szCs w:val="20"/>
                <w:color w:val="auto"/>
              </w:rPr>
            </w:pPr>
            <w:r>
              <w:rPr>
                <w:rFonts w:ascii="Arial" w:cs="Arial" w:eastAsia="Arial" w:hAnsi="Arial"/>
                <w:sz w:val="18"/>
                <w:szCs w:val="18"/>
                <w:b w:val="1"/>
                <w:bCs w:val="1"/>
                <w:color w:val="auto"/>
                <w:w w:val="86"/>
              </w:rPr>
              <w:t>2011 to</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w:t>
            </w:r>
          </w:p>
        </w:tc>
        <w:tc>
          <w:tcPr>
            <w:tcW w:w="18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46.7</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45.2</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3.2%</w:t>
            </w: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 of net sales</w:t>
            </w: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0"/>
                <w:szCs w:val="20"/>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w w:val="97"/>
              </w:rPr>
              <w:t>10.4%</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860" w:type="dxa"/>
            <w:vAlign w:val="bottom"/>
          </w:tcPr>
          <w:p>
            <w:pPr>
              <w:spacing w:after="0"/>
              <w:rPr>
                <w:sz w:val="20"/>
                <w:szCs w:val="20"/>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Selling, general and administrative expenses increased by $1.5 million to $48.2 million in 2013, as compared to 2012, primarily as a result of transaction expenses of $0.8 million related to a pending joint venture, and to a lesser extent, increased selling-related expenses. Selling, general and administrative expenses increased by $1.5 million to $46.7 million in 2012 as compared to 2011 primarily as a result of increased employee compensation and selling-related expenses.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2012 to</w:t>
            </w:r>
          </w:p>
        </w:tc>
        <w:tc>
          <w:tcPr>
            <w:tcW w:w="116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2011 to</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R&amp;D expense</w:t>
            </w:r>
          </w:p>
        </w:tc>
        <w:tc>
          <w:tcPr>
            <w:tcW w:w="14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 of net sales</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Research and development expenses consist primarily of global development efforts related to high-end process technologies for advanced sub-wavelength reticle solutions for IC technologies. Research and development expenses increased by $1.4 million to $20.8 million in 2013 as compared to 2012, and increased by $3.9 million to $19.4 million in 2012 as compared to 2011, primarily due to increased activities at advanced nanometer technology nodes for IC photomask applications.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Restructuring and Related Charges</w:t>
      </w:r>
    </w:p>
    <w:p>
      <w:pPr>
        <w:spacing w:after="0" w:line="252"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Consolidation, restructuring and related charges of $1.4 million in 2012 primarily relate to the Company ceasing the manufacture of photomasks at its Singapore facility, and were primarily comprised of employee terminations and other costs of $1.1 million and asset write-downs of $0.3 million.</w:t>
      </w:r>
    </w:p>
    <w:p>
      <w:pPr>
        <w:spacing w:after="0" w:line="15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continues to assess its global manufacturing strategy. This ongoing assessment could result in future facility closures, asset redeployments, workforce reductions, and the addition of increased manufacturing facilities, all of which would be predicated on market conditions and customer requirements.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6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8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8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Debt extinguishment loss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800" w:type="dxa"/>
            <w:vAlign w:val="bottom"/>
          </w:tcPr>
          <w:p>
            <w:pPr>
              <w:jc w:val="right"/>
              <w:ind w:right="64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Interest expense increased slightly in 2013 as compared to 2012, primarily as a result of an additional capital lease commencing in 2013 related to the purchase of high-end equipment. Interest and other income (expense), net increased in 2013 as compared to 2012, primarily as a result of increased foreign currency exchange gains.</w:t>
      </w:r>
    </w:p>
    <w:p>
      <w:pPr>
        <w:spacing w:after="0" w:line="20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Interest expense increased slightly in 2012 as compared to 2011, primarily as a result of the term loan entered into in the second quarter of 2012. Interest and other income (expense), net increased in 2012 as compared to 2011, primarily as a result of increased interest income on the Company’s higher cash balances in 2012.</w:t>
      </w:r>
    </w:p>
    <w:p>
      <w:pPr>
        <w:spacing w:after="0" w:line="20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the second and third quarters of fiscal 2011, the Company acquired $35.4 million aggregate principal amount of its 5.5% convertible senior notes by delivering $22.9 million in cash and 5.2 million shares of its common stock, with a fair value of $45.7 million. In connection with these 2011 acquisitions the Company recorded total debt extinguishment losses of $35.1 million, which included the write-off of $2.0 million of deferred financing fees. A portion of the net proceeds of the Company’s March 28, 2011, 3.25% convertible senior notes offering was used to repurchase these notes.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760" w:type="dxa"/>
            <w:vAlign w:val="bottom"/>
            <w:shd w:val="clear" w:color="auto" w:fill="CCEEFF"/>
          </w:tcPr>
          <w:p>
            <w:pPr>
              <w:jc w:val="right"/>
              <w:ind w:right="59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27.0%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3"/>
              </w:rPr>
              <w:t>43.7%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effective tax rate differs from the U.S. statutory rate of 35% in fiscal years 2013 and 2012 primarily due to a higher level of earnings being taxed at lower statutory rates in foreign jurisdictions, combined with the benefit of various investment credits in the foreign jurisdictions.</w:t>
      </w:r>
    </w:p>
    <w:p>
      <w:pPr>
        <w:spacing w:after="0" w:line="19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effective tax rate differs from the U.S. statutory rate of 35% in fiscal year 2011 primarily due to the impact of the non-deductible debt extinguishment losses and the impact of a foreign subsidiary tax settlement, offset by a higher level of earnings taxed at lower statutory rates in foreign jurisdictions. Further, in Korea and in Taiwan, various investment tax credits have been earned, which also reduced the Company’s effective income tax rate in 2011.</w:t>
      </w:r>
    </w:p>
    <w:p>
      <w:pPr>
        <w:spacing w:after="0" w:line="21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considers all available evidence when evaluating the potential future realization of its deferred tax assets and, when based on the weight of all available evidence, it determines that it is more likely than not that some portion or all of its deferred tax assets will not be realized, reduces its deferred tax assets by a valuation allowance. As a result of these considerations, the valuation allowance was increased (decreased) by $1.1 million, $2.5 million and $(8.2) million in 2013, 2012 and 2011, respectively. The Company also regularly assesses the potential outcomes of ongoing and future tax examinations and, accordingly, has recorded accruals for such contingencies.</w:t>
      </w:r>
    </w:p>
    <w:p>
      <w:pPr>
        <w:spacing w:after="0" w:line="21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PKLT, the Company's FPD manufacturing facility in Taiwan, has been accorded a tax holiday which commenced in 2012 and expires in 2017. In addition, the Company was accorded a tax holiday in China which expired in 2011. The availability of these tax holidays did not have a significant impact on the Company's decision to increase its Asian presence, which was in response to fundamental changes that took place in the semiconductor industry that the Company serves. These tax holidays had no dollar or per share effect on the 2013, 2012 or 2011 fiscal years.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Net income attributable to noncontrolling interests decreased to $1.6 million in 2013 as compared to $2.0 million in 2012, primarily as a result of the effect of shares of PSMC purchased under the tender offer and share repurchase programs discussed in Note 15 to the consolidated financial statements. Net income attributable to noncontrolling interests decreased to $2.0 million in 2012 as compared to $4.0 million in 2011, primarily as a result of decreased net income at PSMC, the Company's non-wholly owned subsidiary in Taiwan, and to a lesser extent, due to PSMC’s share repurchase program (discussed below).</w:t>
      </w:r>
    </w:p>
    <w:p>
      <w:pPr>
        <w:spacing w:after="0" w:line="18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June 2013 the Company completed the tender offer for the outstanding shares of PSMC that commenced in April 2013. A total of 50.3 million shares were tendered at the offering price of 16.30 NTD, equivalent to a total of $27.4 million. This increased the Company’s ownership interest in PSMC to</w:t>
      </w:r>
    </w:p>
    <w:p>
      <w:pPr>
        <w:ind w:right="60"/>
        <w:spacing w:after="0" w:line="261" w:lineRule="auto"/>
        <w:rPr>
          <w:sz w:val="20"/>
          <w:szCs w:val="20"/>
          <w:color w:val="auto"/>
        </w:rPr>
      </w:pPr>
      <w:r>
        <w:rPr>
          <w:rFonts w:ascii="Arial" w:cs="Arial" w:eastAsia="Arial" w:hAnsi="Arial"/>
          <w:sz w:val="18"/>
          <w:szCs w:val="18"/>
          <w:color w:val="auto"/>
        </w:rPr>
        <w:t>98.13%. In September 2013 the Company purchased an additional 1.1 million shares for $0.7 million which further increased its ownership interest in PSMC to 98.63% as of November 3, 2013.</w:t>
      </w:r>
    </w:p>
    <w:p>
      <w:pPr>
        <w:spacing w:after="0" w:line="21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PSMC, through a series of repurchase programs which commenced in 2011 and ended in 2013, repurchased shares of its outstanding common stock. These repurchase programs resulted in 9.2 million shares being purchased for $4.2 million in 2013, 35.9 million shares being purchased for $15.6 million in 2012 and 21.6 million shares being purchased for $9.9 million in 2011. PSMC’s repurchase of these shares increased the Company’s ownership percentage in PSMC from 57.53% at October 31, 2010, to 62.25% as of October 30, 2011, to 72.09% as of October 28, 2012, and to 75.11% as of January 27,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November 3,</w:t>
            </w:r>
          </w:p>
        </w:tc>
        <w:tc>
          <w:tcPr>
            <w:tcW w:w="10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October 28,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i w:val="1"/>
                <w:iCs w:val="1"/>
                <w:color w:val="auto"/>
                <w:w w:val="98"/>
              </w:rPr>
              <w:t>(in millions)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i w:val="1"/>
                <w:iCs w:val="1"/>
                <w:color w:val="auto"/>
                <w:w w:val="96"/>
              </w:rPr>
              <w:t>(in millions)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i w:val="1"/>
                <w:iCs w:val="1"/>
                <w:color w:val="auto"/>
                <w:w w:val="98"/>
              </w:rPr>
              <w:t>(in millions)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12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November 3, 2013, the Company had cash and cash equivalents of $215.6 million compared to $218.0 million as of October 28, 2012. The Company's working capital decreased $20.4 million to $213.9 million at November 3, 2013, as compared to $234.3 million at October 28, 2012. The decrease in working capital was primarily the result of the purchase of PSMC shares and increased payables for capital expenditures. The Company may use its cash available on hand for operations, capital expenditures, debt repayments, strategic opportunities, stock repurchases or other corporate uses, any of which may be material.</w:t>
      </w:r>
    </w:p>
    <w:p>
      <w:pPr>
        <w:spacing w:after="0" w:line="21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As of October 28, 2012, the Company had cash and cash equivalents of $218.0 million compared to $189.9 million as of October 30, 2011. The Company's working capital increased $25.0 million to $234.3 million at October 28, 2012, as compared to $209.3 million at October 30, 2011. The increase in working capital was primarily the result of cash generated from operations.</w:t>
      </w:r>
    </w:p>
    <w:p>
      <w:pPr>
        <w:spacing w:after="0" w:line="20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November 3, 2013 and October 28, 2012, the Company’s total cash and cash equivalents include $165.7 million and $158.2 million, respectively, held by its foreign subsidiaries. The majority of earnings of the Company’s foreign subsidiaries are considered to be indefinitely reinvested. The Company’s foreign subsidiaries continue to grow through the reinvestment of earnings in additional manufacturing capacity and capability, particularly in the high-end IC and FPD areas. Repatriation of these funds to the U.S. may subject these funds to U.S. federal income taxes and local country withholding tax in certain jurisdictions.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ind w:left="340"/>
        <w:spacing w:after="0"/>
        <w:rPr>
          <w:sz w:val="20"/>
          <w:szCs w:val="20"/>
          <w:color w:val="auto"/>
        </w:rPr>
      </w:pPr>
      <w:r>
        <w:rPr>
          <w:rFonts w:ascii="Arial" w:cs="Arial" w:eastAsia="Arial" w:hAnsi="Arial"/>
          <w:sz w:val="17"/>
          <w:szCs w:val="17"/>
          <w:color w:val="auto"/>
        </w:rPr>
        <w:t>Net cash provided by operating activities decreased to $99.4 million in fiscal 2013, as compared to $132.5 million in fiscal 2012, primarily due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reduced year-over-year net income and depreciation and amortization, and less cash generated from accounts receivable in 2013 than in 2012. Net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by operating activities was $132.5 million in fiscal 2012, as compared to $136.6 million in fiscal 2011. The decrease was the result of less favorable,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when adjusted for a significant non-cash debt extinguishment loss charge, year-over-year operating results, which was partially offset by more cash generated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reduced accounts receivable and inventory balances. Net cash provided by operating activities was $136.6 million in fiscal 2011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$95.9 million in fiscal 2010. The increase was the effect of improved year-over-year operating results (excluding the effect of the non-cash debt portion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extinguishment loss) as a result of increased sales.</w:t>
      </w:r>
    </w:p>
    <w:p>
      <w:pPr>
        <w:spacing w:after="0" w:line="23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Net cash used in investing activities in fiscal 2013 decreased to $66.2 million, as compared to $111.9 million in 2012, primarily due to less capital expenditure payments in 2013, and also due to no additional investments being made in the MP Mask joint venture in 2013, whereas $13.4 million was invested in 2012. Net cash used in investing activities increased to $111.9 million in fiscal 2012, as compared to $100.7 million in fiscal 2011, due to increased purchases of property, plant and equipment, which were partially offset by a decrease in the amount of the Company’s year-over-year investment in the MP Mask joint venture. The investments in the joint venture were primarily the result of capital calls made by the joint venture. Net cash used in investing activities in fiscal 2011 increased to $100.7 million, as compared to $58.2 million in 2010, primarily due to increases in the Company’s investment in MP Mask as a result of capital calls and net proceeds from the sale of the Company’s former manufacturing facility in Shanghai, China, which reduced total net proceeds used in investing activities in fiscal 2010, and increased capital expenditures in 2011. Capital expenditure payments for the 2013, 2012, and 2011 fiscal years were $63.8 million, $97.0 million and $82.1 million, respectively. The Company expects capital expenditure payments for fiscal 2014 to range between $70 million and $90 million, primarily related to investment in high-end IC manufacturing capability.</w:t>
      </w:r>
    </w:p>
    <w:p>
      <w:pPr>
        <w:spacing w:after="0" w:line="19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Net cash used in financing activities was $39.8 million in fiscal 2013 as compared to $4.6 million provided by financing activities in fiscal 2012, and was primarily comprised of payments to acquire additional shares of PSMC and repayments of long-term borrowings. Net cash provided by financing activities was $4.6 million in fiscal 2012, as compared to $54.5 million provided by financing activities in fiscal 2011 and, in 2012, was primarily comprised of the proceeds of a $25 million term loan, that was entered into by the Company in connection with its purchase of the US nanoFab facility, which was partially offset by payments for the repurchase of common stock of PSMC from noncontrolling interests and repayments on long-term borrowings. Net cash provided by financing activities was $54.5 million in fiscal 2011 as compared to $32.4 million used in financing activities in fiscal 2010, and was primarily comprised of the net proceeds received from the March 2011 issuance of 3.25% convertible senior notes, partially offset by the repayment of certain other higher interest rate long-term borrowings.</w:t>
      </w:r>
    </w:p>
    <w:p>
      <w:pPr>
        <w:spacing w:after="0" w:line="21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November 2013 the Company entered into an agreement to merge PSMC with DNP Photomask Technology Taiwan Co., Ltd., a wholly owned subsidiary of Dai Nippon Printing Co., Ltd. (DNP), to form a joint venture which will operate under the name of Photronics DNP Mask Corporation (PDMC). The pending merger, which is a noncash transaction, will result in the Company owning 50.01% and DNP owning 49.99% of PDMC, whose financial results will be included in the Company’s consolidated financial statements. PDMC is expected to generate sufficient cash flows to fund its operating and capital requirements. The merger is subject to regulatory approvals and customary closing conditions, and is expected to be finalized during the first half of fiscal 2014.</w:t>
      </w:r>
    </w:p>
    <w:p>
      <w:pPr>
        <w:spacing w:after="0" w:line="22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December 2013 the Company amended its credit facility to a five year $50 million credit facility (the “new credit facility”) with an expansion capacity of $75 million. The new credit facility, which replaces the credit facility in effect at November 3, 2013, bears interest based on the Company’s total leverage ratio, at LIBOR plus a spread, as defined in the credit facility. Simultaneously, the Company repaid its $21.3 million term loan.</w:t>
      </w:r>
    </w:p>
    <w:p>
      <w:pPr>
        <w:spacing w:after="0" w:line="193" w:lineRule="exact"/>
        <w:rPr>
          <w:sz w:val="20"/>
          <w:szCs w:val="20"/>
          <w:color w:val="auto"/>
        </w:rPr>
      </w:pPr>
    </w:p>
    <w:p>
      <w:pPr>
        <w:jc w:val="both"/>
        <w:ind w:right="120" w:firstLine="324"/>
        <w:spacing w:after="0" w:line="285" w:lineRule="auto"/>
        <w:rPr>
          <w:sz w:val="20"/>
          <w:szCs w:val="20"/>
          <w:color w:val="auto"/>
        </w:rPr>
      </w:pPr>
      <w:r>
        <w:rPr>
          <w:rFonts w:ascii="Arial" w:cs="Arial" w:eastAsia="Arial" w:hAnsi="Arial"/>
          <w:sz w:val="16"/>
          <w:szCs w:val="16"/>
          <w:color w:val="auto"/>
        </w:rPr>
        <w:t>In March 2011 the Company issued $115 million aggregate principal amount of 3.25% convertible senior notes. The Company realized net proceeds of $110.7 million from the issuance of the notes, which mature on April 1, 2016, and commenced paying interest semiannually on October 1, 2011. During the three month period ended May 1, 2011, the Company used $19.7 million of the net proceeds of the 3.25% convertible senior notes and issued common stock to repurchase approximately $30.4 million principal amount of its 5.5% convertible senior notes, and used an additional $19.8 million of the net proceeds to repay its outstanding obligations under capital leases. In June 2011 the Company acquired an additional $5.0 million principal amount of its outstanding</w:t>
      </w:r>
    </w:p>
    <w:p>
      <w:pPr>
        <w:spacing w:after="0" w:line="2"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5.5% convertible senior notes for $3.2 million and common stock. The Company may use a portion of the remaining net proceeds of its 3.25% convertible senior notes to repurchase additional amounts of its outstanding 5.5% senior convertible notes and for capital expenditure and working capital purposes.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ind w:firstLine="324"/>
        <w:spacing w:after="0" w:line="291" w:lineRule="auto"/>
        <w:rPr>
          <w:sz w:val="20"/>
          <w:szCs w:val="20"/>
          <w:color w:val="auto"/>
        </w:rPr>
      </w:pPr>
      <w:r>
        <w:rPr>
          <w:rFonts w:ascii="Arial" w:cs="Arial" w:eastAsia="Arial" w:hAnsi="Arial"/>
          <w:sz w:val="16"/>
          <w:szCs w:val="16"/>
          <w:color w:val="auto"/>
        </w:rPr>
        <w:t>In March 2011 the Company and its lenders amended its revolving credit facility. Under the terms of the amended credit facility, the total amount available to the Company to borrow was reduced from $65 million to $30 million. The credit facility bore interest (2.69% at November 3, 2013), based on the Company’s total leverage ratio, at LIBOR plus a spread, as defined in the agreement. The credit facility was secured by substantially all of the Company’s assets located in the United States, as well as common stock the Company owns in certain of its foreign subsidiaries, and was subject to financial covenants, including the following, as defined in the agreement: minimum fixed charge ratio, total leverage ratio and minimum unrestricted cash balance. As of November 3, 2013, the Company was in compliance with the covenants of its credit facility, had no outstanding borrowings under the credit facility and $30 million was available for borrowing. As discussed above this credit facility was replaced with a new credit facility in December 2013.</w:t>
      </w:r>
    </w:p>
    <w:p>
      <w:pPr>
        <w:spacing w:after="0" w:line="19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In June 2013 the Company completed a tender offer for shares of PSMC. A total of 50.3 million shares were tendered at the offering price of 16.30 NTD, equivalent to a total of $27.4 million.</w:t>
      </w:r>
    </w:p>
    <w:p>
      <w:pPr>
        <w:spacing w:after="0" w:line="19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PSMC, through a series of repurchase programs which commenced in 2011 and ended in 2013, repurchased shares of its outstanding common stock. These repurchase programs resulted in 9.2 million shares being purchased for $4.2 million in 2013, 35.9 million shares being purchased for $15.6 million in 2012 and 21.6 million shares being purchased for $9.9 million in 2011.</w:t>
      </w:r>
    </w:p>
    <w:p>
      <w:pPr>
        <w:spacing w:after="0" w:line="208"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In August 2013 a $26.4 million principal amount, five year capital lease to fund the purchase of a high-end lithography tool commenced. Payments under the lease, which bears interest at 2.77% are $0.5 million per month through July 2018. Under the terms of the lease agreement, the Company must maintain the equipment in good working order, and is subject to a cross default with a cross acceleration provision related to certain nonfinancial covenants incorporated in its credit facility. As of November 3, 2013, the total amount payable through the end of the lease term was $26.8 million, of which $25.1 million represented principal and $1.7 million represented interest.</w:t>
      </w:r>
    </w:p>
    <w:p>
      <w:pPr>
        <w:spacing w:after="0" w:line="21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April 2011 the Company entered into a five year, $21.2 million capital lease of manufacturing equipment. Payments under the lease, which bears interest at 3.09%, are $0.4 million per month through March 2016. As of November 3, 2013, the total lease amount payable through the end of the lease term was $11.1 million, of which $10.7 million represented principal and $0.4 million represented interest.</w:t>
      </w:r>
    </w:p>
    <w:p>
      <w:pPr>
        <w:spacing w:after="0" w:line="208"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In February 2012 the Company paid $35 million to Micron in connection with the purchase of the U.S. nanoFab facility. In connection therewith, the Company amended its credit facility to include the addition of a $25 million term loan maturing in March 2017, with minimum quarterly principal payments of $0.6 million. In the first quarter of fiscal 2014 the Company repaid the $21.3 million balance of this term loan that was outstanding at November 3, 2013. As a result of the purchase of the U.S. nanoFab facility, the Company’s lease agreement with Micron for the U.S. nanoFab facility was cancelled, which reduced the Company’s related outstanding operating lease commitments by a combined total of $15 million for fiscal years 2013 and 2014.</w:t>
      </w:r>
    </w:p>
    <w:p>
      <w:pPr>
        <w:spacing w:after="0" w:line="185"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19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At November 3, 2013, the Company had outstanding purchase commitments of $48 million, which included $42 million related to capital expenditures, primarily for investment in high-end IC photomask manufacturing capability. The Company intends to finance its capital expenditures with its working capital, cash generated from operations, and, if necessary, with additional borrowings.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Cash Requirements</w:t>
      </w:r>
    </w:p>
    <w:p>
      <w:pPr>
        <w:spacing w:after="0" w:line="25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Company's cash requirements in fiscal 2014 will be primarily to fund its operations, including capital spending, and to service its debt. The Company believes that its cash on hand, cash generated from operations and amounts available under its credit facility will be sufficient to meet its cash requirements for the next twelve months. The Company regularly reviews the availability and terms on which it might issue additional equity or debt securities in the public or private markets. However, the Company cannot assure that additional sources of financing would be available to the Company on commercially favorable terms, should the Company's cash requirements exceed its cash available from operations, existing cash, and cash available under its credit facility.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contractual obligations as of November 3,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9"/>
              </w:rPr>
              <w:t>Payment due by period</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2"/>
              </w:rPr>
              <w:t>Less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7"/>
              </w:rPr>
              <w:t>More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Than</w:t>
            </w:r>
          </w:p>
        </w:tc>
        <w:tc>
          <w:tcPr>
            <w:tcW w:w="24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1 - 3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3 - 5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Than</w:t>
            </w:r>
          </w:p>
        </w:tc>
        <w:tc>
          <w:tcPr>
            <w:tcW w:w="0" w:type="dxa"/>
            <w:vAlign w:val="bottom"/>
          </w:tcPr>
          <w:p>
            <w:pPr>
              <w:spacing w:after="0"/>
              <w:rPr>
                <w:sz w:val="1"/>
                <w:szCs w:val="1"/>
                <w:color w:val="auto"/>
              </w:rPr>
            </w:pPr>
          </w:p>
        </w:tc>
      </w:tr>
      <w:tr>
        <w:trPr>
          <w:trHeight w:val="241"/>
        </w:trPr>
        <w:tc>
          <w:tcPr>
            <w:tcW w:w="3480" w:type="dxa"/>
            <w:vAlign w:val="bottom"/>
            <w:tcBorders>
              <w:bottom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1 Year</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5 Years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142,054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9,318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16,779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Unconditional purchase obligations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44,421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272,688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64,830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173,211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25,472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December 2013 the Company amended its credit facility, which increased its limit to $50 million and extended its term to December 2018. The Company intends to repay the remaining outstanding 5.5% convertible senior notes issued in September 2009 with borrowings against this new credit facility and, therefore, has classified as long-term the entire $22.1 million of those notes that were outstanding as of November 3, 2013.</w:t>
      </w:r>
    </w:p>
    <w:p>
      <w:pPr>
        <w:spacing w:after="0" w:line="1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November 3, 2013, the Company had recorded accruals for uncertain tax positions of $1.7 million which was not included in the above table due to the high degree of uncertainty regarding the timing of future payments related to such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Under the MP Mask joint venture operating agreement, in order to maintain its 49.99% ownership interest, the Company may be required to make additional capital contributions to the joint venture up to the maximum amount defined in the operating agreement. Cumulatively, through November 3, 2013, the Company has contributed $32.5 million to the joint venture, and has received distributions from the joint venture totaling $10.0 million. The Company did not make any contributions and received no distributions from MP Mask during fiscal 2013.</w:t>
      </w:r>
    </w:p>
    <w:p>
      <w:pPr>
        <w:spacing w:after="0" w:line="214" w:lineRule="exact"/>
        <w:rPr>
          <w:sz w:val="20"/>
          <w:szCs w:val="20"/>
          <w:color w:val="auto"/>
        </w:rPr>
      </w:pPr>
    </w:p>
    <w:p>
      <w:pPr>
        <w:jc w:val="both"/>
        <w:ind w:right="120" w:firstLine="324"/>
        <w:spacing w:after="0" w:line="279" w:lineRule="auto"/>
        <w:rPr>
          <w:sz w:val="20"/>
          <w:szCs w:val="20"/>
          <w:color w:val="auto"/>
        </w:rPr>
      </w:pPr>
      <w:r>
        <w:rPr>
          <w:rFonts w:ascii="Arial" w:cs="Arial" w:eastAsia="Arial" w:hAnsi="Arial"/>
          <w:sz w:val="17"/>
          <w:szCs w:val="17"/>
          <w:color w:val="auto"/>
        </w:rPr>
        <w:t>Under the PDMC joint venture operating agreement the shareholders of PDMC may be requested to make additional contributions to the pending joint venture. In the event that PDMC requests additional capital from its shareholders, the Company may be required to make additional capital contributions to the joint venture in order to maintain its 50.01% ownership. The joint venture operating agreement limits the amount of contributions that may be requested during both the first four years of the joint venture and during any individual year within those first four years.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jc w:val="both"/>
        <w:ind w:right="160" w:firstLine="324"/>
        <w:spacing w:after="0" w:line="264" w:lineRule="auto"/>
        <w:rPr>
          <w:sz w:val="20"/>
          <w:szCs w:val="20"/>
          <w:color w:val="auto"/>
        </w:rPr>
      </w:pPr>
      <w:r>
        <w:rPr>
          <w:rFonts w:ascii="Arial" w:cs="Arial" w:eastAsia="Arial" w:hAnsi="Arial"/>
          <w:sz w:val="18"/>
          <w:szCs w:val="18"/>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 See Note 9 to the consolidated financial statements for additional information on these operating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expects to continue to benefit from advanced technology it may utilize under its technology license with Micron.</w:t>
      </w:r>
    </w:p>
    <w:p>
      <w:pPr>
        <w:spacing w:after="0" w:line="208"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74"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Company's future results of operations and the other forward-looking statements contained in this filing involve a number of risks and uncertainties. While various risks and uncertainties have been discussed, a number of other unforeseen factors could cause actual results to differ materially from the Company's expectations.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Company's consolidated financial statements are based on the selection and application of accounting policies, which require management to make significant estimates and assumptions. The Company believes that the following are some of the more critical judgment areas in the application of the Company's accounting policies that affect its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252"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management to make estimates and assumptions that affect amounts reported in them. Management bases its estimates on historical experience and on various assumptions that are believed to be reasonable under the circumstances. The Company's estimates are based on the facts and circumstances available at the time they are made. Changes in accounting estimates used are likely to occur from period to period, which may have a material impact on the presentation of the Company's financial condition and results of operations. Actual results reported by the Company may differ from such estimates. The Company reviews these estimates periodically and reflects the effect of revisions in the period in which they are determined.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The fair values of the Company's 3.25% and 5.5% convertible senior notes are estimated by management based upon reference to quoted market prices and other available market information. The fair values of the Company's cash and cash equivalents, accounts receivable, accounts payable, certain other current assets and current liabilities, and variable rate borrowings approximate their carrying value due to their short-term maturities.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accumulated depreciation are removed from the accounts, and any resulting gain or loss is reflected in earnings.</w:t>
      </w:r>
    </w:p>
    <w:p>
      <w:pPr>
        <w:spacing w:after="0" w:line="21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Depreciation and amortization are computed using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changes in circumstances indicate that their carrying amounts may not be recoverable.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Intangible Assets</w:t>
      </w:r>
    </w:p>
    <w:p>
      <w:pPr>
        <w:spacing w:after="0" w:line="252"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Intangible assets consist primarily of a technology license agreement, a supply agreement and acquisition-related intangibles. These assets, except as explained below, are stated at fair value as of the date acquired less accumulated amortization. Amortization is calculated based on the estimated useful lives of the assets, which range from 3 to 15 years, using the straight-line method or another method that more fairly represents the utilization of the assets.</w:t>
      </w:r>
    </w:p>
    <w:p>
      <w:pPr>
        <w:spacing w:after="0" w:line="17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periodically evaluates the remaining useful lives of its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the carrying value may not, based on future undiscounted cash flows or market factors, be recoverable, and an impairment loss would be recorded in the period so determined. The measurement of the impairment loss would be based on the fair value of the intangible asset.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5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that management expects to hold and use is based on the fair value of the assets. The carrying values of assets determined to be impaired are reduced to their estimated fair values. Fair values of the impaired assets would generally be determined using a market or income approach.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When acquiring other businesses or participating in mergers or joint ventures in which the Company is deemed to be the acquirer, the Company generally recognizes identifiable assets acquired, liabilities assumed and any noncontrolling interests at their acquisition date fair values, and separately from any goodwill that may be required to be recognized. If applicable, goodwill, when recognizable, would be measured as the excess amount of any consideration transferred, which is generally measured at fair value, over the acquisition date fair values of the identifiable assets acquired and liabilities assumed.</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Accounting for such transactions requires the Company’s management to make significant assumptions and estimates. These include, among others, any estimates or assumptions that may be made for the amounts of future cash flows that will result from any identified intangible assets, the useful lives of such intangible assets, the amount of any contingent liabilities to record at the time of the acquisition, the extent of any restructuring charges expected to be incurred and the fair values of any tangible assets acquired. Although the Company believes any estimates and assumptions it makes to be reasonable and appropriate at the time they are made, unanticipated events and circumstances may arise that affect their accuracy, causing actual results to differ from those estimated by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Joint Ventures</w:t>
      </w:r>
    </w:p>
    <w:p>
      <w:pPr>
        <w:spacing w:after="0" w:line="25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financial results of investments in joint ventures of which the Company has a controlling financial interest are included in the Company’s consolidated financial statements. In the case of any investment in a joint venture that gave rise to goodwill, such goodwill would be tested for impairment annually or when an event occurred or circumstances changed that would more likely than not have reduced the fair value of the joint venture below its carry value. Goodwill would be tested for impairment using a two-step process. The Company might, at its option, assess qualitative factors to determine whether it was necessary to perform the two-step impairment test. If it was determined that the two-step test was necessary, the Company would use the test to identify potential goodwill impairment and to measure the amount of a goodwill impairment loss to be recognized (if 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ind w:right="140" w:firstLine="324"/>
        <w:spacing w:after="0" w:line="276" w:lineRule="auto"/>
        <w:rPr>
          <w:sz w:val="20"/>
          <w:szCs w:val="20"/>
          <w:color w:val="auto"/>
        </w:rPr>
      </w:pPr>
      <w:r>
        <w:rPr>
          <w:rFonts w:ascii="Arial" w:cs="Arial" w:eastAsia="Arial" w:hAnsi="Arial"/>
          <w:sz w:val="17"/>
          <w:szCs w:val="17"/>
          <w:color w:val="auto"/>
        </w:rPr>
        <w:t>Investments in joint ventures over which the Company has the ability to exercise significant influence and that, in general, are at least 20 percent owned are accounted for under the equity method. An impairment loss would be recognized whenever a decrease in the value of such an investment below its carrying amount is determined to be other than temporary. In judging "other than temporary," the Company would consider the length of time and the extent to which the fair value of the investment has been less than the carrying amount of the investment, the near-term and longer-term operating and financial prospects of the investee, and the Company's longer-term intent of retaining its investment in the investee.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accounts for the investments it makes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These certain legal entities are referred to as “variable interest entities”, or “VIEs”.</w:t>
      </w:r>
    </w:p>
    <w:p>
      <w:pPr>
        <w:spacing w:after="0" w:line="21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Company would consolidate the results of any such entity in which it determined that it has a controlling financial interest. The Company would have a “controlling financial interest” in such an entity if the Company had both the power to direct the activities that most significantly affect the VIE’s economic performance and the obligation to absorb the losses of, or right to receive benefits from, the VIE that could be potentially significant to the VIE. On a quarterly basis, the Company reassesses whether it has a controlling financial interest in any investments it has in these certain legal entities.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income tax provision is computed on the basis of the various tax jurisdictions' income or loss before income taxes. Deferred income taxes reflect the tax effects of differences between the carrying amounts of assets and liabilities for financial reporting purposes and the amounts used for income tax purposes, as well as the tax effects of net operating losses and tax credit carryforwards. The Company uses judgment and assumptions to determine if valuation allowances for deferred income tax assets are required, if their realization is not more likely than not, by considering future market growth, forecasted operations, future taxable income, and the amounts of earnings in the tax jurisdictions in which it operates.</w:t>
      </w:r>
    </w:p>
    <w:p>
      <w:pPr>
        <w:spacing w:after="0" w:line="20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potential realization of deferred income tax assets from future taxable income and establishes valuation allowances if their realization is deemed not more likely than not. Accordingly, income taxes charged against earnings may have been impacted by changes in the valuation allowances. Significant management estimates and judgment are required in determining any valuation allowances recorded against net deferred tax assets.</w:t>
      </w:r>
    </w:p>
    <w:p>
      <w:pPr>
        <w:spacing w:after="0" w:line="192"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Company accounts for uncertain tax positions by recording a liability for unrecognized tax benefits resulting from uncertain tax positions taken, or expected to be taken, in its tax returns. The Company includes any applicable interest and penalties related to uncertain tax positions in its income tax provision.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 recognizes revenue when there is persuasive evidence that an arrangement exists, delivery has occurred, the sales price is fixed or determinable, and collectability is reasonably assured. Delivery is determined by the shipping terms of the individual sales transactions. For sales with FOB destination shipping terms, delivery occurs when the Company’s product reaches its destination and is received by the customer. For sales with FOB shipping point terms, delivery occurs when the Company’s product is received by the common carrier. The Company uses judgment when estimating the effect on revenue of discounts and product warranty obligations, both of which are accrued when the related revenue is recognized.</w:t>
      </w:r>
    </w:p>
    <w:p>
      <w:pPr>
        <w:spacing w:after="0" w:line="20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specifications. However, the Company’s liability is limited to the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of products with defects, or products that have not been produced to precise customer specifications. At the time of revenue recognition, a liability is established for these items.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Share-based Compensation</w:t>
      </w:r>
    </w:p>
    <w:p>
      <w:pPr>
        <w:spacing w:after="0" w:line="252"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Company recognizes share-based compensation expense over the service period that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also impact the amount of expense to be recognized in future periods. Determining the appropriate option pricing model, calculating the grant date fair value of share-based awards and estimating forfeiture rates requires considerable judgment, including the estimations of stock price volatility and the expected term of options granted.</w:t>
      </w:r>
    </w:p>
    <w:p>
      <w:pPr>
        <w:spacing w:after="0" w:line="18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uses the Black-Scholes option pricing model to value employee stock options. The Company estimates stock price volatility based on daily averages of its historical volatility over a term approximately equal to the estimated time period the grant will remain outstanding. The expected term of options and forfeiture rate assumptions are derived from historical data.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There have been no recent accounting pronouncements whose adoption is expected to affect the Company’s financial statements or related disclosures.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Company records derivatives in the consolidated balance sheet as assets or liabilities, measured at fair value. The Company does not engage in derivative instruments for speculative purposes. Gains or losses resulting from changes in the values of those derivatives are reflected in earnings, or as accumulated other comprehensive income or loss, a separate component of equity, depending on the use of the derivatives and whether they qualify for hedge accounting. In order to qualify for hedge accounting, among other criteria, a derivative must be a hedge of an interest rate, price, foreign currency exchange rate, or credit risk that is expected to be highly effective at the inception of the hedge, be highly effective in achieving offsetting changes in the fair value or cash flows of the hedged item during the term of the hedge and formally documented at the inception of the hedge. In general, the types of risks that the Company has historically hedged are those related to the variability of future cash flows caused by movements in foreign currency exchange and interest rates. The Company documents its risk management strategy and hedge effectiveness at the inception of, and during the term of, each hedge.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 Company conducts business in several major international currencies throughout its worldwide operations and its financial performance may be affected by fluctuations in the exchange rates of these currencies. Changes in exchange rates can positively or negatively affect the Company's sales, operating margins, assets, liabilities, and equity. The functional currencies of the Company's Asian subsidiaries are the Korean won, the New Taiwan dollar and the Singapore dollar. The functional currencies of the Company's European subsidiaries are the British pound and the euro.</w:t>
      </w:r>
    </w:p>
    <w:p>
      <w:pPr>
        <w:spacing w:after="0" w:line="19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currency against the U.S. dollar.</w:t>
      </w:r>
    </w:p>
    <w:p>
      <w:pPr>
        <w:spacing w:after="0" w:line="18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Company's primary net foreign currency exposures as of November 3, 2013, included the Korean won, the Japanese yen, the New Taiwan dollar, the Singapore dollar, the British pound, and the euro. As of November 3, 2013, a 10% adverse movement in the value of these currencies against the U.S. dollar would have resulted in a net unrealized pre-tax loss of $3.1 million. The Company does not believe that a 10% change in the exchange rates of other non-U.S. dollar currencies would have a material effect on its consolidated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At November 3, 2013, the Company had $21.3 million in variable rate borrowings, which was repaid in full in December 2013. A 10% change in interest rates would not have had a material effect on the Company's consolidated financial position, results of operations, or cash flows in the year ended November 3, 2013.</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028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120" w:type="dxa"/>
            <w:vAlign w:val="bottom"/>
            <w:gridSpan w:val="7"/>
          </w:tcPr>
          <w:p>
            <w:pPr>
              <w:jc w:val="center"/>
              <w:ind w:right="2000"/>
              <w:spacing w:after="0"/>
              <w:rPr>
                <w:sz w:val="20"/>
                <w:szCs w:val="20"/>
                <w:color w:val="auto"/>
              </w:rPr>
            </w:pPr>
            <w:r>
              <w:rPr>
                <w:rFonts w:ascii="Arial" w:cs="Arial" w:eastAsia="Arial" w:hAnsi="Arial"/>
                <w:sz w:val="18"/>
                <w:szCs w:val="18"/>
                <w:b w:val="1"/>
                <w:bCs w:val="1"/>
                <w:color w:val="auto"/>
              </w:rPr>
              <w:t>INDEX TO CONSOLIDATED 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Report of Independent Registered Public Accounting Firm</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Consolidated Balance Sheets at November 3, 2013 and October 28, 2012</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Statements of Income for the years ended November 3, 2013, October 28, 2012 and October 30, 2011</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Consolidated Statements of Comprehensive Income for the years ended November 3, 2013, October 28, 2012 and October 30, 2011</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Statements of Equity for the years ended November 3, 2013, October 28, 2012 and October 30, 2011</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Statements of Cash Flows for the years ended November 3, 2013, October 28, 2012 and October 30, 2011</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Notes to Consolidated Financial Statements</w:t>
              </w:r>
            </w:hyperlink>
          </w:p>
        </w:tc>
        <w:tc>
          <w:tcPr>
            <w:tcW w:w="7120" w:type="dxa"/>
            <w:vAlign w:val="bottom"/>
            <w:tcBorders>
              <w:bottom w:val="single" w:sz="8" w:color="CCEEFF"/>
            </w:tcBorders>
            <w:gridSpan w:val="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39"/>
        </w:trPr>
        <w:tc>
          <w:tcPr>
            <w:tcW w:w="8260" w:type="dxa"/>
            <w:vAlign w:val="bottom"/>
            <w:gridSpan w:val="5"/>
          </w:tcPr>
          <w:p>
            <w:pPr>
              <w:jc w:val="right"/>
              <w:ind w:right="2480"/>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Brookfield, Connecticut</w:t>
      </w:r>
    </w:p>
    <w:p>
      <w:pPr>
        <w:spacing w:after="0" w:line="23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have audited the accompanying consolidated balance sheets of Photronics, Inc. and subsidiaries (the "Company") as of November 3, 2013 and October 28, 2012, and the related consolidated statements of income, comprehensive income, equity and cash flows for each of the three fiscal years ended November 3, 2013, October 28, 2012 and October 30, 2011. We also have audited the Company's internal control over financial reporting as of November 3, 2013, based on criteria established in Internal Control — Integrated Framework (1992)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in Item 9A. Our responsibility is to express an opinion on these financial statements and an opinion on the Company's internal control over financial reporting based on our audits.</w:t>
      </w:r>
    </w:p>
    <w:p>
      <w:pPr>
        <w:spacing w:after="0" w:line="20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1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Photronics, Inc. and subsidiaries as of November 3, 2013 and October 28, 2012, and the results of their operations and their cash flows for each of the three fiscal years ended November 3, 2013, October 28, 2012 and October 30, 2011, in conformity with accounting principles generally accepted in the United States of America. Also, in our opinion, the Company maintained, in all material respects, effective internal control over financial reporting as of November 3, 2013 based on the criteria established in Internal Control — Integrated Framework (1992) issued by the Committee of Sponsoring Organizations of the Treadway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 2014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November 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215,615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Accounts receivable, net of allowance of $3,541 in 2013 and $3,902 in 2012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73,357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318,466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319,794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422,740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885,929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Current portion of long-term borrowings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11,818</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Payables – related parties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10,796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104,587</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85,513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borrowings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182,203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Common stock, $0.01 par value, 150,000 shares authorized, 61,083 shares issued and outstanding at November 3,</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2013, and 60,213 shares issued and outstanding at October 28, 2012</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498,861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Photronics, Inc. shareholders' equity</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585,314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587,831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885,929</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849,234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November 3,</w:t>
            </w:r>
          </w:p>
        </w:tc>
        <w:tc>
          <w:tcPr>
            <w:tcW w:w="100" w:type="dxa"/>
            <w:vAlign w:val="bottom"/>
          </w:tcPr>
          <w:p>
            <w:pPr>
              <w:spacing w:after="0"/>
              <w:rPr>
                <w:sz w:val="17"/>
                <w:szCs w:val="17"/>
                <w:color w:val="auto"/>
              </w:rPr>
            </w:pPr>
          </w:p>
        </w:tc>
        <w:tc>
          <w:tcPr>
            <w:tcW w:w="11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422,180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450,439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(322,540)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(338,519)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(48,213)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(20,758)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Consolidation, restructuring and related charges</w:t>
            </w:r>
          </w:p>
        </w:tc>
        <w:tc>
          <w:tcPr>
            <w:tcW w:w="8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other income (expense), net</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extinguishment loss</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40,648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35,899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(7,229)</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(10,793)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19,576</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17,966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27,868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16,229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60,644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60,055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57,030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61,599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November 3,</w:t>
            </w:r>
          </w:p>
        </w:tc>
        <w:tc>
          <w:tcPr>
            <w:tcW w:w="100" w:type="dxa"/>
            <w:vAlign w:val="bottom"/>
          </w:tcPr>
          <w:p>
            <w:pPr>
              <w:spacing w:after="0"/>
              <w:rPr>
                <w:sz w:val="17"/>
                <w:szCs w:val="17"/>
                <w:color w:val="auto"/>
              </w:rPr>
            </w:pPr>
          </w:p>
        </w:tc>
        <w:tc>
          <w:tcPr>
            <w:tcW w:w="11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income, net of tax of $0:</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Amortization of cash flow hedge</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other comprehensive income, net of tax</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7,207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3, 2013, October 28, 2012 and October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Retained</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0" w:type="dxa"/>
            <w:vAlign w:val="bottom"/>
            <w:gridSpan w:val="6"/>
          </w:tcPr>
          <w:p>
            <w:pPr>
              <w:ind w:left="4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20"/>
                <w:szCs w:val="20"/>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14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Capital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Deficit)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Income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October 31, 2010</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53,779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436,825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495,943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16,229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3,143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9"/>
              </w:rPr>
              <w:t>Common stock issued to extinguish debt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w w:val="98"/>
              </w:rPr>
              <w:t>Sale of common stock through employee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rPr>
              <w:t>stock option and purchase plan</w:t>
            </w:r>
          </w:p>
        </w:tc>
        <w:tc>
          <w:tcPr>
            <w:tcW w:w="88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Restricted stock awards vestings and</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exercised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92"/>
              </w:rPr>
              <w:t>Repurchase of common stock of subsidiary</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(9,629)</w:t>
            </w: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October 30, 2011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27,868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5,807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1,400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Sale of common stock through employee</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 and purchase plan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Restricted stock awards vestings and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rPr>
              <w:t>expense</w:t>
            </w: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901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Common stock warrants exercised</w:t>
            </w: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2"/>
              </w:rPr>
              <w:t>Repurchase of common stock of subsidiary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(17,481)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Balance at October 28, 2012</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60,213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493,411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41,473</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15,900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34,615</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586,001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17,966</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1,610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w w:val="98"/>
              </w:rPr>
              <w:t>Sale of common stock through employee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rPr>
              <w:t>stock option and purchase plan</w:t>
            </w:r>
          </w:p>
        </w:tc>
        <w:tc>
          <w:tcPr>
            <w:tcW w:w="88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880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Restricted stock awards vestings and</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exercised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92"/>
              </w:rPr>
              <w:t>Repurchase of common stock of subsidiary</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(32,955)</w:t>
            </w: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(32,592)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November 3, 2013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498,861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587,831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380" w:type="dxa"/>
            <w:vAlign w:val="bottom"/>
            <w:gridSpan w:val="3"/>
          </w:tcPr>
          <w:p>
            <w:pPr>
              <w:jc w:val="right"/>
              <w:ind w:right="340"/>
              <w:spacing w:after="0" w:line="198" w:lineRule="exact"/>
              <w:rPr>
                <w:sz w:val="20"/>
                <w:szCs w:val="20"/>
                <w:color w:val="auto"/>
              </w:rPr>
            </w:pPr>
            <w:r>
              <w:rPr>
                <w:rFonts w:ascii="Arial" w:cs="Arial" w:eastAsia="Arial" w:hAnsi="Arial"/>
                <w:sz w:val="18"/>
                <w:szCs w:val="18"/>
                <w:b w:val="1"/>
                <w:bCs w:val="1"/>
                <w:color w:val="auto"/>
                <w:w w:val="94"/>
              </w:rPr>
              <w:t>November 3,</w:t>
            </w:r>
          </w:p>
        </w:tc>
        <w:tc>
          <w:tcPr>
            <w:tcW w:w="100" w:type="dxa"/>
            <w:vAlign w:val="bottom"/>
          </w:tcPr>
          <w:p>
            <w:pPr>
              <w:spacing w:after="0"/>
              <w:rPr>
                <w:sz w:val="17"/>
                <w:szCs w:val="17"/>
                <w:color w:val="auto"/>
              </w:rPr>
            </w:pPr>
          </w:p>
        </w:tc>
        <w:tc>
          <w:tcPr>
            <w:tcW w:w="118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October 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 of property, plant and equipment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65,994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Amortization of deferred financing costs and intangible assets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6,586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extinguishment loss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Consolidation, restructuring and related charges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11,190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accrued liabilities and 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99,401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132,549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136,553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(63,792)</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(96,978)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in joint venture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Payments for intangible assets</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(66,237)</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(111,943)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Proceeds from long-term borrowings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convertible debt offering</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Purchase of common stock of subsidiary</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(32,374)</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(15,598)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of long-term borrowings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Proceeds from share-based arrangements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of deferred financing fees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Payments of expenses related to debt offering</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2,945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189,928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215,615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218,043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189,928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information: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Capital lease obligation for purchases of property, plant and equipment</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26,356</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Accrual for property, plant and equipment purchased during year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Deposit related to facility purchase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issued to extinguish debt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November 3, 2013, October 28, 2012 and October 30,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 except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Photronics, Inc. and its subsidiaries (the "Company" or "Photronics")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eight manufacturing facilities; two of which are located in Europe, two in Taiwan, one in Korea, and three in the United States.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5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Photronics, Inc. and its majority-owned subsidiaries that the Company controls. All intercompany balances and transactions have been eliminated in consolidation.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256" w:lineRule="exact"/>
        <w:rPr>
          <w:sz w:val="20"/>
          <w:szCs w:val="20"/>
          <w:color w:val="auto"/>
        </w:rPr>
      </w:pPr>
    </w:p>
    <w:p>
      <w:pPr>
        <w:ind w:right="940" w:firstLine="324"/>
        <w:spacing w:after="0" w:line="34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amounts reported in them. Actual results may differ from such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5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Company records derivatives in the consolidated balance sheets as assets or liabilities, measured at fair value. The Company does not engage in derivative instruments for speculative purposes. Gains or losses resulting from changes in the values of those derivatives are reflected in earnings, or as accumulated other comprehensive income or loss, a separate component of equity, depending on the use of the derivatives and whether they qualify for hedge accounting. In order to qualify for hedge accounting, among other criteria, a derivative must be a hedge of an interest rate, price, foreign currency exchange rate, or credit risk that is expected to be highly effective at the inception of the hedge, be highly effective in achieving offsetting changes in the fair value or cash flows of the hedged item during the term of the hedge and formally documented at the inception of the hedge. In general, the types of risks the Company has hedged are those related to the variability of future cash flows caused by movements in foreign currency exchange and interest rates. The Company documents its risk management strategy and hedge effectiveness at the inception of, and during the term of, each hedge.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5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Company's fiscal year ends on the Sunday closest to October thirty-first, and, as a result, a 53-week year occurs every 5 to 6 years. Fiscal year 2013 included 53 weeks, while fiscal years 2012 and 2011 each included 52 weeks.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Cash and cash equivalents include cash and highly liquid investments purchased with an original maturity of 3 months or less. The carrying values of cash equivalents approximate their fair values due to the short-term maturities of these instruments.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Inventories are primarily comprised of raw materials and are stated at the lower of cost, determined under the first-in, first-out ("FIFO") method, or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5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accumulated depreciation are removed from the accounts, and any resulting gain or loss is reflected in earnings.</w:t>
      </w:r>
    </w:p>
    <w:p>
      <w:pPr>
        <w:spacing w:after="0" w:line="214" w:lineRule="exact"/>
        <w:rPr>
          <w:sz w:val="20"/>
          <w:szCs w:val="20"/>
          <w:color w:val="auto"/>
        </w:rPr>
      </w:pPr>
    </w:p>
    <w:p>
      <w:pPr>
        <w:ind w:right="360" w:firstLine="324"/>
        <w:spacing w:after="0" w:line="293" w:lineRule="auto"/>
        <w:rPr>
          <w:sz w:val="20"/>
          <w:szCs w:val="20"/>
          <w:color w:val="auto"/>
        </w:rPr>
      </w:pPr>
      <w:r>
        <w:rPr>
          <w:rFonts w:ascii="Arial" w:cs="Arial" w:eastAsia="Arial" w:hAnsi="Arial"/>
          <w:sz w:val="16"/>
          <w:szCs w:val="16"/>
          <w:color w:val="auto"/>
        </w:rPr>
        <w:t>Depreciation and amortization are computed using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 in circumstances indicate that their carrying amounts may not be recoverable.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Intangible assets consist primarily of a technology license agreement, a supply agreement and acquisition-related intangibles. These assets are stated at fair value as of the date acquired less accumulated amortization. Amortization is calculated based on the estimated useful lives of the assets, which range from 3 to 15 years, using the straight-line method or another method that more fairly represents the utilization of the assets.</w:t>
      </w:r>
    </w:p>
    <w:p>
      <w:pPr>
        <w:spacing w:after="0" w:line="19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 periodically evaluates the remaining useful lives of its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the carrying value may not, based on future undiscounted cash flows or market factors, be recoverable, and an impairment loss would be recorded in the period so determined. The measurement of the impairment loss would be based on the fair value of the intangible asset.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that management expects to hold and use is based on the fair value of the assets. The carrying values of assets determined to be impaired are reduced to their estimated fair values. Fair values of any impaired assets would generally be determined using a market or income approach.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56"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When acquiring other businesses or participating in mergers or joint ventures in which the Company is deemed to be the acquirer, the Company generally recognizes identifiable assets acquired, liabilities assumed and any noncontrolling interests at their acquisition date fair values, and separately from any goodwill that may be required to be recognized. If applicable, goodwill, when recognizable, would be measured as the excess amount of any consideration transferred, which is generally measured at fair value, over the acquisition date fair values of the identifiable assets acquired and liabilities assumed.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ind w:right="240" w:firstLine="324"/>
        <w:spacing w:after="0" w:line="302" w:lineRule="auto"/>
        <w:rPr>
          <w:sz w:val="20"/>
          <w:szCs w:val="20"/>
          <w:color w:val="auto"/>
        </w:rPr>
      </w:pPr>
      <w:r>
        <w:rPr>
          <w:rFonts w:ascii="Arial" w:cs="Arial" w:eastAsia="Arial" w:hAnsi="Arial"/>
          <w:sz w:val="16"/>
          <w:szCs w:val="16"/>
          <w:color w:val="auto"/>
        </w:rPr>
        <w:t>Accounting for such transactions requires the Company’s management to make significant assumptions and estimates and, although the Company believes any estimates and assumptions it makes to be reasonable and appropriate at the time they are made, unanticipated events and circumstances may arise that affect their accuracy, causing actual results to differ from those estimated by the Company. When required, the Company will adjust the values of the assets acquired and liabilities assumed against the acquisition gain or goodwill, as initially recorded, for a period of up to one year after the transaction.</w:t>
      </w:r>
    </w:p>
    <w:p>
      <w:pPr>
        <w:spacing w:after="0" w:line="181" w:lineRule="exact"/>
        <w:rPr>
          <w:sz w:val="20"/>
          <w:szCs w:val="20"/>
          <w:color w:val="auto"/>
        </w:rPr>
      </w:pPr>
    </w:p>
    <w:p>
      <w:pPr>
        <w:ind w:right="740" w:firstLine="324"/>
        <w:spacing w:after="0" w:line="264" w:lineRule="auto"/>
        <w:rPr>
          <w:sz w:val="20"/>
          <w:szCs w:val="20"/>
          <w:color w:val="auto"/>
        </w:rPr>
      </w:pPr>
      <w:r>
        <w:rPr>
          <w:rFonts w:ascii="Arial" w:cs="Arial" w:eastAsia="Arial" w:hAnsi="Arial"/>
          <w:sz w:val="18"/>
          <w:szCs w:val="18"/>
          <w:color w:val="auto"/>
        </w:rPr>
        <w:t>Costs incurred to effect a merger or acquisition, such as legal, accounting, valuation and other third party costs, as well as internal general and administrative costs incurred are charged to expense in the periods incurred. Costs incurred to issue any debt and equity securities are recognized in accordance with other applicable generally accepted accounting principles.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Joint Ventures</w:t>
      </w:r>
    </w:p>
    <w:p>
      <w:pPr>
        <w:spacing w:after="0" w:line="25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financial results of investments in joint ventures of which the Company has a controlling financial interest are included in the Company’s consolidated financial statements. Investments in joint ventures over which the Company has the ability to exercise significant influence and that, in general, are at least 20 percent owned are accounted for under the equity method. An impairment loss would be recognized whenever a decrease in the fair value of such an investment below its carrying amount is determined to be other than temporary. In judging "other than temporary," the Company would consider the length of time and the extent to which the fair value of the investment has been less than the carrying amount of the investment, the near-term and longer-term operating and financial prospects of the investee, and the Company's longer-term intent of retaining its investment in the investee.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accounts for the investments it makes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These certain legal entities are referred to as “variable interest entities”, or “VIEs”.</w:t>
      </w:r>
    </w:p>
    <w:p>
      <w:pPr>
        <w:spacing w:after="0" w:line="21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Company would consolidate the results of any such entity in which it determined that it has a controlling financial interest. The Company would have a “controlling financial interest” in such an entity when the Company has both the power to direct the activities that most significantly affect the VIE’s economic performance and the obligation to absorb the losses of, or right to receive benefits from, the VIE that could be potentially significant to the VIE. On a quarterly basis, the Company reassesses whether it has a controlling financial interest in any investments it has in these certain legal entities.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income tax provision is computed on the basis of the various tax jurisdictions' income or loss before income taxes. Deferred income taxes reflect the tax effects of differences between the carrying amounts of assets and liabilities for financial reporting purposes and the amounts used for income tax purposes, as well as the tax effects of net operating losses and tax credit carryforwards. The Company uses judgment and assumptions to determine if valuation allowances for deferred income tax assets are required, if their realization is not more likely than not, by considering future market growth, forecasted operations, future taxable income, and the amount of earnings in the tax jurisdictions in which it operates.</w:t>
      </w:r>
    </w:p>
    <w:p>
      <w:pPr>
        <w:spacing w:after="0" w:line="20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potential realization of deferred income tax assets from future taxable income and establishes valuation allowances if their realization is deemed not more likely than not. Accordingly, income taxes charged against earnings may have been impacted by changes in the valuation allowance. Significant management estimates and judgment are required in determining any valuation allowances recorded against net deferred tax assets.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ind w:right="200" w:firstLine="324"/>
        <w:spacing w:after="0" w:line="264" w:lineRule="auto"/>
        <w:rPr>
          <w:sz w:val="20"/>
          <w:szCs w:val="20"/>
          <w:color w:val="auto"/>
        </w:rPr>
      </w:pPr>
      <w:r>
        <w:rPr>
          <w:rFonts w:ascii="Arial" w:cs="Arial" w:eastAsia="Arial" w:hAnsi="Arial"/>
          <w:sz w:val="18"/>
          <w:szCs w:val="18"/>
          <w:color w:val="auto"/>
        </w:rPr>
        <w:t>The Company accounts for uncertain tax positions by recording a liability for unrecognized tax benefits resulting from uncertain tax positions taken, or expected to be taken, in its tax returns. The Company includes any applicable interest and penalties related to uncertain tax positions in its income tax provision.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Basic earnings per share ("EPS") is based on the weighted-average number of common shares outstanding for the period, excluding any dilutive common share equivalents. Diluted EPS reflects the potential dilution that could occur if certain share-based payment awards or financial instruments were exercised, earned or converted.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Company recognizes share-based compensation expense over the service period that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also impact the amount of expense to be recognized in future periods. Determining the appropriate option pricing model, calculating the grant date fair value of share-based awards and estimating forfeiture rates requires considerable judgment, including the estimations of stock price volatility and the expected term of options granted.</w:t>
      </w:r>
    </w:p>
    <w:p>
      <w:pPr>
        <w:spacing w:after="0" w:line="18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uses the Black-Scholes option pricing model to value employee stock options. The Company estimates stock price volatility based on daily averages of its historical volatility over a term approximately equal to the estimated time period the grant will remain outstanding. The expected term of options and forfeiture rate assumptions are derived from historical data.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Research and development costs are expensed as incurred, and consist primarily of global development efforts related to high-end process technologies for advanced sub-wavelength reticle solutions for IC photomask technologies. Research and development expenses also include the amortization of the carrying value of a technology license agreement with Micron Technology, Inc. (“Micron”). Under this technology license agreement, the Company has access to certain photomask technology developed by Micron.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Company's international subsidiaries maintain their accounts in their respective local currencies. Assets and liabilities of such subsidiaries are translated to U.S. dollars at year-end exchange rates. Income and expenses are translated at average rates of exchange prevailing during the year. Foreign currency translation adjustments are accumulated and reported in accumulated other comprehensive income, a component of equity. The effects of changes in exchange rates on foreign currency transactions, which are included in interest and other income (expense), net were a net gain of $0.5 million, $0.2 million and $0.4 million in fiscal years 2013, 2012 and 2011,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56"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Noncontrolling interests represents the minority shareholders' proportionate share in the equity of the Company's two majority-owned subsidiaries, PK Ltd. ("PKL") in Korea of which noncontrolling shareholders owned approximately 0.3% as of November 3, 2013 and October 28, 2012, and Photronics Semiconductor Mask Corporation ("PSMC") in Taiwan, of which noncontrolling interests owned 1.37% and 27.91%, as of November 3, 2013 and October 28, 2012, respectively. The effect on its equity of the change in the Company’s ownership interest in PSMC is presented in Note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 recognizes revenue when there is persuasive evidence that an arrangement exists, delivery has occurred, the sales price is fixed or determinable, and collectability is reasonably assured. Delivery is determined by the shipping terms of the individual sales transactions. For sales with FOB destination shipping terms, delivery occurs when the Company’s product reaches its destination and is received by the customer. For sales with FOB shipping point terms, delivery occurs when the Company’s product is received by the common carrier. The Company uses judgment when estimating the effect on revenue of discounts and product warranty obligations, both of which are accrued when the related revenue is recognized.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ind w:right="40" w:firstLine="324"/>
        <w:spacing w:after="0" w:line="255"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specifications. However, the Company’s liability is limited to the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of products with defects, or products that have not been produced to precise customer specifications. At the time of revenue recognition, a liability is established for these items.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Sales Taxes</w:t>
      </w:r>
      <w:r>
        <w:rPr>
          <w:rFonts w:ascii="Arial" w:cs="Arial" w:eastAsia="Arial" w:hAnsi="Arial"/>
          <w:sz w:val="18"/>
          <w:szCs w:val="18"/>
          <w:color w:val="auto"/>
        </w:rPr>
        <w:t xml:space="preserve"> – The Company reports its revenues net of any sales taxes billed to its customers.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NOTE 2 - PROPERTY, PLANT AND EQUIPMENT</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Property, plant and equipment consists of the following:</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November 3,</w:t>
            </w:r>
          </w:p>
        </w:tc>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October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103,676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97,319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1,450,503</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1,027,763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972,973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422,740</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380,808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under capital leases are included in above property, plant and equipment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November 3,</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October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38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56,245</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51,313</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Depreciation expense for property, plant and equipment (excluding property under capital leases) was $63.8 million, $73.8 million and $77.0 million in fiscal years 2013, 2012 and 2011, respectively. Amortization expense for property under capital leases was $2.2 million, $4.8 million and $9.7 million in fiscal years 2013, 2012 and 2011,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INTANGIBLE ASSETS</w:t>
      </w:r>
    </w:p>
    <w:p>
      <w:pPr>
        <w:spacing w:after="0" w:line="25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Intangible assets include assets related to the purchase of additional shares of PKL and the investment to form the MP Mask joint venture. Amortization expense of intangible assets was $5.5 million, $5.0 million and $5.3 million in fiscal years 2013, 2012 and 2011, respectively.</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Intangible assets consist of:</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Accumulated</w:t>
            </w:r>
          </w:p>
        </w:tc>
        <w:tc>
          <w:tcPr>
            <w:tcW w:w="180" w:type="dxa"/>
            <w:vAlign w:val="bottom"/>
          </w:tcPr>
          <w:p>
            <w:pPr>
              <w:spacing w:after="0"/>
              <w:rPr>
                <w:sz w:val="24"/>
                <w:szCs w:val="2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41"/>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As of November 3, 2013</w:t>
            </w:r>
          </w:p>
        </w:tc>
        <w:tc>
          <w:tcPr>
            <w:tcW w:w="16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agreement</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59,616</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29,477</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Customer lists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5,599</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Supply agreement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Software and 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3,976</w:t>
            </w: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79,513</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45,433</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As of October 28, 2012</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agreement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25,503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Customer lists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4,876</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Supply agreement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Software and 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3,356</w:t>
            </w: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77,276</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39,892</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37,384</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over the next five years is estimated to be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Fiscal Years:</w:t>
            </w:r>
          </w:p>
        </w:tc>
        <w:tc>
          <w:tcPr>
            <w:tcW w:w="2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2015</w:t>
            </w:r>
          </w:p>
        </w:tc>
        <w:tc>
          <w:tcPr>
            <w:tcW w:w="27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2017</w:t>
            </w:r>
          </w:p>
        </w:tc>
        <w:tc>
          <w:tcPr>
            <w:tcW w:w="27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JOINT VENTURE, TECHNOLOGY LICENSE AND OTHER AGREEMENTS WITH MICRON TECHNOLOGY, INC.</w:t>
      </w:r>
    </w:p>
    <w:p>
      <w:pPr>
        <w:spacing w:after="0" w:line="256"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In May 2006, Photronics and Micron Technology, Inc. ("Micron") entered into the MP Mask joint venture (“MP Mask”), which develops and produces photomasks for leading-edge and advanced next generation semiconductors. At the time of the formation of the joint venture, the Company also entered into both an agreement to license photomask technology developed by Micron and certain supply agreements.</w:t>
      </w:r>
    </w:p>
    <w:p>
      <w:pPr>
        <w:spacing w:after="0" w:line="20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This joint venture is a variable interest entity ("VIE") (as that term is defined in the Accounting Standards Codification ("ASC") ) because all costs of the joint venture are passed on to the Company and Micron through purchase agreements they have entered into with the joint venture, and it is dependent upon the Company and Micron for any additional cash requirements.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reassessments in fiscal year 2013, the Company determined that Micron is still the primary beneficiary of the VIE, by virtue of its tie-breaking voting rights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20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utilized MP Mask for both high-end IC photomask production and research and development purposes. MP Mask charges its variable interest holders based on their actual usage of its facility and charges separately for any research and development activities it engages in at the requests of its owners.</w:t>
      </w:r>
    </w:p>
    <w:p>
      <w:pPr>
        <w:spacing w:after="0" w:line="20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 During fiscal 2012 the Company made additional capital contributions of $13.4 million to the MP Mask joint venture, which were primarily related to capital calls made by the joint venture. The Company did not make any contributions to MP Mask in fiscal 2013 and it did not receive any distributions from MP Mask during fiscal 2013 or fiscal 2012.</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6" w:name="page47"/>
    <w:bookmarkEnd w:id="46"/>
    <w:p>
      <w:pPr>
        <w:ind w:right="200" w:firstLine="324"/>
        <w:spacing w:after="0" w:line="279" w:lineRule="auto"/>
        <w:rPr>
          <w:sz w:val="20"/>
          <w:szCs w:val="20"/>
          <w:color w:val="auto"/>
        </w:rPr>
      </w:pPr>
      <w:r>
        <w:rPr>
          <w:rFonts w:ascii="Arial" w:cs="Arial" w:eastAsia="Arial" w:hAnsi="Arial"/>
          <w:sz w:val="17"/>
          <w:szCs w:val="17"/>
          <w:color w:val="auto"/>
        </w:rPr>
        <w:t>The Company's investment in the VIE, which represents its maximum exposure to loss, was $93.1 million and $93.3 million at November 3, 2013 and October 28, 2012, respectively. These amounts are reported in the Company's consolidated balance sheets as Investment in joint venture. The Company recorded losses from its investment in MP Mask of $0.1 million in fiscal years 2013 and 2012 and income of $0.6 million in fiscal year 2011. Income (loss) from MP Mask is included in Interest and other income, net, in the consolidated statements of income.</w:t>
      </w:r>
    </w:p>
    <w:p>
      <w:pPr>
        <w:spacing w:after="0" w:line="19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As of November 3, 2013, the Company owed MP Mask $4.5 million and had a receivable from Micron of $4.9 million, both primarily related to the aforementioned supply agreements. The Company, in 2013, recorded $0.9 million of commission revenue earned under the supply agreements it has with Micron and MP Mask, and amortization of $0.3 million of the related supply agreement intangible asset. In 2013 the Company also recorded cost of sales in the amount of $8.7 million for photomasks produced by MP Mask for the Company's customers, and incurred expenses of $1.6 million for research and development activities and other goods and services purchased from MP Mask by the Company. In 2013 the Company purchased equipment from MP Mask for $6.1 million.</w:t>
      </w:r>
    </w:p>
    <w:p>
      <w:pPr>
        <w:spacing w:after="0" w:line="22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As of October 28, 2012, the Company owed MP Mask $6.4 million and had a receivable from Micron of $9.0 million, both primarily related to the aforementioned supply agreements. The Company, in 2012, recorded $1.6 million of commission revenue earned under the supply agreements it has with Micron and MP Mask, and amortization of $0.4 million of the related supply agreement intangible asset. The Company, for certain sales made during 2012, also recorded cost of sales in the amount of $7.6 million for photomasks produced by MP Mask for the Company's customers, and incurred expenses of $2.0 million for research and development activities and other goods and services purchased from MP Mask by the Company. In 2012 the Company purchased equipment from MP Mask for $1.9 million, of which $1.5 million was recorded as the cost of the equipment and $0.4 million was recorded as an investment in joint venture.</w:t>
      </w:r>
    </w:p>
    <w:p>
      <w:pPr>
        <w:spacing w:after="0" w:line="216"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Company, in 2011, recorded $1.7 million of commission revenue earned under the supply agreements it has with Micron and MP Mask, and amortization of $0.5 million of the related supply agreement intangible asset. The Company, for certain sales made during 2011, also recorded cost of sales in the amount of $18.5 million for photomasks produced by MP Mask for the Company's customers, and incurred expenses of $3.1 million for research and development activities and other goods and services purchased from MP Mask by the Company. In 2011, the Company purchased equipment from MP Mask for $4.6 million, of which $2.3 million was recorded as the cost of the equipment and $2.3 million was recorded as an investment in joint venture.</w:t>
      </w:r>
    </w:p>
    <w:p>
      <w:pPr>
        <w:spacing w:after="0" w:line="18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In the second quarter of fiscal 2012 the Company paid $35 million to Micron in connection with the purchase of the U.S. nanoFab facility and the remaining term of the operating lease agreement through 2014 was cancelled.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w w:val="94"/>
              </w:rPr>
              <w:t>Summarized financial information of MP Mask is presented below.</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7"/>
          </w:tcPr>
          <w:p>
            <w:pPr>
              <w:ind w:left="480"/>
              <w:spacing w:after="0"/>
              <w:rPr>
                <w:sz w:val="20"/>
                <w:szCs w:val="20"/>
                <w:color w:val="auto"/>
              </w:rPr>
            </w:pPr>
            <w:r>
              <w:rPr>
                <w:rFonts w:ascii="Arial" w:cs="Arial" w:eastAsia="Arial" w:hAnsi="Arial"/>
                <w:sz w:val="18"/>
                <w:szCs w:val="18"/>
                <w:b w:val="1"/>
                <w:bCs w:val="1"/>
                <w:color w:val="auto"/>
              </w:rPr>
              <w:t>As of October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35,794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25,701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177,769</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170,226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28,497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15,597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jc w:val="right"/>
              <w:ind w:right="145"/>
              <w:spacing w:after="0"/>
              <w:rPr>
                <w:sz w:val="20"/>
                <w:szCs w:val="20"/>
                <w:color w:val="auto"/>
              </w:rPr>
            </w:pPr>
            <w:r>
              <w:rPr>
                <w:rFonts w:ascii="Arial" w:cs="Arial" w:eastAsia="Arial" w:hAnsi="Arial"/>
                <w:sz w:val="18"/>
                <w:szCs w:val="18"/>
                <w:b w:val="1"/>
                <w:bCs w:val="1"/>
                <w:color w:val="auto"/>
                <w:w w:val="90"/>
              </w:rPr>
              <w:t>Year Ended October</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3"/>
          </w:tcPr>
          <w:p>
            <w:pPr>
              <w:spacing w:after="0"/>
              <w:rPr>
                <w:sz w:val="18"/>
                <w:szCs w:val="18"/>
                <w:color w:val="auto"/>
              </w:rPr>
            </w:pPr>
          </w:p>
        </w:tc>
        <w:tc>
          <w:tcPr>
            <w:tcW w:w="9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77,900</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84,216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79,766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1,799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2,649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434"/>
              <w:spacing w:after="0"/>
              <w:rPr>
                <w:sz w:val="20"/>
                <w:szCs w:val="20"/>
                <w:color w:val="auto"/>
              </w:rPr>
            </w:pPr>
            <w:r>
              <w:rPr>
                <w:rFonts w:ascii="Arial" w:cs="Arial" w:eastAsia="Arial" w:hAnsi="Arial"/>
                <w:sz w:val="14"/>
                <w:szCs w:val="14"/>
                <w:color w:val="auto"/>
              </w:rPr>
              <w:t>46</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NOTE 5 - ACCRUED LIABILITIES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Accrued liabilities consist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November 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October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related benefits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VAT and other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8,105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DERIVATIVE INSTRUMENTS AND HEDGING ACTIVITIES</w:t>
      </w:r>
    </w:p>
    <w:p>
      <w:pPr>
        <w:spacing w:after="0" w:line="256"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The Company has utilized derivative instruments to reduce its exposure to the effects of the variability of interest rates and foreign currencies on its financial performance when it believes such action is warranted. Historically, the Company has been a party to derivative instruments to hedge either the variability of cash flows of a prospective transaction or the fair value of a recorded asset or liability. In certain instances, the Company has designated these transactions as hedging instruments. However, whether or not a derivative was designated as being a hedging instrument, the Company's purpose for engaging in the derivative has always been for risk management (and not speculative) purposes. The Company has historically not been a party to a significant number of derivative instruments and does not expect its derivative activity to significantly increase in the foreseeable future.</w:t>
      </w:r>
    </w:p>
    <w:p>
      <w:pPr>
        <w:spacing w:after="0" w:line="19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addition to the utilization of derivative instruments discussed above, the Company attempts to minimize its risk of foreign currency exchange rate variability by, whenever possible, procuring production materials within the same country that it will utilize the materials in manufacturing and, by selling to customers from manufacturing sites within the country in which the customers are located.</w:t>
      </w:r>
    </w:p>
    <w:p>
      <w:pPr>
        <w:spacing w:after="0" w:line="20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May 2009, in connection with an amendment to its credit facility, the Company issued 2.1 million warrants, each exercisable for one share of the Company's common stock at an exercise price of $0.01 per share. Forty percent of the warrants were exercisable upon issuance, and the remaining balance was to become exercisable in twenty percent increments at various points in time after October 31, 2009. As a result of certain net cash settleable put provisions within the warrant agreement, the warrants were recorded as a liability in the Company's consolidated balance sheet. As of the issuance date and for future periods that such warrants remained outstanding, the Company had adjusted the liability based upon the current fair value of the warrants, with any changes in their fair value being recognized in earnings. Due to the warrants' exercise price of $0.01 per share, their fair value approximated the market price of the Company's common stock. Approximately 1.2 million of these warrants were cancelled as a result of the Company's early repayment of certain amounts under its credit facility during the year ended November 1, 2009, and the associated liability was reduced accordingly. All of the 0.2 million of these warrants that remained outstanding were exercised in fiscal 2012. See Note 8 for disclosures related to other common stock warrants.</w:t>
      </w:r>
    </w:p>
    <w:p>
      <w:pPr>
        <w:spacing w:after="0" w:line="19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A portion of an existing loss on a cash flow hedge, in the amount of $0.1 million, is expected to be reclassified into earnings over the next twelve months.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8" w:name="page49"/>
    <w:bookmarkEnd w:id="48"/>
    <w:p>
      <w:pPr>
        <w:ind w:right="20" w:firstLine="324"/>
        <w:spacing w:after="0" w:line="277" w:lineRule="auto"/>
        <w:rPr>
          <w:sz w:val="20"/>
          <w:szCs w:val="20"/>
          <w:color w:val="auto"/>
        </w:rPr>
      </w:pPr>
      <w:r>
        <w:rPr>
          <w:rFonts w:ascii="Arial" w:cs="Arial" w:eastAsia="Arial" w:hAnsi="Arial"/>
          <w:sz w:val="18"/>
          <w:szCs w:val="18"/>
          <w:color w:val="auto"/>
        </w:rPr>
        <w:t>The table below presents the effect of derivative instruments on the Company's consolidated statements of income for the years ended November 3, 2013, October 28, 2012 and October 30, 2011.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11"/>
          </w:tcPr>
          <w:p>
            <w:pPr>
              <w:jc w:val="center"/>
              <w:ind w:left="630"/>
              <w:spacing w:after="0"/>
              <w:rPr>
                <w:sz w:val="20"/>
                <w:szCs w:val="20"/>
                <w:color w:val="auto"/>
              </w:rPr>
            </w:pPr>
            <w:r>
              <w:rPr>
                <w:rFonts w:ascii="Arial" w:cs="Arial" w:eastAsia="Arial" w:hAnsi="Arial"/>
                <w:sz w:val="18"/>
                <w:szCs w:val="18"/>
                <w:b w:val="1"/>
                <w:bCs w:val="1"/>
                <w:color w:val="auto"/>
                <w:w w:val="90"/>
              </w:rPr>
              <w:t>Amount of Gain (Loss)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11"/>
          </w:tcPr>
          <w:p>
            <w:pPr>
              <w:jc w:val="center"/>
              <w:ind w:left="610"/>
              <w:spacing w:after="0"/>
              <w:rPr>
                <w:sz w:val="20"/>
                <w:szCs w:val="20"/>
                <w:color w:val="auto"/>
              </w:rPr>
            </w:pPr>
            <w:r>
              <w:rPr>
                <w:rFonts w:ascii="Arial" w:cs="Arial" w:eastAsia="Arial" w:hAnsi="Arial"/>
                <w:sz w:val="18"/>
                <w:szCs w:val="18"/>
                <w:b w:val="1"/>
                <w:bCs w:val="1"/>
                <w:color w:val="auto"/>
                <w:w w:val="88"/>
              </w:rPr>
              <w:t>Recognized Related to</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gridSpan w:val="13"/>
          </w:tcPr>
          <w:p>
            <w:pPr>
              <w:jc w:val="center"/>
              <w:ind w:right="420"/>
              <w:spacing w:after="0"/>
              <w:rPr>
                <w:sz w:val="20"/>
                <w:szCs w:val="20"/>
                <w:color w:val="auto"/>
              </w:rPr>
            </w:pPr>
            <w:r>
              <w:rPr>
                <w:rFonts w:ascii="Arial" w:cs="Arial" w:eastAsia="Arial" w:hAnsi="Arial"/>
                <w:sz w:val="18"/>
                <w:szCs w:val="18"/>
                <w:b w:val="1"/>
                <w:bCs w:val="1"/>
                <w:color w:val="auto"/>
                <w:w w:val="91"/>
              </w:rPr>
              <w:t>Derivative Instruments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5"/>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Derivatives Not Designated</w:t>
            </w:r>
          </w:p>
        </w:tc>
        <w:tc>
          <w:tcPr>
            <w:tcW w:w="100" w:type="dxa"/>
            <w:vAlign w:val="bottom"/>
          </w:tcPr>
          <w:p>
            <w:pPr>
              <w:spacing w:after="0"/>
              <w:rPr>
                <w:sz w:val="17"/>
                <w:szCs w:val="17"/>
                <w:color w:val="auto"/>
              </w:rPr>
            </w:pPr>
          </w:p>
        </w:tc>
        <w:tc>
          <w:tcPr>
            <w:tcW w:w="240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Location of Gain (Loss)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0"/>
              </w:rPr>
              <w:t>as Hedging Instruments Under</w:t>
            </w:r>
          </w:p>
        </w:tc>
        <w:tc>
          <w:tcPr>
            <w:tcW w:w="10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Recognized Related to</w:t>
            </w:r>
          </w:p>
        </w:tc>
        <w:tc>
          <w:tcPr>
            <w:tcW w:w="144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November 3,</w:t>
            </w:r>
          </w:p>
        </w:tc>
        <w:tc>
          <w:tcPr>
            <w:tcW w:w="12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October 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30,</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ASC 815</w:t>
            </w:r>
          </w:p>
        </w:tc>
        <w:tc>
          <w:tcPr>
            <w:tcW w:w="100" w:type="dxa"/>
            <w:vAlign w:val="bottom"/>
          </w:tcPr>
          <w:p>
            <w:pPr>
              <w:spacing w:after="0"/>
              <w:rPr>
                <w:sz w:val="23"/>
                <w:szCs w:val="23"/>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Derivative Instruments</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 on common stock</w:t>
            </w:r>
          </w:p>
        </w:tc>
        <w:tc>
          <w:tcPr>
            <w:tcW w:w="10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Interest and other income</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459"/>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NOTE 7 - LONG-TERM BORROWINGS</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Long-term borrowings consist of the following:</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November 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October 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8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2016</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115,000</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5.50% convertible senior notes due in October 2014</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22,054</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3"/>
              </w:rPr>
              <w:t>Term loan, which bears interest at a variable rate, as defined (2.69% at November 3, 2013), repaid in</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2013</w:t>
            </w:r>
          </w:p>
        </w:tc>
        <w:tc>
          <w:tcPr>
            <w:tcW w:w="1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21,250</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23,750</w:t>
            </w:r>
          </w:p>
        </w:tc>
        <w:tc>
          <w:tcPr>
            <w:tcW w:w="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3.09% capital lease obligation payable through March 2016</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15,175</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4.75% financing loan with customer</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176,737</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11,818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7,781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182,203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168,956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of November 3, 2013, long-term borrowings, excluding capital lease obligations, mature as follows: $2,500, $24,554, $117,500 and $13,750 in fiscal years 2014, 2015, 2016 and 2017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November 3, 2013, minimum lease payments under the Company's capital lease obligation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Fiscal Years:</w:t>
            </w:r>
          </w:p>
        </w:tc>
        <w:tc>
          <w:tcPr>
            <w:tcW w:w="3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2015</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10,218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2017</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6,108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37,848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minimum lease payments under capital leases</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35,717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net minimum lease payments</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Long-term portion of minimum lease payments</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26,399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160" w:type="dxa"/>
            <w:vAlign w:val="bottom"/>
            <w:vMerge w:val="restart"/>
          </w:tcPr>
          <w:p>
            <w:pPr>
              <w:jc w:val="right"/>
              <w:ind w:right="2019"/>
              <w:spacing w:after="0"/>
              <w:rPr>
                <w:sz w:val="20"/>
                <w:szCs w:val="20"/>
                <w:color w:val="auto"/>
              </w:rPr>
            </w:pPr>
            <w:r>
              <w:rPr>
                <w:rFonts w:ascii="Arial" w:cs="Arial" w:eastAsia="Arial" w:hAnsi="Arial"/>
                <w:sz w:val="14"/>
                <w:szCs w:val="14"/>
                <w:color w:val="auto"/>
              </w:rPr>
              <w:t>48</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ind w:right="80" w:firstLine="324"/>
        <w:spacing w:after="0" w:line="257" w:lineRule="auto"/>
        <w:rPr>
          <w:sz w:val="20"/>
          <w:szCs w:val="20"/>
          <w:color w:val="auto"/>
        </w:rPr>
      </w:pPr>
      <w:r>
        <w:rPr>
          <w:rFonts w:ascii="Arial" w:cs="Arial" w:eastAsia="Arial" w:hAnsi="Arial"/>
          <w:sz w:val="18"/>
          <w:szCs w:val="18"/>
          <w:color w:val="auto"/>
        </w:rPr>
        <w:t>In August 2013 a $26.4 million principal amount, five year capital lease commenced to fund the purchase of a high-end lithography tool. Payments under the capital lease, which bears interest at 2.77% are $0.5 million per month through July 2018. Under the terms of the lease agreement, the Company must maintain the equipment in good working order, and is subject to a cross default with cross acceleration provision related to certain nonfinancial covenants incorporated in its credit facility. As of November 3, 2013, the total amount payable through the end of the lease term was $26.8 million, of which $25.1 million represented principal and $1.7 million represented interest.</w:t>
      </w:r>
    </w:p>
    <w:p>
      <w:pPr>
        <w:spacing w:after="0" w:line="21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In March 2012 the Company, in connection with its purchase of the U.S. nanoFab facility (see Note 4 for further discussion), amended its credit facility (“the credit facility”) to include the addition of a $25 million term loan that was to mature in March 2017. In December 2013, simultaneous with the new credit facility, the Company repaid the $21.3 million balance of this term loan that was outstanding at November 3, 2013.</w:t>
      </w:r>
    </w:p>
    <w:p>
      <w:pPr>
        <w:spacing w:after="0" w:line="193"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December 2013 the Company amended its credit facility, which increased its limit to $50 million with an expansion capacity to $75 million, and extended its term to December 2018. The amended credit facility, which replaces the credit facility in effect at November 3, 2013, bears interest based on the Company’s total leverage ratio, at LIBOR plus a spread, as defined in the credit facility. The amended credit facility decreased the interest rate spread on borrowings, replaced the minimum fixed charge ratio covenant with a minimum interest coverage ratio and increased investment baskets, as defined, and continues to include a total leverage ratio and minimum unrestricted cash balance covenant. As of December 2013, the Company had no outstanding borrowings under the amended credit facility and $50 million was available for borrowing. The amended credit facility is secured by substantially all of the Company’s assets located in the United States, as well as common stock the Company owns in certain of its foreign subsidiaries.</w:t>
      </w:r>
    </w:p>
    <w:p>
      <w:pPr>
        <w:spacing w:after="0" w:line="19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In March 2011 the Company amended its credit facility which, as then amended, included, among other things: i) a reduction of the aggregate commitments of the lenders from $65 million to $30 million; ii) a reduction of the applicable interest rates and modifications of the leverage ratios related thereto; iii) an extension of the maturity date to April 30, 2015; iv) an increase in the permitted amount of certain financed capital assets up to $75 million outstanding at any one time; v) an allowance to issue the 3.25% convertible senior notes (discussed below); vi) an increase in the investments “basket” from $15 million to $25 million per year; vii) an allowance to repurchase the 5.5% convertible senior notes and other indebtedness; and viii) removal of the limitation on maximum last twelve months capital expenditures. The credit facility bore interest (2.69% at November 3, 2013), based on the Company’s total leverage ratio, at LIBOR plus a spread, as defined in the credit facility</w:t>
      </w:r>
    </w:p>
    <w:p>
      <w:pPr>
        <w:spacing w:after="0" w:line="20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March 2011 the Company issued through a private offering pursuant to Rule 144A under the Securities Act of 1933, as amended, $115 million aggregate principal amount of 3.25% convertible senior notes. The notes mature on April 1, 2016, and note holders may convert each $1,000 principal amount of notes to approximately 96 shares of common stock (equivalent to an initial conversion price of $10.37 per share of common stock) at any time prior to the close of business on the second scheduled trading day immediately preceding April 1, 2016. The conversion rate is subject to adjustment upon the occurrence of certain events, which are described in the indenture dated March 28, 2011. The Company is not required to redeem the notes prior to their maturity date. Interest on the notes accrues in arrears, and is paid semiannually through the notes’ maturity date. The net proceeds of the notes were approximately $110.7 million, which were used, in part, to acquire $35.4 million of the Company’s 5.5% convertible senior notes which were to mature on October 1, 2014, and to repay, in full, its then outstanding obligations under capital leases of $19.8 million.</w:t>
      </w:r>
    </w:p>
    <w:p>
      <w:pPr>
        <w:spacing w:after="0" w:line="206"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6"/>
          <w:szCs w:val="16"/>
          <w:color w:val="auto"/>
        </w:rPr>
        <w:t>In June 2011 the Company acquired $5.0 million of its 5.5% convertible senior notes in exchange for 0.7 million shares of its common stock with a fair value of $6.5 million and cash of $3.2 million (the note holders received approximately 148 shares and cash of $647 for each $1,000 note). The Company, in connection with this repurchase, recorded an extinguishment loss of $5.0 million, which included the write off of deferred financing fees of $0.3 million. The loss is included in other income (expense) in the Company's consolidated statements of income. In March 2011 the Company acquired $30.4 million of its</w:t>
      </w:r>
    </w:p>
    <w:p>
      <w:pPr>
        <w:spacing w:after="0" w:line="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5.5% convertible senior notes in exchange for 4.5 million shares of its common stock with a fair value of $39.2 million and cash of $19.7 million (the note holders received approximately148 shares and cash of $647 for each $1,000 note). The Company, in connection with this repurchase, recorded an extinguishment loss of $30.1 million, which included the write off of deferred financing fees of $1.7 million. The loss is included in other income (expense) in the Company's consolidated statement of income.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ind w:right="80" w:firstLine="324"/>
        <w:spacing w:after="0" w:line="289" w:lineRule="auto"/>
        <w:rPr>
          <w:sz w:val="20"/>
          <w:szCs w:val="20"/>
          <w:color w:val="auto"/>
        </w:rPr>
      </w:pPr>
      <w:r>
        <w:rPr>
          <w:rFonts w:ascii="Arial" w:cs="Arial" w:eastAsia="Arial" w:hAnsi="Arial"/>
          <w:sz w:val="16"/>
          <w:szCs w:val="16"/>
          <w:color w:val="auto"/>
        </w:rPr>
        <w:t>In September 2009 the Company issued, through a public offering, $57.5 million aggregate principal amount of 5.5% convertible senior notes, which were to mature on October 1, 2014. Under the terms of the offering, the note holders could convert each $1,000 principal amount of notes to approximately 197 shares of common stock (equivalent to an initial conversion price of $5.08 per share of common stock) on, or before, September 30, 2014. The conversion rate is subject to adjustment upon the occurrence of certain events which are described in the indenture dated September 16, 2009. The Company is not required to redeem the notes prior to their maturity. The net proceeds of this offering were approximately $54.9 million, which were used to reduce amounts outstanding under the Company’s credit facility. As discussed above, $35.4 million aggregate principal amount of these notes were acquired by the Company during fiscal 2011. In addition, in December 2013 the Company entered into a new five year $50 million credit facility. The Company intends to repay the remaining outstanding 5.5% convertible senior notes issued in September 2009 with borrowings against this new credit facility and, therefore, has classified as long-term the entire $22.1 million of those notes that were outstanding as of November 3, 2013.</w:t>
      </w:r>
    </w:p>
    <w:p>
      <w:pPr>
        <w:spacing w:after="0" w:line="19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April 2011 the Company entered into a five year, $21.2 million capital lease for manufacturing equipment. Payments under the lease, which bears interest at 3.09%,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November 3, 2013, the total amount payable through the end of the lease term was $11.1 million, of which $10.7 million represented principal and $0.4 million represented interest.</w:t>
      </w:r>
    </w:p>
    <w:p>
      <w:pPr>
        <w:spacing w:after="0" w:line="215"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In January 2010 the Company borrowed $3.7 million from a customer to purchase manufacturing equipment. This loan, which bore interest at 4.75%, was fully repaid during fiscal 2013 with product supplied to the customer. Product valued at $0.8 million and $1.0 million was shipped to the customer and applied against the loan during fiscal 2013 and 2012, respectively.</w:t>
      </w:r>
    </w:p>
    <w:p>
      <w:pPr>
        <w:spacing w:after="0" w:line="20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Interest payments were $6.3 million, $6.3 million and $9.7 million in fiscal 2013, 2012 and 2011, respectively, including deferred financing cost payments of $0.2 million and $4.3 million in fiscal 2012 and 2011,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COMMON STOCK WARRANTS</w:t>
      </w:r>
    </w:p>
    <w:p>
      <w:pPr>
        <w:spacing w:after="0" w:line="25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September 2009 the Company entered into two warrant agreements with Intel Capital Corporation to purchase a total of 750,000 shares of the Company's common stock. Under one warrant agreement 500,000 shares of the Company's common stock could be purchased at an exercise price of $4.15 per share and under the second warrant agreement 250,000 shares of the Company's common stock could be purchased at an exercise price of $5.08 per share. The warrant agreements were to expire in September 2014. Also in September 2009, the Company and Intel Corporation entered into an agreement to share technical and operations information regarding the development of the Company's products, the capabilities of the Company's photomask manufacturing lines and the alignment of photomask toolsets. Intel Capital Corporation also invested in the Company's convertible debt offering of September 2009. The warrants were recorded at their fair value on their date of grant, which was determined using the Black-Scholes option pricing model. In June 2013 Intel Capital Corporation exercised all of the warrants under both warrant agreements on a net share basis and received 0.3 million shares of the Company’s common stock.</w:t>
      </w:r>
    </w:p>
    <w:p>
      <w:pPr>
        <w:spacing w:after="0" w:line="22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 conjunction with a May 2009 amendment to its credit facility, the Company also entered into a warrant agreement with its lenders. See Note 6 for further discussion of these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OPERATING LEASES</w:t>
      </w:r>
    </w:p>
    <w:p>
      <w:pPr>
        <w:spacing w:after="0" w:line="256"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Company leases various real estate and equipment under non-cancelable operating leases, for which rental expense was $2.7 million in fiscal years 2013 and 2012 and $2.9 million in fiscal year 2011. In fiscal 2012 the Company paid the former lessor $35 million in connection with its purchase of the U.S. nanoFab, which reduced the Company’s outstanding operating lease commitments by a total of $15 million for fiscal years 2013 and 2014.</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ind w:left="340"/>
        <w:spacing w:after="0"/>
        <w:rPr>
          <w:sz w:val="20"/>
          <w:szCs w:val="20"/>
          <w:color w:val="auto"/>
        </w:rPr>
      </w:pPr>
      <w:r>
        <w:rPr>
          <w:rFonts w:ascii="Arial" w:cs="Arial" w:eastAsia="Arial" w:hAnsi="Arial"/>
          <w:sz w:val="16"/>
          <w:szCs w:val="16"/>
          <w:color w:val="auto"/>
        </w:rPr>
        <w:t>At November 3, 2013, future minimum lease payments under non-cancelable operating leases with initial terms in excess of one year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2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2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9"/>
                <w:szCs w:val="19"/>
                <w:color w:val="auto"/>
              </w:rPr>
            </w:pPr>
          </w:p>
        </w:tc>
      </w:tr>
      <w:tr>
        <w:trPr>
          <w:trHeight w:val="257"/>
        </w:trPr>
        <w:tc>
          <w:tcPr>
            <w:tcW w:w="55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for disclosures related to the Company's capital lease obligations.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256"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March 2007 the Company's shareholders approved a new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A maximum of six million shares of common stock may be issued under the plan.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The Company incurred total share-based compensation expenses of $4.0 million, $3.2 million and $2.5 million in fiscal years 2013, 2012 and 2011, respectively. No share-based compensation cost was capitalized as part of an asset and no related income tax benefits were recorded during the fiscal years presented.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Option awards generally vest in one to four years, and have a ten year contractual term. All incentive and non-qualified stock option grants must have an exercise price no less than the market value of the underlying common stock on the date of grant. The grant date fair values of options are based on the closing prices of the Company’s common stock on the date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20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values of options issued during fiscal years 2013, 2012 and 2011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Year Ended</w:t>
            </w: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36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4"/>
              </w:rPr>
              <w:t>November 3,</w:t>
            </w:r>
          </w:p>
        </w:tc>
        <w:tc>
          <w:tcPr>
            <w:tcW w:w="13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rPr>
              <w:t>October 28,</w:t>
            </w:r>
          </w:p>
        </w:tc>
        <w:tc>
          <w:tcPr>
            <w:tcW w:w="1160" w:type="dxa"/>
            <w:vAlign w:val="bottom"/>
            <w:gridSpan w:val="2"/>
          </w:tcPr>
          <w:p>
            <w:pPr>
              <w:ind w:left="140"/>
              <w:spacing w:after="0" w:line="198" w:lineRule="exact"/>
              <w:rPr>
                <w:sz w:val="20"/>
                <w:szCs w:val="20"/>
                <w:color w:val="auto"/>
              </w:rPr>
            </w:pPr>
            <w:r>
              <w:rPr>
                <w:rFonts w:ascii="Arial" w:cs="Arial" w:eastAsia="Arial" w:hAnsi="Arial"/>
                <w:sz w:val="18"/>
                <w:szCs w:val="18"/>
                <w:b w:val="1"/>
                <w:bCs w:val="1"/>
                <w:color w:val="auto"/>
              </w:rPr>
              <w:t>October 30,</w:t>
            </w:r>
          </w:p>
        </w:tc>
        <w:tc>
          <w:tcPr>
            <w:tcW w:w="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w:t>
            </w: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2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return</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 – 1.4%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 – 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 1.9%</w:t>
            </w: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360" w:type="dxa"/>
            <w:vAlign w:val="bottom"/>
            <w:gridSpan w:val="3"/>
          </w:tcPr>
          <w:p>
            <w:pPr>
              <w:spacing w:after="0"/>
              <w:rPr>
                <w:sz w:val="18"/>
                <w:szCs w:val="18"/>
                <w:color w:val="auto"/>
              </w:rPr>
            </w:pPr>
          </w:p>
        </w:tc>
        <w:tc>
          <w:tcPr>
            <w:tcW w:w="22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 years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 years</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 years</w:t>
            </w: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51</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color w:val="auto"/>
        </w:rPr>
        <w:t>A summary of option activity under the Plan as of November 3, 2013, and changes during the year then ended is presented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26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3"/>
                <w:szCs w:val="23"/>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3"/>
                <w:szCs w:val="23"/>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28, 2012</w:t>
            </w:r>
          </w:p>
        </w:tc>
        <w:tc>
          <w:tcPr>
            <w:tcW w:w="1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3,999,302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616,500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(327,469)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Cancelled and forfeited</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(114,031)</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November 3, 2013</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4,174,302</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c>
          <w:tcPr>
            <w:tcW w:w="1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3"/>
              </w:rPr>
              <w:t>5.6 years</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gridSpan w:val="2"/>
          </w:tcPr>
          <w:p>
            <w:pPr>
              <w:spacing w:after="0"/>
              <w:rPr>
                <w:sz w:val="20"/>
                <w:szCs w:val="20"/>
                <w:color w:val="auto"/>
              </w:rPr>
            </w:pPr>
            <w:r>
              <w:rPr>
                <w:rFonts w:ascii="Arial" w:cs="Arial" w:eastAsia="Arial" w:hAnsi="Arial"/>
                <w:sz w:val="18"/>
                <w:szCs w:val="18"/>
                <w:color w:val="auto"/>
              </w:rPr>
              <w:t>Exercisable at November 3, 2013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2,691,323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9.83</w:t>
            </w:r>
          </w:p>
        </w:tc>
        <w:tc>
          <w:tcPr>
            <w:tcW w:w="1020" w:type="dxa"/>
            <w:vAlign w:val="bottom"/>
          </w:tcPr>
          <w:p>
            <w:pPr>
              <w:ind w:left="380"/>
              <w:spacing w:after="0"/>
              <w:rPr>
                <w:sz w:val="20"/>
                <w:szCs w:val="20"/>
                <w:color w:val="auto"/>
              </w:rPr>
            </w:pPr>
            <w:r>
              <w:rPr>
                <w:rFonts w:ascii="Arial" w:cs="Arial" w:eastAsia="Arial" w:hAnsi="Arial"/>
                <w:sz w:val="18"/>
                <w:szCs w:val="18"/>
                <w:color w:val="auto"/>
                <w:w w:val="83"/>
              </w:rPr>
              <w:t>4.3 years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6,639</w:t>
            </w:r>
          </w:p>
        </w:tc>
        <w:tc>
          <w:tcPr>
            <w:tcW w:w="0" w:type="dxa"/>
            <w:vAlign w:val="bottom"/>
          </w:tcPr>
          <w:p>
            <w:pPr>
              <w:spacing w:after="0"/>
              <w:rPr>
                <w:sz w:val="1"/>
                <w:szCs w:val="1"/>
                <w:color w:val="auto"/>
              </w:rPr>
            </w:pPr>
          </w:p>
        </w:tc>
      </w:tr>
      <w:tr>
        <w:trPr>
          <w:trHeight w:val="27"/>
        </w:trPr>
        <w:tc>
          <w:tcPr>
            <w:tcW w:w="628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20" w:type="dxa"/>
            <w:vAlign w:val="bottom"/>
            <w:vMerge w:val="continue"/>
          </w:tcPr>
          <w:p>
            <w:pPr>
              <w:spacing w:after="0"/>
              <w:rPr>
                <w:sz w:val="24"/>
                <w:szCs w:val="24"/>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to vest as of November 3, 2013</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1,325,098</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3"/>
              </w:rPr>
              <w:t>8.1 years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weighted-average grant date fair value of options granted during fiscal years 2013, 2012 and 2011 were $4.00, $4.47 and $4.75, respectively. The total intrinsic value of options exercised during fiscal years 2013, 2012 and 2011 was $1.6 million, $1.3 million and $2.1 million, respectively.</w:t>
      </w:r>
    </w:p>
    <w:p>
      <w:pPr>
        <w:spacing w:after="0" w:line="15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received cash from option exercises of $0.5 million, $0.3 million and $0.4 million in fiscal years 2013, 2012 and 2011, respectively. As of November 3, 2013, the total unrecognized compensation cost of unvested option awards was approximately $3.8 million. That cost is expected to be recognized over a weighted-average amortization period of 2.3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periodically grants restricted stock awards. The restrictions on these awards lapse over a service period that has ranged from less-than-one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eight years. The weighted-average grant date fair values of restricted stock awards issued during fiscal years 2013, 2012 and 2011 were $5.48, $6.28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$6.71, respectively. The total fair value of awards for which restrictions lapsed was $1.3 million, $0.5 million and $0.5 million during fiscal years 2013,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2011 respectively. As of November 3, 2013, the total compensation cost for restricted stock awards not yet recognized was approximately $1.2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cost is expected to be recognized over a weighted-average amortization period of 2.0 years.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status of the Company's outstanding restricted stock awards as of November 3, 2013,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vMerge w:val="restart"/>
          </w:tcPr>
          <w:p>
            <w:pPr>
              <w:ind w:left="2560"/>
              <w:spacing w:after="0"/>
              <w:rPr>
                <w:sz w:val="20"/>
                <w:szCs w:val="20"/>
                <w:color w:val="auto"/>
              </w:rPr>
            </w:pPr>
            <w:r>
              <w:rPr>
                <w:rFonts w:ascii="Arial" w:cs="Arial" w:eastAsia="Arial" w:hAnsi="Arial"/>
                <w:sz w:val="18"/>
                <w:szCs w:val="18"/>
                <w:b w:val="1"/>
                <w:bCs w:val="1"/>
                <w:color w:val="auto"/>
              </w:rPr>
              <w:t>Restricted Stock</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98"/>
              </w:rPr>
              <w:t>at Grant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720" w:type="dxa"/>
            <w:vAlign w:val="bottom"/>
            <w:tcBorders>
              <w:bottom w:val="single" w:sz="8" w:color="auto"/>
            </w:tcBorders>
            <w:vMerge w:val="continue"/>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Date</w:t>
            </w:r>
          </w:p>
        </w:tc>
        <w:tc>
          <w:tcPr>
            <w:tcW w:w="24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92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28, 2012</w:t>
            </w: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252,314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209,500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(157,937)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Cancelled</w:t>
            </w:r>
          </w:p>
        </w:tc>
        <w:tc>
          <w:tcPr>
            <w:tcW w:w="3120" w:type="dxa"/>
            <w:vAlign w:val="bottom"/>
            <w:gridSpan w:val="4"/>
          </w:tcPr>
          <w:p>
            <w:pPr>
              <w:jc w:val="right"/>
              <w:ind w:right="14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13.99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November 3, 2013</w:t>
            </w:r>
          </w:p>
        </w:tc>
        <w:tc>
          <w:tcPr>
            <w:tcW w:w="1800" w:type="dxa"/>
            <w:vAlign w:val="bottom"/>
            <w:gridSpan w:val="2"/>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303,627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Expected to vest as of November 3, 2013</w:t>
            </w:r>
          </w:p>
        </w:tc>
        <w:tc>
          <w:tcPr>
            <w:tcW w:w="1800" w:type="dxa"/>
            <w:vAlign w:val="bottom"/>
            <w:gridSpan w:val="2"/>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275,291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700" w:type="dxa"/>
            <w:vAlign w:val="bottom"/>
            <w:vMerge w:val="restart"/>
          </w:tcPr>
          <w:p>
            <w:pPr>
              <w:jc w:val="right"/>
              <w:ind w:right="574"/>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7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52"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The Company's Employee Stock Purchase Plan ("ESPP") permits employees to purchase shares at 85% of the lower of the fair market value at the commencement of the offering or the last day of the payroll payment period. The maximum number of shares of common stock approved by the Company's shareholders to be purchased under the ESPP was increased from 0.9 million shares to 1.2 million shares during fiscal 2010. The vesting period for shares purchased under the ESPP is approximately one year. Under the ESPP, approximately 1.1 million shares had been issued through November 3, 2013, and approximately 63,000 shares are subject to outstanding subscriptions. As of November 3, 2013, the total compensation cost related to the ESPP not yet recognized was $0.1 million, which is expected to be recognized in fiscal 2014.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RETIREMENT PLAN</w:t>
      </w:r>
    </w:p>
    <w:p>
      <w:pPr>
        <w:spacing w:after="0" w:line="25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maintains a 401(k) Savings and Profit Sharing Plan ("401(k) Plan") which covers all full-time domestic employees who have completed three months of service and are 18 years of age or older. Under the terms of the 401(k) Plan, employees may contribute up to 50% of their salary, subject to certain maximum amounts, which will be matched by the Company at 50% of the employee's contributions that are not in excess of 4% of the employee's compensation. Employee and employer contributions vest upon contribution. Employer contributions amounted to $0.4 million in fiscal years 2013, 2012 and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CONSOLIDATION, RESTRUCTURING AND RELATED CHARGES</w:t>
      </w:r>
    </w:p>
    <w:p>
      <w:pPr>
        <w:spacing w:after="0" w:line="25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the first quarter of fiscal 2012 the Company ceased the manufacture of photomasks at its Singapore facility and, in connection therewith, recorded charges of $1.4 million during fiscal 2012. This restructuring, which was comprised primarily of employee termination costs, was substantially completed in fiscal 2012.</w:t>
      </w:r>
    </w:p>
    <w:p>
      <w:pPr>
        <w:spacing w:after="0" w:line="20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sets forth the Company's restructuring reserve, primarily related to its Singapore facility, as of November 3, 2013 and October 28, 2012, and reflects the activity affecting the reserve for the year then ended.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w w:val="91"/>
              </w:rPr>
              <w:t>Year Ended November 3, 2013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November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Charges</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Utilized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terminations and other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160" w:type="dxa"/>
            <w:vAlign w:val="bottom"/>
            <w:gridSpan w:val="2"/>
          </w:tcPr>
          <w:p>
            <w:pPr>
              <w:spacing w:after="0"/>
              <w:rPr>
                <w:sz w:val="19"/>
                <w:szCs w:val="19"/>
                <w:color w:val="auto"/>
              </w:rPr>
            </w:pPr>
          </w:p>
        </w:tc>
        <w:tc>
          <w:tcPr>
            <w:tcW w:w="118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1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b w:val="1"/>
                <w:bCs w:val="1"/>
                <w:color w:val="auto"/>
                <w:w w:val="90"/>
              </w:rPr>
              <w:t>Year Ended October 28, 2012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Charges</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Utilized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terminations and other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Asset write-downs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160" w:type="dxa"/>
            <w:vAlign w:val="bottom"/>
            <w:gridSpan w:val="2"/>
          </w:tcPr>
          <w:p>
            <w:pPr>
              <w:spacing w:after="0"/>
              <w:rPr>
                <w:sz w:val="19"/>
                <w:szCs w:val="19"/>
                <w:color w:val="auto"/>
              </w:rPr>
            </w:pPr>
          </w:p>
        </w:tc>
        <w:tc>
          <w:tcPr>
            <w:tcW w:w="118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12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1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60" w:type="dxa"/>
            <w:vAlign w:val="bottom"/>
          </w:tcPr>
          <w:p>
            <w:pPr>
              <w:jc w:val="right"/>
              <w:ind w:right="216"/>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NOTE 13 - INCOME TAXES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w w:val="92"/>
              </w:rPr>
              <w:t>The income before income tax provision consists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4"/>
              </w:rPr>
              <w:t>Year Ended</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November 3,</w:t>
            </w:r>
          </w:p>
        </w:tc>
        <w:tc>
          <w:tcPr>
            <w:tcW w:w="100" w:type="dxa"/>
            <w:vAlign w:val="bottom"/>
          </w:tcPr>
          <w:p>
            <w:pPr>
              <w:spacing w:after="0"/>
              <w:rPr>
                <w:sz w:val="17"/>
                <w:szCs w:val="17"/>
                <w:color w:val="auto"/>
              </w:rPr>
            </w:pPr>
          </w:p>
        </w:tc>
        <w:tc>
          <w:tcPr>
            <w:tcW w:w="126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00" w:type="dxa"/>
            <w:vAlign w:val="bottom"/>
          </w:tcPr>
          <w:p>
            <w:pPr>
              <w:spacing w:after="0"/>
              <w:rPr>
                <w:sz w:val="17"/>
                <w:szCs w:val="17"/>
                <w:color w:val="auto"/>
              </w:rPr>
            </w:pPr>
          </w:p>
        </w:tc>
        <w:tc>
          <w:tcPr>
            <w:tcW w:w="1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40,969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46,122</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56,295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26,805</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The income tax provision consists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4"/>
              </w:rPr>
              <w:t>Year Ended</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November 3,</w:t>
            </w:r>
          </w:p>
        </w:tc>
        <w:tc>
          <w:tcPr>
            <w:tcW w:w="100" w:type="dxa"/>
            <w:vAlign w:val="bottom"/>
          </w:tcPr>
          <w:p>
            <w:pPr>
              <w:spacing w:after="0"/>
              <w:rPr>
                <w:sz w:val="17"/>
                <w:szCs w:val="17"/>
                <w:color w:val="auto"/>
              </w:rPr>
            </w:pPr>
          </w:p>
        </w:tc>
        <w:tc>
          <w:tcPr>
            <w:tcW w:w="126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00" w:type="dxa"/>
            <w:vAlign w:val="bottom"/>
          </w:tcPr>
          <w:p>
            <w:pPr>
              <w:spacing w:after="0"/>
              <w:rPr>
                <w:sz w:val="17"/>
                <w:szCs w:val="17"/>
                <w:color w:val="auto"/>
              </w:rPr>
            </w:pPr>
          </w:p>
        </w:tc>
        <w:tc>
          <w:tcPr>
            <w:tcW w:w="1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11,332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Federal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income tax provision differs from the amount computed by applying the statutory U.S. federal income tax rate to the income before income taxes as a result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6"/>
              </w:rPr>
              <w:t>November 3,</w:t>
            </w:r>
          </w:p>
        </w:tc>
        <w:tc>
          <w:tcPr>
            <w:tcW w:w="100" w:type="dxa"/>
            <w:vAlign w:val="bottom"/>
          </w:tcPr>
          <w:p>
            <w:pPr>
              <w:spacing w:after="0"/>
              <w:rPr>
                <w:sz w:val="17"/>
                <w:szCs w:val="17"/>
                <w:color w:val="auto"/>
              </w:rPr>
            </w:pPr>
          </w:p>
        </w:tc>
        <w:tc>
          <w:tcPr>
            <w:tcW w:w="126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00" w:type="dxa"/>
            <w:vAlign w:val="bottom"/>
          </w:tcPr>
          <w:p>
            <w:pPr>
              <w:spacing w:after="0"/>
              <w:rPr>
                <w:sz w:val="17"/>
                <w:szCs w:val="17"/>
                <w:color w:val="auto"/>
              </w:rPr>
            </w:pPr>
          </w:p>
        </w:tc>
        <w:tc>
          <w:tcPr>
            <w:tcW w:w="10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at statutory rate</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12,564</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(8,334)</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from foreign subsidiaries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1,925</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503</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(4,467)</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Tax credits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(522)</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4"/>
              </w:rPr>
              <w:t>Uncertain tax positions, including reserves, settlements and resolutions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1,499</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Debt extinguishment losses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11,942</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Equity based compensation</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1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15,691</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576"/>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20" w:type="dxa"/>
            <w:vAlign w:val="bottom"/>
          </w:tcPr>
          <w:p>
            <w:pPr>
              <w:jc w:val="right"/>
              <w:ind w:right="448"/>
              <w:spacing w:after="0"/>
              <w:rPr>
                <w:sz w:val="20"/>
                <w:szCs w:val="20"/>
                <w:color w:val="auto"/>
              </w:rPr>
            </w:pPr>
            <w:r>
              <w:rPr>
                <w:rFonts w:ascii="Arial" w:cs="Arial" w:eastAsia="Arial" w:hAnsi="Arial"/>
                <w:sz w:val="14"/>
                <w:szCs w:val="14"/>
                <w:color w:val="auto"/>
              </w:rPr>
              <w:t>54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55" w:name="page56"/>
    <w:bookmarkEnd w:id="55"/>
    <w:p>
      <w:pPr>
        <w:ind w:right="140" w:firstLine="324"/>
        <w:spacing w:after="0" w:line="257" w:lineRule="auto"/>
        <w:rPr>
          <w:sz w:val="20"/>
          <w:szCs w:val="20"/>
          <w:color w:val="auto"/>
        </w:rPr>
      </w:pPr>
      <w:r>
        <w:rPr>
          <w:rFonts w:ascii="Arial" w:cs="Arial" w:eastAsia="Arial" w:hAnsi="Arial"/>
          <w:sz w:val="18"/>
          <w:szCs w:val="18"/>
          <w:color w:val="auto"/>
        </w:rPr>
        <w:t>The effective tax rate differs from the U.S. statutory rate of 35% in fiscal years 2013 and 2012 primarily due to a higher level of earnings being taxed at lower statutory rates in foreign jurisdictions, combined with the benefit of various investment credits in certain foreign jurisdictions. The effective tax rate differs from the U.S. statutory rate of 35% in fiscal year 2011 primarily due to the impact of the non-deductible debt extinguishment losses related to the Company’s acquisition of a portion of its 5.5% convertible senior notes and the impact of a foreign subsidiary’s tax settlement, offset by a higher level of earnings taxed at lower statutory rates in foreign jurisdictions.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The net deferred income tax assets consist of the following:</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November 3,</w:t>
            </w:r>
          </w:p>
        </w:tc>
        <w:tc>
          <w:tcPr>
            <w:tcW w:w="10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28,</w:t>
            </w:r>
          </w:p>
        </w:tc>
      </w:t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Deferred income tax assets</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operating losses</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56,252</w:t>
            </w: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Reserves not currently deductible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6,382</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Alternative minimum tax credits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3,116</w:t>
            </w: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Tax credit carryforwards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4,785</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2,634</w:t>
            </w:r>
          </w:p>
        </w:tc>
      </w:tr>
      <w:tr>
        <w:trPr>
          <w:trHeight w:val="27"/>
        </w:trPr>
        <w:tc>
          <w:tcPr>
            <w:tcW w:w="20" w:type="dxa"/>
            <w:vAlign w:val="bottom"/>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76,791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73,169</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(56,661)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(55,536)</w:t>
            </w:r>
          </w:p>
        </w:tc>
      </w:tr>
      <w:tr>
        <w:trPr>
          <w:trHeight w:val="27"/>
        </w:trPr>
        <w:tc>
          <w:tcPr>
            <w:tcW w:w="20" w:type="dxa"/>
            <w:vAlign w:val="bottom"/>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17,633</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liabilities: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Undistributed earnings of foreign subsidiaries</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(5,347)</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(4,575)</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w:t>
            </w: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r>
      <w:tr>
        <w:trPr>
          <w:trHeight w:val="27"/>
        </w:trPr>
        <w:tc>
          <w:tcPr>
            <w:tcW w:w="20" w:type="dxa"/>
            <w:vAlign w:val="bottom"/>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(5,700)</w:t>
            </w:r>
          </w:p>
        </w:tc>
      </w:tr>
      <w:tr>
        <w:trPr>
          <w:trHeight w:val="257"/>
        </w:trPr>
        <w:tc>
          <w:tcPr>
            <w:tcW w:w="20" w:type="dxa"/>
            <w:vAlign w:val="bottom"/>
          </w:tcPr>
          <w:p>
            <w:pPr>
              <w:spacing w:after="0"/>
              <w:rPr>
                <w:sz w:val="22"/>
                <w:szCs w:val="22"/>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income tax assets</w:t>
            </w: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11,933</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Arial" w:cs="Arial" w:eastAsia="Arial" w:hAnsi="Arial"/>
                <w:sz w:val="18"/>
                <w:szCs w:val="18"/>
                <w:b w:val="1"/>
                <w:bCs w:val="1"/>
                <w:color w:val="auto"/>
              </w:rPr>
              <w:t>Reported as: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deferred tax assets</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1,199</w:t>
            </w: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Long-term deferred tax assets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11,395</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deferred tax liabilities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w:t>
            </w:r>
          </w:p>
        </w:tc>
      </w:tr>
      <w:tr>
        <w:trPr>
          <w:trHeight w:val="27"/>
        </w:trPr>
        <w:tc>
          <w:tcPr>
            <w:tcW w:w="20" w:type="dxa"/>
            <w:vAlign w:val="bottom"/>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12,530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11,933</w:t>
            </w: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Unrecognized tax benefits associated with uncertain tax positions were $4.9 million at November 3, 2013, of which $1.7 million is recorded in other liabilities in the consolidated balance sheet, and $3.2 million is recorded as a reduction to deferred tax assets and the related valuation allowance, and were $3.9 million at October 28, 2012, of which $1.9 million is recorded in other liabilities in the consolidated balance sheet, and $2.0 million is recorded as a reduction to deferred tax assets and the related valuation allowance. If recognized, $1.7 million of the benefits would favorably affect the Company's effective tax rate in future periods. Included in these amounts for both fiscal years 2013 and 2012 was $0.1 million for interest and penalties. The Company includes any applicable interest and penalties related to uncertain tax positions in its income tax provision. Shortly after the close of the 2013 fiscal year, the Company reached a settlement with the relevant tax authorities regarding one of its non-US subsidiaries’ 2010 tax year, as reflected below. As of November 3, 2013, the Company believes it is not reasonably possible that the total amounts of unrecognized tax benefits will significantly increase or decrease in the next twelve months. The Company is currently subject to examination by the U.S. for fiscal years 2011 and 2012. With respect to major foreign and state tax jurisdictions, the Company is no longer subject to tax authority examinations for years prior to fiscal year 2008.</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excluding interest and penalties,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340" w:type="dxa"/>
            <w:vAlign w:val="bottom"/>
            <w:gridSpan w:val="3"/>
          </w:tcPr>
          <w:p>
            <w:pPr>
              <w:jc w:val="right"/>
              <w:ind w:right="320"/>
              <w:spacing w:after="0" w:line="198" w:lineRule="exact"/>
              <w:rPr>
                <w:sz w:val="20"/>
                <w:szCs w:val="20"/>
                <w:color w:val="auto"/>
              </w:rPr>
            </w:pPr>
            <w:r>
              <w:rPr>
                <w:rFonts w:ascii="Arial" w:cs="Arial" w:eastAsia="Arial" w:hAnsi="Arial"/>
                <w:sz w:val="18"/>
                <w:szCs w:val="18"/>
                <w:b w:val="1"/>
                <w:bCs w:val="1"/>
                <w:color w:val="auto"/>
                <w:w w:val="92"/>
              </w:rPr>
              <w:t>November 3,</w:t>
            </w:r>
          </w:p>
        </w:tc>
        <w:tc>
          <w:tcPr>
            <w:tcW w:w="1360" w:type="dxa"/>
            <w:vAlign w:val="bottom"/>
            <w:gridSpan w:val="3"/>
          </w:tcPr>
          <w:p>
            <w:pPr>
              <w:jc w:val="right"/>
              <w:ind w:right="380"/>
              <w:spacing w:after="0" w:line="198" w:lineRule="exact"/>
              <w:rPr>
                <w:sz w:val="20"/>
                <w:szCs w:val="20"/>
                <w:color w:val="auto"/>
              </w:rPr>
            </w:pPr>
            <w:r>
              <w:rPr>
                <w:rFonts w:ascii="Arial" w:cs="Arial" w:eastAsia="Arial" w:hAnsi="Arial"/>
                <w:sz w:val="18"/>
                <w:szCs w:val="18"/>
                <w:b w:val="1"/>
                <w:bCs w:val="1"/>
                <w:color w:val="auto"/>
                <w:w w:val="96"/>
              </w:rPr>
              <w:t>October 28,</w:t>
            </w:r>
          </w:p>
        </w:tc>
        <w:tc>
          <w:tcPr>
            <w:tcW w:w="80" w:type="dxa"/>
            <w:vAlign w:val="bottom"/>
          </w:tcPr>
          <w:p>
            <w:pPr>
              <w:spacing w:after="0"/>
              <w:rPr>
                <w:sz w:val="17"/>
                <w:szCs w:val="17"/>
                <w:color w:val="auto"/>
              </w:rPr>
            </w:pPr>
          </w:p>
        </w:tc>
        <w:tc>
          <w:tcPr>
            <w:tcW w:w="108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Additions (reductions) for tax positions in prior years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current year tax positions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Lapses of statutes of limitations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4,757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3,793</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As of November 3, 2013, the Company had available U.S. Federal tax operating loss carryforwards of approximately $129.8 million which expire between 2020 and 2033, and research and development tax credit carryforwards of approximately $3.8 million which expire between 2018 and 2033. As of November 3, 2013, the Company also has U.S. state tax operating loss carryforwards of approximately $193.0 million and foreign tax operating loss carryforwards of approximately $40.9 million. These loss carryforwards expire between 2014 and 2033 with the exception of $0.6 million that has an indefinite life.</w:t>
      </w:r>
    </w:p>
    <w:p>
      <w:pPr>
        <w:spacing w:after="0" w:line="21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 has established a valuation allowance for a portion of its deferred tax assets because it believes, based on the weight of all available evidence, that it is more likely than not that a portion of its net operating loss carryforwards may expire prior to utilization. The valuation allowance increased (decreased) by $1.1 million, $2.5 million and $(8.2) million in fiscal years 2013, 2012 and 2011, respectively.</w:t>
      </w:r>
    </w:p>
    <w:p>
      <w:pPr>
        <w:spacing w:after="0" w:line="20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As of November 3, 2013, the Company had $3.1 million of alternative minimum tax credit carryforwards that are available to offset future federal income taxes payable. The Company also has state tax credits available of $4.9 million which, if they are not utilized, will begin to expire in 2014 and foreign investment tax credits of $0.1 million.</w:t>
      </w:r>
    </w:p>
    <w:p>
      <w:pPr>
        <w:spacing w:after="0" w:line="20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of November 3, 2013, the undistributed earnings of foreign subsidiaries included in consolidated retained earnings amounted to $136.4 million, of which $15.3 million of earnings is considered not to be permanently reinvested. The amount of undistributed earnings is calculated taking into account the net amount of earnings of the Company’s foreign subsidiaries, considering its multi-tier subsidiary structure, and translating those earnings into U.S. dollars using exchange rates in effect as of the balance sheet date. During fiscal year 2008 a decision was made to not indefinitely reinvest earnings in certain foreign jurisdictions. No provision has been made for taxes due on the remaining undistributed earnings of $121.1 million considered to be indefinitely invested. Should the Company elect in the future to repatriate the foreign earnings so invested, it may incur additional income tax expense on those foreign earnings, the amount of which is not practicable to compute.</w:t>
      </w:r>
    </w:p>
    <w:p>
      <w:pPr>
        <w:spacing w:after="0" w:line="21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PKLT, the Company's FPD manufacturing facility in Taiwan, has been accorded a tax holiday, which started in 2012 and expires in 2017. In addition, the Company had been accorded a tax holiday in China which expired in 2011. These tax holidays had no dollar or per share effect in the fiscal years ended November 3, 2013, October 28, 2012 and October 30, 2011. In Korea and at Photronics Semiconductor Mask Corporation (PSMC) in Taiwan, various investment tax credits have been earned to reduce the Company's effective income tax rate.</w:t>
      </w:r>
    </w:p>
    <w:p>
      <w:pPr>
        <w:spacing w:after="0" w:line="214"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Income tax payments were $10.7 million, $14.3 million and $10.4 million in fiscal 2013, 2012 and 2011, respectively. Cash received for refunds of income taxes paid in prior years amounted to $0.3 million, $0.1 million and $0.2 million in fiscal years 2013, 2012 and 2011, respectively.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NOTE 14 - EARNINGS PER SHARE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w w:val="91"/>
              </w:rPr>
              <w:t>The calculation of basic and diluted earnings per share is presented as follows: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ind w:left="80"/>
              <w:spacing w:after="0" w:line="198" w:lineRule="exact"/>
              <w:rPr>
                <w:sz w:val="20"/>
                <w:szCs w:val="20"/>
                <w:color w:val="auto"/>
              </w:rPr>
            </w:pPr>
            <w:r>
              <w:rPr>
                <w:rFonts w:ascii="Arial" w:cs="Arial" w:eastAsia="Arial" w:hAnsi="Arial"/>
                <w:sz w:val="18"/>
                <w:szCs w:val="18"/>
                <w:b w:val="1"/>
                <w:bCs w:val="1"/>
                <w:color w:val="auto"/>
              </w:rPr>
              <w:t>November 3,</w:t>
            </w:r>
          </w:p>
        </w:tc>
        <w:tc>
          <w:tcPr>
            <w:tcW w:w="100" w:type="dxa"/>
            <w:vAlign w:val="bottom"/>
          </w:tcPr>
          <w:p>
            <w:pPr>
              <w:spacing w:after="0"/>
              <w:rPr>
                <w:sz w:val="17"/>
                <w:szCs w:val="17"/>
                <w:color w:val="auto"/>
              </w:rPr>
            </w:pPr>
          </w:p>
        </w:tc>
        <w:tc>
          <w:tcPr>
            <w:tcW w:w="11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27,868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on convertible notes, net of related tax effects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Gain related to common stock warrants fair value adjustment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for diluted earnings per share</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Weighted-average common shares computations: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common shares used for basic earnings per share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payment awards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Common stock warrants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 notes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Dilutive potential common shares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16,409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table below shows the outstanding weighted-average share-based payment awards and common stock warrants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Year Ended</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32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November 3,</w:t>
            </w:r>
          </w:p>
        </w:tc>
        <w:tc>
          <w:tcPr>
            <w:tcW w:w="1360" w:type="dxa"/>
            <w:vAlign w:val="bottom"/>
            <w:gridSpan w:val="2"/>
          </w:tcPr>
          <w:p>
            <w:pPr>
              <w:ind w:left="120"/>
              <w:spacing w:after="0" w:line="198" w:lineRule="exact"/>
              <w:rPr>
                <w:sz w:val="20"/>
                <w:szCs w:val="20"/>
                <w:color w:val="auto"/>
              </w:rPr>
            </w:pPr>
            <w:r>
              <w:rPr>
                <w:rFonts w:ascii="Arial" w:cs="Arial" w:eastAsia="Arial" w:hAnsi="Arial"/>
                <w:sz w:val="18"/>
                <w:szCs w:val="18"/>
                <w:b w:val="1"/>
                <w:bCs w:val="1"/>
                <w:color w:val="auto"/>
              </w:rPr>
              <w:t>October 28,</w:t>
            </w:r>
          </w:p>
        </w:tc>
        <w:tc>
          <w:tcPr>
            <w:tcW w:w="11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Share based payment awards</w:t>
            </w:r>
          </w:p>
        </w:tc>
        <w:tc>
          <w:tcPr>
            <w:tcW w:w="1120" w:type="dxa"/>
            <w:vAlign w:val="bottom"/>
          </w:tcPr>
          <w:p>
            <w:pPr>
              <w:jc w:val="right"/>
              <w:spacing w:after="0"/>
              <w:rPr>
                <w:sz w:val="20"/>
                <w:szCs w:val="20"/>
                <w:color w:val="auto"/>
              </w:rPr>
            </w:pPr>
            <w:r>
              <w:rPr>
                <w:rFonts w:ascii="Arial" w:cs="Arial" w:eastAsia="Arial" w:hAnsi="Arial"/>
                <w:sz w:val="18"/>
                <w:szCs w:val="18"/>
                <w:color w:val="auto"/>
              </w:rPr>
              <w:t>2,880</w:t>
            </w: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2,587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1120" w:type="dxa"/>
            <w:vAlign w:val="bottom"/>
          </w:tcPr>
          <w:p>
            <w:pPr>
              <w:jc w:val="right"/>
              <w:spacing w:after="0"/>
              <w:rPr>
                <w:sz w:val="20"/>
                <w:szCs w:val="20"/>
                <w:color w:val="auto"/>
              </w:rPr>
            </w:pPr>
            <w:r>
              <w:rPr>
                <w:rFonts w:ascii="Arial" w:cs="Arial" w:eastAsia="Arial" w:hAnsi="Arial"/>
                <w:sz w:val="18"/>
                <w:szCs w:val="18"/>
                <w:color w:val="auto"/>
              </w:rPr>
              <w:t>9,048</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2,587</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16,614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In the first quarter of fiscal year 2014, the Company awarded approximately 0.7 million shared-based payment awards to its employees and directors.</w:t>
      </w: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NOTE 15 – SUBSIDIARY SHARE REPURCHASE</w:t>
      </w:r>
    </w:p>
    <w:p>
      <w:pPr>
        <w:spacing w:after="0" w:line="256"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Since the second quarter of fiscal 2011, the board of directors of PSMC, a subsidiary of the Company based in Taiwan, has authorized several share repurchase programs for PSMC to purchase for retirement shares of its outstanding common stock. The last of these repurchase programs concluded in the first quarter of fiscal 2013. During the year ended November 3, 2013, PSMC purchased 9.2 million shares at a cost of $4.2 million. PSMC purchased 35.9 million shares at a cost of $15.6 million during the year ended October 28, 2012. These repurchase programs increased the Company's ownership in PSMC from 62.25% at October 30, 2011, to 72.09% at October 28, 2012, and to 75.11% at January 27, 2013.</w:t>
      </w:r>
    </w:p>
    <w:p>
      <w:pPr>
        <w:spacing w:after="0" w:line="20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June 2013 the Company completed a tender offer, which had commenced in April 2013, for the outstanding shares of PSMC. A total of 50.3 million shares were purchased at the offering price of 16.30 NTD, equivalent to a total of $27.4 million, which increased the Company’s ownership interest in PSMC to 98.13%. In September 2013 the Company further increased its ownership interest in PSMC to 98.63% with the purchase of an additional 1.1 million shares of PSMC for $0.7 million.</w:t>
      </w:r>
    </w:p>
    <w:p>
      <w:pPr>
        <w:spacing w:after="0" w:line="21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table below presents the effect of the change in the Company’s ownership interest in PSMC on the Company's equity for fiscal years 2013, 2012 and 2011 (60.5 million, 35.9 million and 21.6 million shares of common stock of PSMC purchased,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380" w:type="dxa"/>
            <w:vAlign w:val="bottom"/>
            <w:gridSpan w:val="3"/>
          </w:tcPr>
          <w:p>
            <w:pPr>
              <w:jc w:val="right"/>
              <w:ind w:right="320"/>
              <w:spacing w:after="0" w:line="198" w:lineRule="exact"/>
              <w:rPr>
                <w:sz w:val="20"/>
                <w:szCs w:val="20"/>
                <w:color w:val="auto"/>
              </w:rPr>
            </w:pPr>
            <w:r>
              <w:rPr>
                <w:rFonts w:ascii="Arial" w:cs="Arial" w:eastAsia="Arial" w:hAnsi="Arial"/>
                <w:sz w:val="18"/>
                <w:szCs w:val="18"/>
                <w:b w:val="1"/>
                <w:bCs w:val="1"/>
                <w:color w:val="auto"/>
                <w:w w:val="96"/>
              </w:rPr>
              <w:t>November 3,</w:t>
            </w:r>
          </w:p>
        </w:tc>
        <w:tc>
          <w:tcPr>
            <w:tcW w:w="100" w:type="dxa"/>
            <w:vAlign w:val="bottom"/>
          </w:tcPr>
          <w:p>
            <w:pPr>
              <w:spacing w:after="0"/>
              <w:rPr>
                <w:sz w:val="17"/>
                <w:szCs w:val="17"/>
                <w:color w:val="auto"/>
              </w:rPr>
            </w:pPr>
          </w:p>
        </w:tc>
        <w:tc>
          <w:tcPr>
            <w:tcW w:w="11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27,868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Photronics, Inc.'s 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Decrease in Photronics, Inc.’s accumulated other comprehensive income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1"/>
              </w:rPr>
              <w:t>Change from net income attributable to Photronics, Inc. shareholders and transfers to</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120"/>
              <w:spacing w:after="0"/>
              <w:rPr>
                <w:sz w:val="20"/>
                <w:szCs w:val="20"/>
                <w:color w:val="auto"/>
              </w:rPr>
            </w:pPr>
            <w:r>
              <w:rPr>
                <w:rFonts w:ascii="Arial" w:cs="Arial" w:eastAsia="Arial" w:hAnsi="Arial"/>
                <w:sz w:val="18"/>
                <w:szCs w:val="18"/>
                <w:color w:val="auto"/>
              </w:rPr>
              <w:t>or from noncontrolling interests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18,329</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29,775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16,028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November 2013 the Company announced that it had entered into an agreement to merge PSMC with DNP Photomask Technology Taiwan Co., Ltd., a wholly owned subsidiary of Dai Nippon Printing Co., Ltd. (DNP), to form a joint venture which will operate under the name of Photronics DNP Mask Corporation (PDMC). See Note 22 for further discussion.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At November 3, 2013, the Company had outstanding purchase commitments of $48 million, which included $42 million related to capital expenditures, and had recorded liabilities for the purchase of equipment of $19 million. See Note 9 for operating lease commitments.</w:t>
      </w:r>
    </w:p>
    <w:p>
      <w:pPr>
        <w:spacing w:after="0" w:line="197"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its consolidated financial statements.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NOTE 17 - GEOGRAPHIC AND SIGNIFICANT CUSTOMER INFORMATION</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operates as a single operating segment as a manufacturer of photomasks, which are high precision quartz plates containing microscopic images of electronic circuits for use in the fabrication of IC's and FPDs. Geographic net sales are based primarily on where the Company's manufacturing facility is located.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Company's 2013, 2012 and 2011 net sales by geographic area and of ICs and FPDs, and long-lived assets by geographic area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5160" w:type="dxa"/>
            <w:vAlign w:val="bottom"/>
          </w:tcPr>
          <w:p>
            <w:pPr>
              <w:spacing w:after="0"/>
              <w:rPr>
                <w:sz w:val="17"/>
                <w:szCs w:val="17"/>
                <w:color w:val="auto"/>
              </w:rPr>
            </w:pPr>
          </w:p>
        </w:tc>
        <w:tc>
          <w:tcPr>
            <w:tcW w:w="134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November 3,</w:t>
            </w:r>
          </w:p>
        </w:tc>
        <w:tc>
          <w:tcPr>
            <w:tcW w:w="100" w:type="dxa"/>
            <w:vAlign w:val="bottom"/>
          </w:tcPr>
          <w:p>
            <w:pPr>
              <w:spacing w:after="0"/>
              <w:rPr>
                <w:sz w:val="17"/>
                <w:szCs w:val="17"/>
                <w:color w:val="auto"/>
              </w:rPr>
            </w:pPr>
          </w:p>
        </w:tc>
        <w:tc>
          <w:tcPr>
            <w:tcW w:w="126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00" w:type="dxa"/>
            <w:vAlign w:val="bottom"/>
          </w:tcPr>
          <w:p>
            <w:pPr>
              <w:spacing w:after="0"/>
              <w:rPr>
                <w:sz w:val="17"/>
                <w:szCs w:val="17"/>
                <w:color w:val="auto"/>
              </w:rPr>
            </w:pPr>
          </w:p>
        </w:tc>
        <w:tc>
          <w:tcPr>
            <w:tcW w:w="1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17"/>
                <w:szCs w:val="17"/>
                <w:color w:val="auto"/>
              </w:rPr>
            </w:pPr>
          </w:p>
        </w:tc>
      </w:tr>
      <w:tr>
        <w:trPr>
          <w:trHeight w:val="241"/>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120" w:type="dxa"/>
            <w:vAlign w:val="bottom"/>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Korea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171,327</w:t>
            </w: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127,054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135,170</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158,005</w:t>
            </w: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Taiwan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109,232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122,070</w:t>
            </w: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40,653</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46,613</w:t>
            </w: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14,005</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422,180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450,439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512,020</w:t>
            </w:r>
          </w:p>
        </w:tc>
      </w:tr>
      <w:tr>
        <w:trPr>
          <w:trHeight w:val="21"/>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320,579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350,105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391,158</w:t>
            </w: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FPD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120,862</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422,180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450,439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512,020</w:t>
            </w:r>
          </w:p>
        </w:tc>
      </w:tr>
      <w:tr>
        <w:trPr>
          <w:trHeight w:val="21"/>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3"/>
        </w:trPr>
        <w:tc>
          <w:tcPr>
            <w:tcW w:w="5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5160" w:type="dxa"/>
            <w:vAlign w:val="bottom"/>
          </w:tcPr>
          <w:p>
            <w:pPr>
              <w:spacing w:after="0"/>
              <w:rPr>
                <w:sz w:val="17"/>
                <w:szCs w:val="17"/>
                <w:color w:val="auto"/>
              </w:rPr>
            </w:pPr>
          </w:p>
        </w:tc>
        <w:tc>
          <w:tcPr>
            <w:tcW w:w="134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November 3,</w:t>
            </w:r>
          </w:p>
        </w:tc>
        <w:tc>
          <w:tcPr>
            <w:tcW w:w="100" w:type="dxa"/>
            <w:vAlign w:val="bottom"/>
          </w:tcPr>
          <w:p>
            <w:pPr>
              <w:spacing w:after="0"/>
              <w:rPr>
                <w:sz w:val="17"/>
                <w:szCs w:val="17"/>
                <w:color w:val="auto"/>
              </w:rPr>
            </w:pPr>
          </w:p>
        </w:tc>
        <w:tc>
          <w:tcPr>
            <w:tcW w:w="126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00" w:type="dxa"/>
            <w:vAlign w:val="bottom"/>
          </w:tcPr>
          <w:p>
            <w:pPr>
              <w:spacing w:after="0"/>
              <w:rPr>
                <w:sz w:val="17"/>
                <w:szCs w:val="17"/>
                <w:color w:val="auto"/>
              </w:rPr>
            </w:pPr>
          </w:p>
        </w:tc>
        <w:tc>
          <w:tcPr>
            <w:tcW w:w="1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17"/>
                <w:szCs w:val="17"/>
                <w:color w:val="auto"/>
              </w:rPr>
            </w:pPr>
          </w:p>
        </w:tc>
      </w:tr>
      <w:tr>
        <w:trPr>
          <w:trHeight w:val="241"/>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120" w:type="dxa"/>
            <w:vAlign w:val="bottom"/>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177,614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159,845</w:t>
            </w: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Korea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153,878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120,628</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119,855</w:t>
            </w: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Taiwan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72,185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77,367</w:t>
            </w: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10,262</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10,879</w:t>
            </w: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422,740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380,808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368,680</w:t>
            </w:r>
          </w:p>
        </w:tc>
      </w:tr>
      <w:tr>
        <w:trPr>
          <w:trHeight w:val="21"/>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Samsung Electronics Co., Ltd. accounted for 18%, 22% and 20% of the Company's net sales in fiscal years 2013, 2012 and 2011, respectively.</w:t>
      </w:r>
    </w:p>
    <w:p>
      <w:pPr>
        <w:spacing w:after="0" w:line="19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21" w:right="51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NOTE 18 - CHANGES IN ACCUMULATED OTHER COMPREHENSIVE INCOME BY COMPONENT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set forth the changes in the Company's accumulated other comprehensive income by component (net of tax of $0)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3,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w w:val="91"/>
              </w:rPr>
              <w:t>Year Ended November 3, 2013</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Foreign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Currency</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Translation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of Cash</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Flow Hedge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29, 2012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other comprehensive loss attributable to noncontrolling interests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Purchase of common stock of subsidiary</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November 3, 2013</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amortization of the cash flow hedge is included in Cost of sales in the condensed consolidated statements of income for all periods presented.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CONCENTRATIONS OF CREDIT RISK</w:t>
      </w:r>
    </w:p>
    <w:p>
      <w:pPr>
        <w:spacing w:after="0" w:line="25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Financial instruments that potentially subject the Company to credit risk principally consist of trade accounts receivables and temporary cash investments. The Company sells its products primarily to manufacturers in the semiconductor and FPD industries in North America, Europe and Asia. The Company believes that the concentration of credit risk in its trade receivables is substantially mitigated by the Company's ongoing credit evaluation process and relatively short collection terms. The Company does not generally require collateral from customers. The Company establishes an allowance for doubtful accounts based upon factors surrounding the credit risk of specific customers, historical trends and other information.</w:t>
      </w:r>
    </w:p>
    <w:p>
      <w:pPr>
        <w:spacing w:after="0" w:line="20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Company's cash and cash equivalents are deposited in several financial institutions, including institutions located within all of the countries in which it manufactures photomasks. Portions of deposits in some of these institutions may exceed the amount of insurance available for such deposits at these institutions. As these deposits are generally redeemable upon demand and are held by high quality, reputable institutions, the Company considers them to bear minimal credit risk. The Company further mitigates credit risks related to its cash and cash equivalents by spreading such risk among a number of institutions.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NOTE 20 - OTHER RELATED PARTY TRANSACTIONS</w:t>
      </w:r>
    </w:p>
    <w:p>
      <w:pPr>
        <w:spacing w:after="0" w:line="25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chairman of the board and chief executive officer of the Company is also the vice chairman of the board and majority shareholder of a company that provides secure managed information technology services to Photronics. Another director of the Company is also a shareholder, chief executive officer and executive chairman of the board of this company. Since 2002, the Company has entered into various service contracts with this company to provide services to all of the Company's worldwide facilities. The Company incurred expenses for services provided by this company of $1.7 million, $1.8 million, and $1.8 million in fiscal years 2013, 2012 and 2011, respectively, and had an outstanding balance of $0.1 million and $0.2 million due to this company as of November 3, 2013 and October 28, 2012, respectively. As of November 3, 2013, the Company had contracted with this company for various services through June 2015 at a cost of $2.2 million.</w:t>
      </w:r>
    </w:p>
    <w:p>
      <w:pPr>
        <w:spacing w:after="0" w:line="216"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Company purchases photomask blanks from a company of which an officer of the Company is a significant shareholder. The Company purchased $20.0 million, $20.1 million and $21.4 million of photomask blanks from this company in 2013, 2012 and 2011, respectively, for which the amount owed to this company was $4.6 million at November 3, 2013, and $4.2 million at October 28, 2012.</w:t>
      </w:r>
    </w:p>
    <w:p>
      <w:pPr>
        <w:spacing w:after="0" w:line="20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believes that the terms of its transactions with related parties described above were negotiated at arm's length and were no less favorable to the Company than terms it could have obtained from unrelated third parties. See Note 4 for other related party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FAIR VALUE MEASUREMENTS</w:t>
      </w:r>
    </w:p>
    <w:p>
      <w:pPr>
        <w:spacing w:after="0" w:line="25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securities; Level 2, defined as inputs other than Level 1 that are observable, either directly or indirectly; and Level 3, defined as unobservable inputs that are not corroborated by market data.</w:t>
      </w:r>
    </w:p>
    <w:p>
      <w:pPr>
        <w:spacing w:after="0" w:line="19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 did not have any assets or liabilities measured at fair value, on a recurring or a nonrecurring basis, at November 3, 2013 or October 28,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variable rate term loan is a Level 2 measurement and approximates its carrying value due to the variable nature of the underlying interest rates. The fair value of the Company's convertible senior notes is a Level 2 measurement that is determined using recent bid prices. The fair value of the Company's financing loan with a customer was a Level 2 measurement that approximated its carrying value due to its short-term maturity.</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presents the fair and carrying values of the Company's convertible senior notes at November 3, 2013 and October 28, 2012.</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ind w:left="440"/>
              <w:spacing w:after="0"/>
              <w:rPr>
                <w:sz w:val="20"/>
                <w:szCs w:val="20"/>
                <w:color w:val="auto"/>
              </w:rPr>
            </w:pPr>
            <w:r>
              <w:rPr>
                <w:rFonts w:ascii="Arial" w:cs="Arial" w:eastAsia="Arial" w:hAnsi="Arial"/>
                <w:sz w:val="18"/>
                <w:szCs w:val="18"/>
                <w:b w:val="1"/>
                <w:bCs w:val="1"/>
                <w:color w:val="auto"/>
              </w:rPr>
              <w:t>November 3, 2013</w:t>
            </w:r>
          </w:p>
        </w:tc>
        <w:tc>
          <w:tcPr>
            <w:tcW w:w="120" w:type="dxa"/>
            <w:vAlign w:val="bottom"/>
          </w:tcPr>
          <w:p>
            <w:pPr>
              <w:spacing w:after="0"/>
              <w:rPr>
                <w:sz w:val="20"/>
                <w:szCs w:val="20"/>
                <w:color w:val="auto"/>
              </w:rPr>
            </w:pPr>
          </w:p>
        </w:tc>
        <w:tc>
          <w:tcPr>
            <w:tcW w:w="3640" w:type="dxa"/>
            <w:vAlign w:val="bottom"/>
            <w:gridSpan w:val="7"/>
          </w:tcPr>
          <w:p>
            <w:pPr>
              <w:ind w:left="480"/>
              <w:spacing w:after="0"/>
              <w:rPr>
                <w:sz w:val="20"/>
                <w:szCs w:val="20"/>
                <w:color w:val="auto"/>
              </w:rPr>
            </w:pPr>
            <w:r>
              <w:rPr>
                <w:rFonts w:ascii="Arial" w:cs="Arial" w:eastAsia="Arial" w:hAnsi="Arial"/>
                <w:sz w:val="18"/>
                <w:szCs w:val="18"/>
                <w:b w:val="1"/>
                <w:bCs w:val="1"/>
                <w:color w:val="auto"/>
              </w:rPr>
              <w:t>October 28, 2012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Value</w:t>
            </w:r>
          </w:p>
        </w:tc>
        <w:tc>
          <w:tcPr>
            <w:tcW w:w="12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130,330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110,239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5.5% convertible senior notes</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37,567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22,054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27,755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22,054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214"/>
              <w:spacing w:after="0"/>
              <w:rPr>
                <w:sz w:val="20"/>
                <w:szCs w:val="20"/>
                <w:color w:val="auto"/>
              </w:rPr>
            </w:pPr>
            <w:r>
              <w:rPr>
                <w:rFonts w:ascii="Arial" w:cs="Arial" w:eastAsia="Arial" w:hAnsi="Arial"/>
                <w:sz w:val="14"/>
                <w:szCs w:val="14"/>
                <w:color w:val="auto"/>
              </w:rPr>
              <w:t>61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NOTE 22 – PENDING MERGER OF PSMC WITH DNP PHOTOMASK TECHNOLOGY TAIWAN CO., LTD.</w:t>
      </w:r>
    </w:p>
    <w:p>
      <w:pPr>
        <w:spacing w:after="0" w:line="22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November 2013 the Company announced that it had entered into an agreement to merge PSMC with DNP Photomask Technology Taiwan Co., Ltd., a wholly owned subsidiary of Dai Nippon Printing Co., Ltd. (DNP), to form a joint venture to operate under the name of Photronics DNP Mask Corporation (PDMC). The pending merger, which is a noncash transaction, would result in the Company owning 50.01% and DNP owning 49.99% of PDMC, whose financial results would be included in the Company’s consolidated financial statements. The merger is subject to regulatory approvals and customary closing conditions, and is expected to be completed during the first half of fiscal 2014.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QUARTERLY RESULTS OF OPERATIONS (UNAUDITED)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unaudited quarterly financial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First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Second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Fiscal 2013: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(a)</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8"/>
                <w:szCs w:val="18"/>
                <w:b w:val="1"/>
                <w:bCs w:val="1"/>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99,839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106,680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109,652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21,098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24,789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27,078</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7"/>
              </w:rPr>
              <w:t>Net income attributable to Photronics, Inc. shareholders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5,940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Fiscal 2012:</w:t>
            </w:r>
          </w:p>
        </w:tc>
        <w:tc>
          <w:tcPr>
            <w:tcW w:w="68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(b) (c)</w:t>
            </w: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(d)</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(e)</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(b) (c) (d) (e)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112,154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117,451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116,616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104,218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Gross margin</w:t>
            </w:r>
          </w:p>
        </w:tc>
        <w:tc>
          <w:tcPr>
            <w:tcW w:w="6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25,458</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29,861</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32,304</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24,297</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4,841</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9,530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11,267</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7"/>
              </w:rPr>
              <w:t>Net income attributable to Photronics, Inc. shareholders</w:t>
            </w:r>
          </w:p>
        </w:tc>
        <w:tc>
          <w:tcPr>
            <w:tcW w:w="6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4,268</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8,818</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10,950</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3,832</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27,868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Earnings per share:</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0.07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transaction expenses of $0.8 million, net of tax, in connection with the pending joint venture with DNP Photomask Technology Co., Ltd.</w:t>
      </w:r>
    </w:p>
    <w:p>
      <w:pPr>
        <w:spacing w:after="0" w:line="263" w:lineRule="exact"/>
        <w:rPr>
          <w:rFonts w:ascii="Arial" w:cs="Arial" w:eastAsia="Arial" w:hAnsi="Arial"/>
          <w:sz w:val="17"/>
          <w:szCs w:val="17"/>
          <w:color w:val="auto"/>
        </w:rPr>
      </w:pPr>
    </w:p>
    <w:p>
      <w:pPr>
        <w:ind w:left="340" w:right="36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$1.1 million, net of tax, in connection with the discontinuance of manufacturing operations at the Company’s Singapore facility.</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gain of $0.1 million, net of tax, in connection with subsequent measurement at fair value of warrants issued to purchase the Company’s stock.</w:t>
      </w:r>
    </w:p>
    <w:p>
      <w:pPr>
        <w:spacing w:after="0" w:line="197"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$0.1 million, net of tax, in connection with the discontinuance of manufacturing operations at the Company’s Singapore facility.</w:t>
      </w:r>
    </w:p>
    <w:p>
      <w:pPr>
        <w:spacing w:after="0" w:line="197"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$0.2 million, net of tax, in connection with the discontinuance of manufacturing operations at the Company’s Singapore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RECENT ACCOUNTING PRONOUNCEMENTS</w:t>
      </w:r>
    </w:p>
    <w:p>
      <w:pPr>
        <w:spacing w:after="0" w:line="25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February 2013 the Financial Accounting Standards Board issued Accounting Standards Update (ASU) No. 2013-02, “Reporting Amounts Reclassified Out of Other Comprehensive Income”. The amendments included in ASU No. 2013-02 require an entity to provide information about the amounts reclassified out of accumulated other comprehensive income by component, and present changes in accumulated balances for each component of comprehensive income on an interim basis. The Company adopted the provisions of ASU No. 2013-02 in the year ended November 3, 2013, and has presented its required disclosures in Note 18.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spacing w:after="0"/>
        <w:tabs>
          <w:tab w:leader="none" w:pos="80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has established and currently maintains disclosure controls and procedures, as such term is defined in Rules 13a-15(e) and 15d-15(e) of the Securities Exchange Act of 1934, as amended (the "Exchange Act"), designed to ensure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1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There was no change in the Company's internal control over financial reporting during the fourth fiscal quarter that has materially affected, or is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Rules 13a-15(f) and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7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November 3, 2013, based on the criteria set forth by the Committee of Sponsoring Organizations of the Treadway Commission in "Internal Control - Integrated Framework" (1992). Management, under the supervision and with the participation of the Company's chief executive officer and chief financial officer, assessed that the Company's internal control over financial reporting was effective as of November 3, 2013.</w:t>
      </w:r>
    </w:p>
    <w:p>
      <w:pPr>
        <w:spacing w:after="0" w:line="21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Company's independent registered public accounting firm, Deloitte &amp; Touche LLP, has audited the effectiveness of the Company's internal control over financial reporting as of November 3, 2013, as stated in their attestation report on page 34 of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January 3, 2014</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information as to Directors required by Item 401, 405 and 407(c)(3)(d)(4) and (d)(5) of Regulation S-K is set forth in the Company's 2014 definitive Proxy Statement which will be filed with the Securities and Exchange Commission pursuant to Regulation 14A of the Exchange Act within 120 days after the end of the fiscal year covered by this Form 10-K under the caption "PROPOSAL 1 - ELECTION OF DIRECTORS," "SECTION 16(A) BENEFICIAL OWNERSHIP REPORTING COMPLIANCE" and in the third paragraph under the caption "MEETINGS AND COMMITTEES OF THE BOARD," and is incorporated in this report by reference. The information as to Executive Officers is included in the Company's 2014 definitive Proxy Statement under the caption "EXECUTIVE OFFICERS" and is incorporated in this report by reference.</w:t>
      </w:r>
    </w:p>
    <w:p>
      <w:pPr>
        <w:spacing w:after="0" w:line="20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 has adopted a code of ethics that applies to its principal executive officer, principal financial officer and principal accounting officer or controller. A copy of the code of ethics may be obtained, free of charge, by writing to the vice president general counsel of Photronics, Inc. at 15 Secor Road, Brookfield, Connecticut 06804.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information required by Item 402 of Regulation S-K and paragraph (e)(4) and (e)(5) of Item 407 is set forth in the Company's 2014 definitive Proxy Statement under the captions "EXECUTIVE COMPENSATION," "CERTAIN AGREEMENTS", "DIRECTORS' COMPENSATION", "COMPENSATION COMMITTEE INTERLOCKS AND INSIDER PARTICIPATION" and "COMPENSATION COMMITTEE REPORT," respectively, and is incorporated in this report by reference.</w:t>
      </w:r>
    </w:p>
    <w:p>
      <w:pPr>
        <w:spacing w:after="0" w:line="210" w:lineRule="exact"/>
        <w:rPr>
          <w:sz w:val="20"/>
          <w:szCs w:val="20"/>
          <w:color w:val="auto"/>
        </w:rPr>
      </w:pPr>
    </w:p>
    <w:p>
      <w:pPr>
        <w:ind w:left="820" w:right="70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information required by Item 201(d) of Regulation S-K is set forth in the Company’s 2014 definitive Proxy Statement under the caption “EQUITY COMPENSATION PLAN INFORMATION”, and is incorporated in this report by reference. The information required by Item 403 of Regulation S-K is set forth in the Company's 2014 definitive Proxy Statement under the caption "OWNERSHIP OF COMMON STOCK BY DIRECTORS, OFFICERS AND CERTAIN BENEFICIAL OWNERS", and is incorporated in this report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information required by Items 404 and Item 407(a) of Regulation S-K is set forth in the Company's 2014 definitive Proxy Statement under the captions "MEETINGS AND COMMITTEES OF THE BOARD" and "CERTAIN RELATIONSHIPS AND RELATED TRANSACTIONS", respectively, and is incorporated in this report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The information required by Item 9(e) of Rule 14a-101 of the Exchange Act is set forth in the Company's 2014 definitive Proxy Statement under the captions "FEES PAID TO THE INDEPENDENT REGISTERED PUBLIC ACCOUNTING FIRM" and "AUDIT COMMITTEE REPORT," and is incorporated in this report by reference.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5" w:name="page66"/>
    <w:bookmarkEnd w:id="65"/>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48" w:lineRule="exact"/>
        <w:rPr>
          <w:sz w:val="20"/>
          <w:szCs w:val="20"/>
          <w:color w:val="auto"/>
        </w:rPr>
      </w:pPr>
    </w:p>
    <w:p>
      <w:pPr>
        <w:ind w:left="9740"/>
        <w:spacing w:after="0"/>
        <w:rPr>
          <w:sz w:val="20"/>
          <w:szCs w:val="20"/>
          <w:color w:val="auto"/>
        </w:rPr>
      </w:pPr>
      <w:r>
        <w:rPr>
          <w:rFonts w:ascii="Arial" w:cs="Arial" w:eastAsia="Arial" w:hAnsi="Arial"/>
          <w:sz w:val="18"/>
          <w:szCs w:val="18"/>
          <w:b w:val="1"/>
          <w:bCs w:val="1"/>
          <w:color w:val="auto"/>
        </w:rPr>
        <w:t>Page</w:t>
      </w:r>
    </w:p>
    <w:p>
      <w:pPr>
        <w:spacing w:after="0" w:line="27" w:lineRule="exact"/>
        <w:rPr>
          <w:sz w:val="20"/>
          <w:szCs w:val="20"/>
          <w:color w:val="auto"/>
        </w:rPr>
      </w:pPr>
    </w:p>
    <w:p>
      <w:pPr>
        <w:ind w:left="980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5715</wp:posOffset>
            </wp:positionV>
            <wp:extent cx="4286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8625" cy="17145"/>
                    </a:xfrm>
                    <a:prstGeom prst="rect">
                      <a:avLst/>
                    </a:prstGeom>
                    <a:noFill/>
                  </pic:spPr>
                </pic:pic>
              </a:graphicData>
            </a:graphic>
          </wp:anchor>
        </w:drawing>
      </w:r>
    </w:p>
    <w:p>
      <w:pPr>
        <w:spacing w:after="0" w:line="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in Part II, Item 8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17640" cy="27432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008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6"/>
          <w:szCs w:val="16"/>
          <w:color w:val="auto"/>
        </w:rPr>
        <w:t>33</w:t>
      </w:r>
    </w:p>
    <w:p>
      <w:pPr>
        <w:spacing w:after="0" w:line="21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Report of Independent Registered Public Accounting Firm</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Schedule II - Valuation and Qualifying Accounts for the years ended November 3, 2013, October 28, 2012 and October 30,</w:t>
            </w: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schedules are omitted because they are not applicable.</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70"/>
              </w:rPr>
              <w:t>3.</w:t>
            </w:r>
          </w:p>
        </w:tc>
        <w:tc>
          <w:tcPr>
            <w:tcW w:w="9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Exhibits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Brookfield, Connecticut</w:t>
      </w:r>
    </w:p>
    <w:p>
      <w:pPr>
        <w:spacing w:after="0" w:line="23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audited the consolidated financial statements of Photronics, Inc. and subsidiaries (the "Company") as of November 3, 2013 and October 28, 2012, and for each of the three fiscal years ended November 3, 2013, October 28, 2012 and October 30, 2011, and the Company's internal control over financial reporting as of November 3, 2013, and have issued our report thereon dated January 3, 2014;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 2014</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Schedule II</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7"/>
          </w:tcPr>
          <w:p>
            <w:pPr>
              <w:ind w:left="20"/>
              <w:spacing w:after="0"/>
              <w:rPr>
                <w:sz w:val="20"/>
                <w:szCs w:val="20"/>
                <w:color w:val="auto"/>
              </w:rPr>
            </w:pPr>
            <w:r>
              <w:rPr>
                <w:rFonts w:ascii="Arial" w:cs="Arial" w:eastAsia="Arial" w:hAnsi="Arial"/>
                <w:sz w:val="18"/>
                <w:szCs w:val="18"/>
                <w:b w:val="1"/>
                <w:bCs w:val="1"/>
                <w:color w:val="auto"/>
                <w:w w:val="95"/>
              </w:rPr>
              <w:t>Valuation and Qualifying Accounts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20" w:type="dxa"/>
            <w:vAlign w:val="bottom"/>
            <w:gridSpan w:val="14"/>
          </w:tcPr>
          <w:p>
            <w:pPr>
              <w:jc w:val="center"/>
              <w:ind w:right="220"/>
              <w:spacing w:after="0"/>
              <w:rPr>
                <w:sz w:val="20"/>
                <w:szCs w:val="20"/>
                <w:color w:val="auto"/>
              </w:rPr>
            </w:pPr>
            <w:r>
              <w:rPr>
                <w:rFonts w:ascii="Arial" w:cs="Arial" w:eastAsia="Arial" w:hAnsi="Arial"/>
                <w:sz w:val="18"/>
                <w:szCs w:val="18"/>
                <w:b w:val="1"/>
                <w:bCs w:val="1"/>
                <w:color w:val="auto"/>
                <w:w w:val="90"/>
              </w:rPr>
              <w:t>for the Years Ended November 3, 2013, October 28,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and October 30, 2011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Charged to</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Beginning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Costs and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End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Expenses</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Deductions</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34"/>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Year ended November 3, 2013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Year ended October 28, 2012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4,055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320" w:type="dxa"/>
            <w:vAlign w:val="bottom"/>
          </w:tcPr>
          <w:p>
            <w:pPr>
              <w:ind w:left="40"/>
              <w:spacing w:after="0"/>
              <w:rPr>
                <w:sz w:val="20"/>
                <w:szCs w:val="20"/>
                <w:color w:val="auto"/>
              </w:rPr>
            </w:pPr>
            <w:r>
              <w:rPr>
                <w:rFonts w:ascii="Arial" w:cs="Arial" w:eastAsia="Arial" w:hAnsi="Arial"/>
                <w:sz w:val="18"/>
                <w:szCs w:val="18"/>
                <w:color w:val="auto"/>
              </w:rPr>
              <w:t>(a)</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Year ended October 30, 2011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(478) (a)</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Year ended November 3, 2013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55,536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Year ended October 28, 2012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53,063</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(858)</w:t>
            </w: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Year ended October 30, 2011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61,303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(8,240)</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53,063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Uncollectible accounts written off and impact of foreign currency translation.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due to utilization of net operating losses and expiration of investment tax credit.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80" w:type="dxa"/>
            <w:vAlign w:val="bottom"/>
          </w:tcPr>
          <w:p>
            <w:pPr>
              <w:ind w:left="3500"/>
              <w:spacing w:after="0"/>
              <w:rPr>
                <w:sz w:val="20"/>
                <w:szCs w:val="20"/>
                <w:color w:val="auto"/>
              </w:rPr>
            </w:pPr>
            <w:r>
              <w:rPr>
                <w:rFonts w:ascii="Arial" w:cs="Arial" w:eastAsia="Arial" w:hAnsi="Arial"/>
                <w:sz w:val="18"/>
                <w:szCs w:val="18"/>
                <w:b w:val="1"/>
                <w:bCs w:val="1"/>
                <w:color w:val="auto"/>
              </w:rPr>
              <w:t>EXHIBITS INDEX</w:t>
            </w:r>
          </w:p>
        </w:tc>
      </w:tr>
      <w:tr>
        <w:trPr>
          <w:trHeight w:val="414"/>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6"/>
              </w:rPr>
              <w:t>Exhibit</w:t>
            </w:r>
          </w:p>
        </w:tc>
        <w:tc>
          <w:tcPr>
            <w:tcW w:w="880" w:type="dxa"/>
            <w:vAlign w:val="bottom"/>
          </w:tcPr>
          <w:p>
            <w:pPr>
              <w:spacing w:after="0"/>
              <w:rPr>
                <w:sz w:val="24"/>
                <w:szCs w:val="24"/>
                <w:color w:val="auto"/>
              </w:rPr>
            </w:pPr>
          </w:p>
        </w:tc>
        <w:tc>
          <w:tcPr>
            <w:tcW w:w="9380" w:type="dxa"/>
            <w:vAlign w:val="bottom"/>
          </w:tcPr>
          <w:p>
            <w:pPr>
              <w:spacing w:after="0"/>
              <w:rPr>
                <w:sz w:val="24"/>
                <w:szCs w:val="24"/>
                <w:color w:val="auto"/>
              </w:rPr>
            </w:pPr>
          </w:p>
        </w:tc>
      </w:tr>
      <w:tr>
        <w:trPr>
          <w:trHeight w:val="194"/>
        </w:trPr>
        <w:tc>
          <w:tcPr>
            <w:tcW w:w="140" w:type="dxa"/>
            <w:vAlign w:val="bottom"/>
          </w:tcPr>
          <w:p>
            <w:pPr>
              <w:spacing w:after="0"/>
              <w:rPr>
                <w:sz w:val="16"/>
                <w:szCs w:val="16"/>
                <w:color w:val="auto"/>
              </w:rPr>
            </w:pPr>
          </w:p>
        </w:tc>
        <w:tc>
          <w:tcPr>
            <w:tcW w:w="1020" w:type="dxa"/>
            <w:vAlign w:val="bottom"/>
            <w:gridSpan w:val="4"/>
          </w:tcPr>
          <w:p>
            <w:pPr>
              <w:jc w:val="center"/>
              <w:ind w:right="380"/>
              <w:spacing w:after="0" w:line="194" w:lineRule="exact"/>
              <w:rPr>
                <w:sz w:val="20"/>
                <w:szCs w:val="20"/>
                <w:color w:val="auto"/>
              </w:rPr>
            </w:pPr>
            <w:r>
              <w:rPr>
                <w:rFonts w:ascii="Arial" w:cs="Arial" w:eastAsia="Arial" w:hAnsi="Arial"/>
                <w:sz w:val="18"/>
                <w:szCs w:val="18"/>
                <w:b w:val="1"/>
                <w:bCs w:val="1"/>
                <w:color w:val="auto"/>
                <w:w w:val="94"/>
              </w:rPr>
              <w:t>Number</w:t>
            </w:r>
          </w:p>
        </w:tc>
        <w:tc>
          <w:tcPr>
            <w:tcW w:w="102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37"/>
        </w:trPr>
        <w:tc>
          <w:tcPr>
            <w:tcW w:w="1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9380" w:type="dxa"/>
            <w:vAlign w:val="bottom"/>
          </w:tcPr>
          <w:p>
            <w:pPr>
              <w:spacing w:after="0"/>
              <w:rPr>
                <w:sz w:val="20"/>
                <w:szCs w:val="20"/>
                <w:color w:val="auto"/>
              </w:rPr>
            </w:pPr>
          </w:p>
        </w:tc>
      </w:tr>
      <w:tr>
        <w:trPr>
          <w:trHeight w:val="196"/>
        </w:trPr>
        <w:tc>
          <w:tcPr>
            <w:tcW w:w="380" w:type="dxa"/>
            <w:vAlign w:val="bottom"/>
            <w:gridSpan w:val="3"/>
            <w:shd w:val="clear" w:color="auto" w:fill="CCEEFF"/>
          </w:tcPr>
          <w:p>
            <w:pPr>
              <w:ind w:left="160"/>
              <w:spacing w:after="0" w:line="176" w:lineRule="exact"/>
              <w:rPr>
                <w:sz w:val="20"/>
                <w:szCs w:val="20"/>
                <w:color w:val="auto"/>
              </w:rPr>
            </w:pPr>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Certificate of Incorporation as amended July 9, 1986, April 9, 1990, March 16, 1995, November 13, 1997, April 15, 2002 and June 20, 2005.*</w:t>
            </w:r>
          </w:p>
        </w:tc>
      </w:tr>
      <w:tr>
        <w:trPr>
          <w:trHeight w:val="216"/>
        </w:trPr>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9380" w:type="dxa"/>
            <w:vAlign w:val="bottom"/>
            <w:tcBorders>
              <w:top w:val="single" w:sz="8" w:color="CCEEFF"/>
            </w:tcBorders>
          </w:tcPr>
          <w:p>
            <w:pPr>
              <w:spacing w:after="0"/>
              <w:rPr>
                <w:sz w:val="18"/>
                <w:szCs w:val="18"/>
                <w:color w:val="auto"/>
              </w:rPr>
            </w:pPr>
          </w:p>
        </w:tc>
      </w:tr>
      <w:tr>
        <w:trPr>
          <w:trHeight w:val="202"/>
        </w:trPr>
        <w:tc>
          <w:tcPr>
            <w:tcW w:w="3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79"/>
              </w:rPr>
              <w:t>3.2</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By-laws of the Company, (incorporated by reference to Exhibit 3.2 to the Company's Registration Statement on Form S-1, File Number 33-</w:t>
            </w:r>
          </w:p>
        </w:tc>
      </w:tr>
      <w:tr>
        <w:trPr>
          <w:trHeight w:val="230"/>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11694, which was declared effective by the Commission on March 10, 1987).</w:t>
            </w: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r>
      <w:tr>
        <w:trPr>
          <w:trHeight w:val="202"/>
        </w:trPr>
        <w:tc>
          <w:tcPr>
            <w:tcW w:w="3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79"/>
              </w:rPr>
              <w:t>4.1</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Form of Indenture between the Company and the Bank of New York, as Trustee (incorporated by reference to Exhibit 4.1 to the Company’s</w:t>
            </w:r>
          </w:p>
        </w:tc>
      </w:tr>
      <w:tr>
        <w:trPr>
          <w:trHeight w:val="230"/>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Registration Statement on Form S-3 File Number 333-160235 filed on June 25, 2009).</w:t>
            </w: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r>
      <w:tr>
        <w:trPr>
          <w:trHeight w:val="202"/>
        </w:trPr>
        <w:tc>
          <w:tcPr>
            <w:tcW w:w="3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79"/>
              </w:rPr>
              <w:t>4.2</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Indenture dated September 16, 2009 between the Company and the Bank of New York, as Trustee (incorporated by reference to Exhibit 4.1 to</w:t>
            </w:r>
          </w:p>
        </w:tc>
      </w:tr>
      <w:tr>
        <w:trPr>
          <w:trHeight w:val="230"/>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Company’s Current Report on Form 8K filed September 17, 2009).</w:t>
            </w: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r>
      <w:tr>
        <w:trPr>
          <w:trHeight w:val="202"/>
        </w:trPr>
        <w:tc>
          <w:tcPr>
            <w:tcW w:w="3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79"/>
              </w:rPr>
              <w:t>4.3</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Supplement to Indenture dated September 16, 2009 between the Company and the Bank of New York, as Trustee relating to the issuance of</w:t>
            </w:r>
          </w:p>
        </w:tc>
      </w:tr>
      <w:tr>
        <w:trPr>
          <w:trHeight w:val="216"/>
        </w:trPr>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the Company’s 5.5% Convertible Notes due 2014 (incorporated by reference to Exhibit 4.2 to the Company’s Current Report on Form 8K</w:t>
            </w:r>
          </w:p>
        </w:tc>
      </w:tr>
      <w:tr>
        <w:trPr>
          <w:trHeight w:val="230"/>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filed September 17, 2009).</w:t>
            </w: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r>
      <w:tr>
        <w:trPr>
          <w:trHeight w:val="202"/>
        </w:trPr>
        <w:tc>
          <w:tcPr>
            <w:tcW w:w="3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79"/>
              </w:rPr>
              <w:t>4.4</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Indenture dated March 28, 2011 between the Company and Wells Fargo (as successor trustee to Nova Scotia) (incorporated by reference to</w:t>
            </w:r>
          </w:p>
        </w:tc>
      </w:tr>
      <w:tr>
        <w:trPr>
          <w:trHeight w:val="230"/>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Exhibit 4.1 to the Company’s Current Report on Form 8-K filed on March 29, 2011).</w:t>
            </w: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r>
      <w:tr>
        <w:trPr>
          <w:trHeight w:val="202"/>
        </w:trPr>
        <w:tc>
          <w:tcPr>
            <w:tcW w:w="78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Master Service Agreement dated January 11, 2002 between the Company and RagingWire Telecommunications, Inc. (incorporated by</w:t>
            </w:r>
          </w:p>
        </w:tc>
      </w:tr>
      <w:tr>
        <w:trPr>
          <w:trHeight w:val="230"/>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reference to Exhibit 10.1 to the Company's Annual Report on Form 10-K for the fiscal year ended November 1, 2009).</w:t>
            </w: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r>
      <w:tr>
        <w:trPr>
          <w:trHeight w:val="202"/>
        </w:trPr>
        <w:tc>
          <w:tcPr>
            <w:tcW w:w="78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Underwriting Agreement between the Company and Morgan Stanley &amp; Co. Incorporated dated September 10, 2009 relating to the issuance</w:t>
            </w:r>
          </w:p>
        </w:tc>
      </w:tr>
      <w:tr>
        <w:trPr>
          <w:trHeight w:val="216"/>
        </w:trPr>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of the Company’s 5.5% Convertible Notes due 2014 (incorporated by reference to Exhibit 10.1 to the Company’s Current Report on Form 8K</w:t>
            </w:r>
          </w:p>
        </w:tc>
      </w:tr>
      <w:tr>
        <w:trPr>
          <w:trHeight w:val="230"/>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filed September 11, 2009).</w:t>
            </w: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r>
      <w:tr>
        <w:trPr>
          <w:trHeight w:val="202"/>
        </w:trPr>
        <w:tc>
          <w:tcPr>
            <w:tcW w:w="78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rPr>
              <w:t>10.3</w:t>
            </w:r>
          </w:p>
        </w:tc>
        <w:tc>
          <w:tcPr>
            <w:tcW w:w="38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Underwriting Agreement between the Company and Morgan Stanley &amp; Co. Incorporated dated September 10, 2009 relating to the issuance of</w:t>
            </w:r>
          </w:p>
        </w:tc>
      </w:tr>
      <w:tr>
        <w:trPr>
          <w:trHeight w:val="216"/>
        </w:trPr>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9,638,554 shares of common stock (incorporated by reference to Exhibit 10.2 to the Company’s Current Report on Form 8K filed September</w:t>
            </w:r>
          </w:p>
        </w:tc>
      </w:tr>
      <w:tr>
        <w:trPr>
          <w:trHeight w:val="230"/>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2009 (Commission File Number 0-15451)).</w:t>
            </w: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r>
      <w:tr>
        <w:trPr>
          <w:trHeight w:val="192"/>
        </w:trPr>
        <w:tc>
          <w:tcPr>
            <w:tcW w:w="780" w:type="dxa"/>
            <w:vAlign w:val="bottom"/>
            <w:gridSpan w:val="4"/>
            <w:shd w:val="clear" w:color="auto" w:fill="CCEEFF"/>
          </w:tcPr>
          <w:p>
            <w:pPr>
              <w:ind w:left="160"/>
              <w:spacing w:after="0" w:line="192" w:lineRule="exact"/>
              <w:rPr>
                <w:sz w:val="20"/>
                <w:szCs w:val="20"/>
                <w:color w:val="auto"/>
              </w:rPr>
            </w:pPr>
            <w:r>
              <w:rPr>
                <w:rFonts w:ascii="Arial" w:cs="Arial" w:eastAsia="Arial" w:hAnsi="Arial"/>
                <w:sz w:val="18"/>
                <w:szCs w:val="18"/>
                <w:color w:val="auto"/>
              </w:rPr>
              <w:t>10.4</w:t>
            </w:r>
          </w:p>
        </w:tc>
        <w:tc>
          <w:tcPr>
            <w:tcW w:w="380" w:type="dxa"/>
            <w:vAlign w:val="bottom"/>
            <w:shd w:val="clear" w:color="auto" w:fill="CCEEFF"/>
          </w:tcPr>
          <w:p>
            <w:pPr>
              <w:spacing w:after="0"/>
              <w:rPr>
                <w:sz w:val="16"/>
                <w:szCs w:val="16"/>
                <w:color w:val="auto"/>
              </w:rPr>
            </w:pPr>
          </w:p>
        </w:tc>
        <w:tc>
          <w:tcPr>
            <w:tcW w:w="102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0"/>
              </w:rPr>
              <w:t>The Company’s 1992 Employee Stock Purchase Plan (incorporated by reference to Exhibit 10.24 to the Company’s Registration Statement on</w:t>
            </w:r>
          </w:p>
        </w:tc>
      </w:tr>
      <w:tr>
        <w:trPr>
          <w:trHeight w:val="240"/>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Form S-8, File Number 33-47446 which was filed April 24, 1994).</w:t>
            </w:r>
            <w:r>
              <w:rPr>
                <w:rFonts w:ascii="Arial" w:cs="Arial" w:eastAsia="Arial" w:hAnsi="Arial"/>
                <w:sz w:val="27"/>
                <w:szCs w:val="27"/>
                <w:color w:val="auto"/>
                <w:vertAlign w:val="superscript"/>
              </w:rPr>
              <w:t>+</w:t>
            </w: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r>
      <w:tr>
        <w:trPr>
          <w:trHeight w:val="192"/>
        </w:trPr>
        <w:tc>
          <w:tcPr>
            <w:tcW w:w="780" w:type="dxa"/>
            <w:vAlign w:val="bottom"/>
            <w:gridSpan w:val="4"/>
            <w:shd w:val="clear" w:color="auto" w:fill="CCEEFF"/>
          </w:tcPr>
          <w:p>
            <w:pPr>
              <w:ind w:left="160"/>
              <w:spacing w:after="0" w:line="192" w:lineRule="exact"/>
              <w:rPr>
                <w:sz w:val="20"/>
                <w:szCs w:val="20"/>
                <w:color w:val="auto"/>
              </w:rPr>
            </w:pPr>
            <w:r>
              <w:rPr>
                <w:rFonts w:ascii="Arial" w:cs="Arial" w:eastAsia="Arial" w:hAnsi="Arial"/>
                <w:sz w:val="18"/>
                <w:szCs w:val="18"/>
                <w:color w:val="auto"/>
              </w:rPr>
              <w:t>10.5</w:t>
            </w:r>
          </w:p>
        </w:tc>
        <w:tc>
          <w:tcPr>
            <w:tcW w:w="380" w:type="dxa"/>
            <w:vAlign w:val="bottom"/>
            <w:shd w:val="clear" w:color="auto" w:fill="CCEEFF"/>
          </w:tcPr>
          <w:p>
            <w:pPr>
              <w:spacing w:after="0"/>
              <w:rPr>
                <w:sz w:val="16"/>
                <w:szCs w:val="16"/>
                <w:color w:val="auto"/>
              </w:rPr>
            </w:pPr>
          </w:p>
        </w:tc>
        <w:tc>
          <w:tcPr>
            <w:tcW w:w="102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1"/>
              </w:rPr>
              <w:t>Amendment to the Employee Stock Purchase Plan as of March 24, 2004 (incorporated by reference to Exhibit 10.7 to the Company’s Annual</w:t>
            </w:r>
          </w:p>
        </w:tc>
      </w:tr>
      <w:tr>
        <w:trPr>
          <w:trHeight w:val="240"/>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Report on Form 10-K for the fiscal year ended October 30, 2011).</w:t>
            </w:r>
            <w:r>
              <w:rPr>
                <w:rFonts w:ascii="Arial" w:cs="Arial" w:eastAsia="Arial" w:hAnsi="Arial"/>
                <w:sz w:val="27"/>
                <w:szCs w:val="27"/>
                <w:color w:val="auto"/>
                <w:vertAlign w:val="superscript"/>
              </w:rPr>
              <w:t>+</w:t>
            </w: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r>
      <w:tr>
        <w:trPr>
          <w:trHeight w:val="192"/>
        </w:trPr>
        <w:tc>
          <w:tcPr>
            <w:tcW w:w="780" w:type="dxa"/>
            <w:vAlign w:val="bottom"/>
            <w:gridSpan w:val="4"/>
            <w:shd w:val="clear" w:color="auto" w:fill="CCEEFF"/>
          </w:tcPr>
          <w:p>
            <w:pPr>
              <w:ind w:left="160"/>
              <w:spacing w:after="0" w:line="192" w:lineRule="exact"/>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spacing w:after="0"/>
              <w:rPr>
                <w:sz w:val="16"/>
                <w:szCs w:val="16"/>
                <w:color w:val="auto"/>
              </w:rPr>
            </w:pPr>
          </w:p>
        </w:tc>
        <w:tc>
          <w:tcPr>
            <w:tcW w:w="102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1"/>
              </w:rPr>
              <w:t>Amendment to the Employee Stock Purchase Plan as of April 8, 2010 (incorporated by reference to Exhibit 10.42 to the Company's Quarterly</w:t>
            </w:r>
          </w:p>
        </w:tc>
      </w:tr>
      <w:tr>
        <w:trPr>
          <w:trHeight w:val="240"/>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Report on Form 10-Q filed on June 10, 2010).</w:t>
            </w:r>
            <w:r>
              <w:rPr>
                <w:rFonts w:ascii="Arial" w:cs="Arial" w:eastAsia="Arial" w:hAnsi="Arial"/>
                <w:sz w:val="27"/>
                <w:szCs w:val="27"/>
                <w:color w:val="auto"/>
                <w:vertAlign w:val="superscript"/>
              </w:rPr>
              <w:t>+</w:t>
            </w: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r>
      <w:tr>
        <w:trPr>
          <w:trHeight w:val="192"/>
        </w:trPr>
        <w:tc>
          <w:tcPr>
            <w:tcW w:w="780" w:type="dxa"/>
            <w:vAlign w:val="bottom"/>
            <w:gridSpan w:val="4"/>
            <w:shd w:val="clear" w:color="auto" w:fill="CCEEFF"/>
          </w:tcPr>
          <w:p>
            <w:pPr>
              <w:ind w:left="160"/>
              <w:spacing w:after="0" w:line="192" w:lineRule="exact"/>
              <w:rPr>
                <w:sz w:val="20"/>
                <w:szCs w:val="20"/>
                <w:color w:val="auto"/>
              </w:rPr>
            </w:pPr>
            <w:r>
              <w:rPr>
                <w:rFonts w:ascii="Arial" w:cs="Arial" w:eastAsia="Arial" w:hAnsi="Arial"/>
                <w:sz w:val="18"/>
                <w:szCs w:val="18"/>
                <w:color w:val="auto"/>
              </w:rPr>
              <w:t>10.7</w:t>
            </w:r>
          </w:p>
        </w:tc>
        <w:tc>
          <w:tcPr>
            <w:tcW w:w="380" w:type="dxa"/>
            <w:vAlign w:val="bottom"/>
            <w:shd w:val="clear" w:color="auto" w:fill="CCEEFF"/>
          </w:tcPr>
          <w:p>
            <w:pPr>
              <w:spacing w:after="0"/>
              <w:rPr>
                <w:sz w:val="16"/>
                <w:szCs w:val="16"/>
                <w:color w:val="auto"/>
              </w:rPr>
            </w:pPr>
          </w:p>
        </w:tc>
        <w:tc>
          <w:tcPr>
            <w:tcW w:w="102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2"/>
              </w:rPr>
              <w:t>Amendment to the Employee Stock Purchase Plan as of March 28, 2012 (incorporated by reference to the Company’s Quarterly Report on</w:t>
            </w:r>
          </w:p>
        </w:tc>
      </w:tr>
      <w:tr>
        <w:trPr>
          <w:trHeight w:val="240"/>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Form 10-Q filed September 5, 2012).</w:t>
            </w:r>
            <w:r>
              <w:rPr>
                <w:rFonts w:ascii="Arial" w:cs="Arial" w:eastAsia="Arial" w:hAnsi="Arial"/>
                <w:sz w:val="27"/>
                <w:szCs w:val="27"/>
                <w:color w:val="auto"/>
                <w:vertAlign w:val="superscript"/>
              </w:rPr>
              <w:t>+</w:t>
            </w: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r>
      <w:tr>
        <w:trPr>
          <w:trHeight w:val="192"/>
        </w:trPr>
        <w:tc>
          <w:tcPr>
            <w:tcW w:w="780" w:type="dxa"/>
            <w:vAlign w:val="bottom"/>
            <w:gridSpan w:val="4"/>
            <w:shd w:val="clear" w:color="auto" w:fill="CCEEFF"/>
          </w:tcPr>
          <w:p>
            <w:pPr>
              <w:ind w:left="160"/>
              <w:spacing w:after="0" w:line="192" w:lineRule="exact"/>
              <w:rPr>
                <w:sz w:val="20"/>
                <w:szCs w:val="20"/>
                <w:color w:val="auto"/>
              </w:rPr>
            </w:pPr>
            <w:r>
              <w:rPr>
                <w:rFonts w:ascii="Arial" w:cs="Arial" w:eastAsia="Arial" w:hAnsi="Arial"/>
                <w:sz w:val="18"/>
                <w:szCs w:val="18"/>
                <w:color w:val="auto"/>
              </w:rPr>
              <w:t>10.8</w:t>
            </w:r>
          </w:p>
        </w:tc>
        <w:tc>
          <w:tcPr>
            <w:tcW w:w="380" w:type="dxa"/>
            <w:vAlign w:val="bottom"/>
            <w:shd w:val="clear" w:color="auto" w:fill="CCEEFF"/>
          </w:tcPr>
          <w:p>
            <w:pPr>
              <w:spacing w:after="0"/>
              <w:rPr>
                <w:sz w:val="16"/>
                <w:szCs w:val="16"/>
                <w:color w:val="auto"/>
              </w:rPr>
            </w:pPr>
          </w:p>
        </w:tc>
        <w:tc>
          <w:tcPr>
            <w:tcW w:w="102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3"/>
              </w:rPr>
              <w:t>The Company’s 2007 Long-Term Equity Incentive Plan (incorporated by reference to the Company’s Quarterly Report on Form 10-Q filed</w:t>
            </w:r>
          </w:p>
        </w:tc>
      </w:tr>
      <w:tr>
        <w:trPr>
          <w:trHeight w:val="240"/>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September 5, 2012).</w:t>
            </w:r>
            <w:r>
              <w:rPr>
                <w:rFonts w:ascii="Arial" w:cs="Arial" w:eastAsia="Arial" w:hAnsi="Arial"/>
                <w:sz w:val="27"/>
                <w:szCs w:val="27"/>
                <w:color w:val="auto"/>
                <w:vertAlign w:val="superscript"/>
              </w:rPr>
              <w:t>+</w:t>
            </w: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r>
      <w:tr>
        <w:trPr>
          <w:trHeight w:val="192"/>
        </w:trPr>
        <w:tc>
          <w:tcPr>
            <w:tcW w:w="780" w:type="dxa"/>
            <w:vAlign w:val="bottom"/>
            <w:gridSpan w:val="4"/>
            <w:shd w:val="clear" w:color="auto" w:fill="CCEEFF"/>
          </w:tcPr>
          <w:p>
            <w:pPr>
              <w:ind w:left="160"/>
              <w:spacing w:after="0" w:line="192" w:lineRule="exact"/>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6"/>
                <w:szCs w:val="16"/>
                <w:color w:val="auto"/>
              </w:rPr>
            </w:pPr>
          </w:p>
        </w:tc>
        <w:tc>
          <w:tcPr>
            <w:tcW w:w="102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3"/>
              </w:rPr>
              <w:t>Amendment to the 2007 Long Term Equity Incentive Plan as of April 8, 2010 (incorporated by reference to Exhibit 10.43 to the Company's</w:t>
            </w:r>
          </w:p>
        </w:tc>
      </w:tr>
      <w:tr>
        <w:trPr>
          <w:trHeight w:val="240"/>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Quarterly Report on Form 10-Q filed on June 10, 2010).</w:t>
            </w:r>
            <w:r>
              <w:rPr>
                <w:rFonts w:ascii="Arial" w:cs="Arial" w:eastAsia="Arial" w:hAnsi="Arial"/>
                <w:sz w:val="27"/>
                <w:szCs w:val="27"/>
                <w:color w:val="auto"/>
                <w:vertAlign w:val="superscript"/>
              </w:rPr>
              <w:t>+</w:t>
            </w: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r>
      <w:tr>
        <w:trPr>
          <w:trHeight w:val="192"/>
        </w:trPr>
        <w:tc>
          <w:tcPr>
            <w:tcW w:w="780" w:type="dxa"/>
            <w:vAlign w:val="bottom"/>
            <w:gridSpan w:val="4"/>
            <w:shd w:val="clear" w:color="auto" w:fill="CCEEFF"/>
          </w:tcPr>
          <w:p>
            <w:pPr>
              <w:ind w:left="160"/>
              <w:spacing w:after="0" w:line="192" w:lineRule="exact"/>
              <w:rPr>
                <w:sz w:val="20"/>
                <w:szCs w:val="20"/>
                <w:color w:val="auto"/>
              </w:rPr>
            </w:pPr>
            <w:r>
              <w:rPr>
                <w:rFonts w:ascii="Arial" w:cs="Arial" w:eastAsia="Arial" w:hAnsi="Arial"/>
                <w:sz w:val="18"/>
                <w:szCs w:val="18"/>
                <w:color w:val="auto"/>
              </w:rPr>
              <w:t>10.10</w:t>
            </w:r>
          </w:p>
        </w:tc>
        <w:tc>
          <w:tcPr>
            <w:tcW w:w="380" w:type="dxa"/>
            <w:vAlign w:val="bottom"/>
            <w:shd w:val="clear" w:color="auto" w:fill="CCEEFF"/>
          </w:tcPr>
          <w:p>
            <w:pPr>
              <w:spacing w:after="0"/>
              <w:rPr>
                <w:sz w:val="16"/>
                <w:szCs w:val="16"/>
                <w:color w:val="auto"/>
              </w:rPr>
            </w:pPr>
          </w:p>
        </w:tc>
        <w:tc>
          <w:tcPr>
            <w:tcW w:w="102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3"/>
              </w:rPr>
              <w:t>Consulting Agreement between the Company and Constantine S. Macricostas, dated July 11, 2005. (incorporated by reference to Exhibit</w:t>
            </w:r>
          </w:p>
        </w:tc>
      </w:tr>
      <w:tr>
        <w:trPr>
          <w:trHeight w:val="240"/>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 xml:space="preserve">10.11 to the Company’s Annual Report on Form 10-K for the fiscal year ended October 30, 2011 filed on January 13, 2012) </w:t>
            </w:r>
            <w:r>
              <w:rPr>
                <w:rFonts w:ascii="Arial" w:cs="Arial" w:eastAsia="Arial" w:hAnsi="Arial"/>
                <w:sz w:val="27"/>
                <w:szCs w:val="27"/>
                <w:color w:val="auto"/>
                <w:vertAlign w:val="superscript"/>
              </w:rPr>
              <w:t>+</w:t>
            </w:r>
          </w:p>
        </w:tc>
      </w:tr>
      <w:tr>
        <w:trPr>
          <w:trHeight w:val="582"/>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gridSpan w:val="2"/>
          </w:tcPr>
          <w:p>
            <w:pPr>
              <w:ind w:left="4480"/>
              <w:spacing w:after="0"/>
              <w:rPr>
                <w:sz w:val="20"/>
                <w:szCs w:val="20"/>
                <w:color w:val="auto"/>
              </w:rPr>
            </w:pPr>
            <w:r>
              <w:rPr>
                <w:rFonts w:ascii="Arial" w:cs="Arial" w:eastAsia="Arial" w:hAnsi="Arial"/>
                <w:sz w:val="14"/>
                <w:szCs w:val="14"/>
                <w:color w:val="auto"/>
              </w:rPr>
              <w:t>67</w:t>
            </w:r>
          </w:p>
        </w:tc>
      </w:tr>
      <w:tr>
        <w:trPr>
          <w:trHeight w:val="46"/>
        </w:trPr>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11</w:t>
            </w:r>
          </w:p>
        </w:tc>
        <w:tc>
          <w:tcPr>
            <w:tcW w:w="10860" w:type="dxa"/>
            <w:vAlign w:val="bottom"/>
            <w:shd w:val="clear" w:color="auto" w:fill="CCEEFF"/>
          </w:tcPr>
          <w:p>
            <w:pPr>
              <w:ind w:left="600"/>
              <w:spacing w:after="0" w:line="315" w:lineRule="exact"/>
              <w:rPr>
                <w:sz w:val="20"/>
                <w:szCs w:val="20"/>
                <w:color w:val="auto"/>
              </w:rPr>
            </w:pPr>
            <w:r>
              <w:rPr>
                <w:rFonts w:ascii="Arial" w:cs="Arial" w:eastAsia="Arial" w:hAnsi="Arial"/>
                <w:sz w:val="18"/>
                <w:szCs w:val="18"/>
                <w:color w:val="auto"/>
                <w:w w:val="96"/>
              </w:rPr>
              <w:t>Amendment No. 1 to the Consulting Agreement between Constantine S. Macricostas and the Company dated November 10, 2008.*</w:t>
            </w:r>
            <w:r>
              <w:rPr>
                <w:rFonts w:ascii="Arial" w:cs="Arial" w:eastAsia="Arial" w:hAnsi="Arial"/>
                <w:sz w:val="30"/>
                <w:szCs w:val="30"/>
                <w:color w:val="auto"/>
                <w:w w:val="96"/>
                <w:vertAlign w:val="superscript"/>
              </w:rPr>
              <w:t>+</w:t>
            </w:r>
          </w:p>
        </w:tc>
      </w:tr>
      <w:tr>
        <w:trPr>
          <w:trHeight w:val="216"/>
        </w:trPr>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860" w:type="dxa"/>
            <w:vAlign w:val="bottom"/>
            <w:tcBorders>
              <w:top w:val="single" w:sz="8" w:color="CCEEFF"/>
            </w:tcBorders>
          </w:tcPr>
          <w:p>
            <w:pPr>
              <w:spacing w:after="0"/>
              <w:rPr>
                <w:sz w:val="18"/>
                <w:szCs w:val="18"/>
                <w:color w:val="auto"/>
              </w:rPr>
            </w:pPr>
          </w:p>
        </w:tc>
      </w:tr>
      <w:tr>
        <w:trPr>
          <w:trHeight w:val="192"/>
        </w:trPr>
        <w:tc>
          <w:tcPr>
            <w:tcW w:w="5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10.12</w:t>
            </w:r>
          </w:p>
        </w:tc>
        <w:tc>
          <w:tcPr>
            <w:tcW w:w="10860" w:type="dxa"/>
            <w:vAlign w:val="bottom"/>
            <w:shd w:val="clear" w:color="auto" w:fill="CCEEFF"/>
          </w:tcPr>
          <w:p>
            <w:pPr>
              <w:ind w:left="600"/>
              <w:spacing w:after="0" w:line="192" w:lineRule="exact"/>
              <w:rPr>
                <w:sz w:val="20"/>
                <w:szCs w:val="20"/>
                <w:color w:val="auto"/>
              </w:rPr>
            </w:pPr>
            <w:r>
              <w:rPr>
                <w:rFonts w:ascii="Arial" w:cs="Arial" w:eastAsia="Arial" w:hAnsi="Arial"/>
                <w:sz w:val="18"/>
                <w:szCs w:val="18"/>
                <w:color w:val="auto"/>
                <w:w w:val="92"/>
              </w:rPr>
              <w:t>Executive Employment Agreement between the Company and Sean T. Smith dated February 20, 2003 (incorporated by reference to Exhibit</w:t>
            </w:r>
          </w:p>
        </w:tc>
      </w:tr>
      <w:tr>
        <w:trPr>
          <w:trHeight w:val="240"/>
        </w:trPr>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60" w:type="dxa"/>
            <w:vAlign w:val="bottom"/>
            <w:shd w:val="clear" w:color="auto" w:fill="CCEEFF"/>
          </w:tcPr>
          <w:p>
            <w:pPr>
              <w:ind w:left="600"/>
              <w:spacing w:after="0" w:line="240" w:lineRule="exact"/>
              <w:rPr>
                <w:sz w:val="20"/>
                <w:szCs w:val="20"/>
                <w:color w:val="auto"/>
              </w:rPr>
            </w:pPr>
            <w:r>
              <w:rPr>
                <w:rFonts w:ascii="Arial" w:cs="Arial" w:eastAsia="Arial" w:hAnsi="Arial"/>
                <w:sz w:val="17"/>
                <w:szCs w:val="17"/>
                <w:color w:val="auto"/>
              </w:rPr>
              <w:t>10.12 to the Company's Annual Report on Form 10-K for the fiscal year ended November 1, 2009).</w:t>
            </w:r>
            <w:r>
              <w:rPr>
                <w:rFonts w:ascii="Arial" w:cs="Arial" w:eastAsia="Arial" w:hAnsi="Arial"/>
                <w:sz w:val="27"/>
                <w:szCs w:val="27"/>
                <w:color w:val="auto"/>
                <w:vertAlign w:val="superscript"/>
              </w:rPr>
              <w:t>+</w:t>
            </w:r>
          </w:p>
        </w:tc>
      </w:tr>
      <w:tr>
        <w:trPr>
          <w:trHeight w:val="216"/>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60" w:type="dxa"/>
            <w:vAlign w:val="bottom"/>
          </w:tcPr>
          <w:p>
            <w:pPr>
              <w:spacing w:after="0"/>
              <w:rPr>
                <w:sz w:val="18"/>
                <w:szCs w:val="18"/>
                <w:color w:val="auto"/>
              </w:rPr>
            </w:pPr>
          </w:p>
        </w:tc>
      </w:tr>
      <w:tr>
        <w:trPr>
          <w:trHeight w:val="202"/>
        </w:trPr>
        <w:tc>
          <w:tcPr>
            <w:tcW w:w="5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10.13</w:t>
            </w:r>
          </w:p>
        </w:tc>
        <w:tc>
          <w:tcPr>
            <w:tcW w:w="1086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5"/>
              </w:rPr>
              <w:t>Limited Liability Company Operating Agreement of MP Mask Technology Center, LLC between Micron Technology, Inc. ("Micron") and</w:t>
            </w:r>
          </w:p>
        </w:tc>
      </w:tr>
      <w:tr>
        <w:trPr>
          <w:trHeight w:val="206"/>
        </w:trPr>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2"/>
              </w:rPr>
              <w:t>Photronics, Inc. ("Photronics") dated May 5, 2006. (incorporated by reference to Exhibit 10.14 to the Company’s Annual Report on Form 10-</w:t>
            </w:r>
          </w:p>
        </w:tc>
      </w:tr>
      <w:tr>
        <w:trPr>
          <w:trHeight w:val="240"/>
        </w:trPr>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60" w:type="dxa"/>
            <w:vAlign w:val="bottom"/>
            <w:shd w:val="clear" w:color="auto" w:fill="CCEEFF"/>
          </w:tcPr>
          <w:p>
            <w:pPr>
              <w:ind w:left="600"/>
              <w:spacing w:after="0" w:line="240" w:lineRule="exact"/>
              <w:rPr>
                <w:sz w:val="20"/>
                <w:szCs w:val="20"/>
                <w:color w:val="auto"/>
              </w:rPr>
            </w:pPr>
            <w:r>
              <w:rPr>
                <w:rFonts w:ascii="Arial" w:cs="Arial" w:eastAsia="Arial" w:hAnsi="Arial"/>
                <w:sz w:val="17"/>
                <w:szCs w:val="17"/>
                <w:color w:val="auto"/>
              </w:rPr>
              <w:t xml:space="preserve">K for the fiscal year ended October 30, 2011) </w:t>
            </w:r>
            <w:r>
              <w:rPr>
                <w:rFonts w:ascii="Arial" w:cs="Arial" w:eastAsia="Arial" w:hAnsi="Arial"/>
                <w:sz w:val="27"/>
                <w:szCs w:val="27"/>
                <w:color w:val="auto"/>
                <w:vertAlign w:val="superscript"/>
              </w:rPr>
              <w:t>#</w:t>
            </w:r>
          </w:p>
        </w:tc>
      </w:tr>
      <w:tr>
        <w:trPr>
          <w:trHeight w:val="216"/>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60" w:type="dxa"/>
            <w:vAlign w:val="bottom"/>
          </w:tcPr>
          <w:p>
            <w:pPr>
              <w:spacing w:after="0"/>
              <w:rPr>
                <w:sz w:val="18"/>
                <w:szCs w:val="18"/>
                <w:color w:val="auto"/>
              </w:rPr>
            </w:pPr>
          </w:p>
        </w:tc>
      </w:tr>
      <w:tr>
        <w:trPr>
          <w:trHeight w:val="202"/>
        </w:trPr>
        <w:tc>
          <w:tcPr>
            <w:tcW w:w="5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10.14</w:t>
            </w:r>
          </w:p>
        </w:tc>
        <w:tc>
          <w:tcPr>
            <w:tcW w:w="1086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2"/>
              </w:rPr>
              <w:t>Contribution and Units Purchase Agreement between Micron, Photronics and MP Mask Technology Center, LLC ("MP Mask") dated May 5,</w:t>
            </w:r>
          </w:p>
        </w:tc>
      </w:tr>
      <w:tr>
        <w:trPr>
          <w:trHeight w:val="206"/>
        </w:trPr>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1"/>
              </w:rPr>
              <w:t>2006. (incorporated by reference to Exhibit 10.15 to the Company’s Annual Report on Form 10-K for the fiscal year ended October 30, 2011)</w:t>
            </w:r>
          </w:p>
        </w:tc>
      </w:tr>
      <w:tr>
        <w:trPr>
          <w:trHeight w:val="186"/>
        </w:trPr>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w:t>
            </w:r>
          </w:p>
        </w:tc>
      </w:tr>
      <w:tr>
        <w:trPr>
          <w:trHeight w:val="216"/>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60" w:type="dxa"/>
            <w:vAlign w:val="bottom"/>
          </w:tcPr>
          <w:p>
            <w:pPr>
              <w:spacing w:after="0"/>
              <w:rPr>
                <w:sz w:val="18"/>
                <w:szCs w:val="18"/>
                <w:color w:val="auto"/>
              </w:rPr>
            </w:pPr>
          </w:p>
        </w:tc>
      </w:tr>
      <w:tr>
        <w:trPr>
          <w:trHeight w:val="192"/>
        </w:trPr>
        <w:tc>
          <w:tcPr>
            <w:tcW w:w="5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10.15</w:t>
            </w:r>
          </w:p>
        </w:tc>
        <w:tc>
          <w:tcPr>
            <w:tcW w:w="10860" w:type="dxa"/>
            <w:vAlign w:val="bottom"/>
            <w:shd w:val="clear" w:color="auto" w:fill="CCEEFF"/>
          </w:tcPr>
          <w:p>
            <w:pPr>
              <w:ind w:left="600"/>
              <w:spacing w:after="0" w:line="192" w:lineRule="exact"/>
              <w:rPr>
                <w:sz w:val="20"/>
                <w:szCs w:val="20"/>
                <w:color w:val="auto"/>
              </w:rPr>
            </w:pPr>
            <w:r>
              <w:rPr>
                <w:rFonts w:ascii="Arial" w:cs="Arial" w:eastAsia="Arial" w:hAnsi="Arial"/>
                <w:sz w:val="18"/>
                <w:szCs w:val="18"/>
                <w:color w:val="auto"/>
                <w:w w:val="92"/>
              </w:rPr>
              <w:t>Technology License Agreement among Micron, Photronics and MP Mask dated May 5, 2006. (incorporated by reference to Exhibit 10.16 to</w:t>
            </w:r>
          </w:p>
        </w:tc>
      </w:tr>
      <w:tr>
        <w:trPr>
          <w:trHeight w:val="240"/>
        </w:trPr>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60" w:type="dxa"/>
            <w:vAlign w:val="bottom"/>
            <w:shd w:val="clear" w:color="auto" w:fill="CCEEFF"/>
          </w:tcPr>
          <w:p>
            <w:pPr>
              <w:ind w:left="600"/>
              <w:spacing w:after="0" w:line="240" w:lineRule="exact"/>
              <w:rPr>
                <w:sz w:val="20"/>
                <w:szCs w:val="20"/>
                <w:color w:val="auto"/>
              </w:rPr>
            </w:pPr>
            <w:r>
              <w:rPr>
                <w:rFonts w:ascii="Arial" w:cs="Arial" w:eastAsia="Arial" w:hAnsi="Arial"/>
                <w:sz w:val="17"/>
                <w:szCs w:val="17"/>
                <w:color w:val="auto"/>
              </w:rPr>
              <w:t xml:space="preserve">the Company’s Annual Report on Form 10-K for the fiscal year ended October 30, 2011) </w:t>
            </w:r>
            <w:r>
              <w:rPr>
                <w:rFonts w:ascii="Arial" w:cs="Arial" w:eastAsia="Arial" w:hAnsi="Arial"/>
                <w:sz w:val="27"/>
                <w:szCs w:val="27"/>
                <w:color w:val="auto"/>
                <w:vertAlign w:val="superscript"/>
              </w:rPr>
              <w:t>#</w:t>
            </w:r>
          </w:p>
        </w:tc>
      </w:tr>
      <w:tr>
        <w:trPr>
          <w:trHeight w:val="216"/>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60" w:type="dxa"/>
            <w:vAlign w:val="bottom"/>
          </w:tcPr>
          <w:p>
            <w:pPr>
              <w:spacing w:after="0"/>
              <w:rPr>
                <w:sz w:val="18"/>
                <w:szCs w:val="18"/>
                <w:color w:val="auto"/>
              </w:rPr>
            </w:pPr>
          </w:p>
        </w:tc>
      </w:tr>
      <w:tr>
        <w:trPr>
          <w:trHeight w:val="192"/>
        </w:trPr>
        <w:tc>
          <w:tcPr>
            <w:tcW w:w="5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10.16</w:t>
            </w:r>
          </w:p>
        </w:tc>
        <w:tc>
          <w:tcPr>
            <w:tcW w:w="10860" w:type="dxa"/>
            <w:vAlign w:val="bottom"/>
            <w:shd w:val="clear" w:color="auto" w:fill="CCEEFF"/>
          </w:tcPr>
          <w:p>
            <w:pPr>
              <w:ind w:left="600"/>
              <w:spacing w:after="0" w:line="192" w:lineRule="exact"/>
              <w:rPr>
                <w:sz w:val="20"/>
                <w:szCs w:val="20"/>
                <w:color w:val="auto"/>
              </w:rPr>
            </w:pPr>
            <w:r>
              <w:rPr>
                <w:rFonts w:ascii="Arial" w:cs="Arial" w:eastAsia="Arial" w:hAnsi="Arial"/>
                <w:sz w:val="18"/>
                <w:szCs w:val="18"/>
                <w:color w:val="auto"/>
                <w:w w:val="93"/>
              </w:rPr>
              <w:t>Photronics to Micron Supply Agreement between Micron and Photronics dated May 5, 2006. (incorporated by reference to Exhibit 10.17 to</w:t>
            </w:r>
          </w:p>
        </w:tc>
      </w:tr>
      <w:tr>
        <w:trPr>
          <w:trHeight w:val="240"/>
        </w:trPr>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60" w:type="dxa"/>
            <w:vAlign w:val="bottom"/>
            <w:shd w:val="clear" w:color="auto" w:fill="CCEEFF"/>
          </w:tcPr>
          <w:p>
            <w:pPr>
              <w:ind w:left="600"/>
              <w:spacing w:after="0" w:line="240" w:lineRule="exact"/>
              <w:rPr>
                <w:sz w:val="20"/>
                <w:szCs w:val="20"/>
                <w:color w:val="auto"/>
              </w:rPr>
            </w:pPr>
            <w:r>
              <w:rPr>
                <w:rFonts w:ascii="Arial" w:cs="Arial" w:eastAsia="Arial" w:hAnsi="Arial"/>
                <w:sz w:val="17"/>
                <w:szCs w:val="17"/>
                <w:color w:val="auto"/>
              </w:rPr>
              <w:t xml:space="preserve">the Company’s Annual Report on Form 10-K for the fiscal year ended October 30, 2011) </w:t>
            </w:r>
            <w:r>
              <w:rPr>
                <w:rFonts w:ascii="Arial" w:cs="Arial" w:eastAsia="Arial" w:hAnsi="Arial"/>
                <w:sz w:val="27"/>
                <w:szCs w:val="27"/>
                <w:color w:val="auto"/>
                <w:vertAlign w:val="superscript"/>
              </w:rPr>
              <w:t>#</w:t>
            </w:r>
          </w:p>
        </w:tc>
      </w:tr>
      <w:tr>
        <w:trPr>
          <w:trHeight w:val="216"/>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60" w:type="dxa"/>
            <w:vAlign w:val="bottom"/>
          </w:tcPr>
          <w:p>
            <w:pPr>
              <w:spacing w:after="0"/>
              <w:rPr>
                <w:sz w:val="18"/>
                <w:szCs w:val="18"/>
                <w:color w:val="auto"/>
              </w:rPr>
            </w:pPr>
          </w:p>
        </w:tc>
      </w:tr>
      <w:tr>
        <w:trPr>
          <w:trHeight w:val="192"/>
        </w:trPr>
        <w:tc>
          <w:tcPr>
            <w:tcW w:w="5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10.17</w:t>
            </w:r>
          </w:p>
        </w:tc>
        <w:tc>
          <w:tcPr>
            <w:tcW w:w="10860" w:type="dxa"/>
            <w:vAlign w:val="bottom"/>
            <w:shd w:val="clear" w:color="auto" w:fill="CCEEFF"/>
          </w:tcPr>
          <w:p>
            <w:pPr>
              <w:ind w:left="600"/>
              <w:spacing w:after="0" w:line="192" w:lineRule="exact"/>
              <w:rPr>
                <w:sz w:val="20"/>
                <w:szCs w:val="20"/>
                <w:color w:val="auto"/>
              </w:rPr>
            </w:pPr>
            <w:r>
              <w:rPr>
                <w:rFonts w:ascii="Arial" w:cs="Arial" w:eastAsia="Arial" w:hAnsi="Arial"/>
                <w:sz w:val="18"/>
                <w:szCs w:val="18"/>
                <w:color w:val="auto"/>
                <w:w w:val="91"/>
              </w:rPr>
              <w:t>Company to Photronics Supply Agreement between MP Mask and Photronics dated May 5, 2006. (incorporated by reference to Exhibit 10.18</w:t>
            </w:r>
          </w:p>
        </w:tc>
      </w:tr>
      <w:tr>
        <w:trPr>
          <w:trHeight w:val="240"/>
        </w:trPr>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60" w:type="dxa"/>
            <w:vAlign w:val="bottom"/>
            <w:shd w:val="clear" w:color="auto" w:fill="CCEEFF"/>
          </w:tcPr>
          <w:p>
            <w:pPr>
              <w:ind w:left="600"/>
              <w:spacing w:after="0" w:line="240" w:lineRule="exact"/>
              <w:rPr>
                <w:sz w:val="20"/>
                <w:szCs w:val="20"/>
                <w:color w:val="auto"/>
              </w:rPr>
            </w:pPr>
            <w:r>
              <w:rPr>
                <w:rFonts w:ascii="Arial" w:cs="Arial" w:eastAsia="Arial" w:hAnsi="Arial"/>
                <w:sz w:val="17"/>
                <w:szCs w:val="17"/>
                <w:color w:val="auto"/>
              </w:rPr>
              <w:t xml:space="preserve">to the Company’s Annual Report on Form 10-K for the fiscal year ended October 30, 2011) </w:t>
            </w:r>
            <w:r>
              <w:rPr>
                <w:rFonts w:ascii="Arial" w:cs="Arial" w:eastAsia="Arial" w:hAnsi="Arial"/>
                <w:sz w:val="27"/>
                <w:szCs w:val="27"/>
                <w:color w:val="auto"/>
                <w:vertAlign w:val="superscript"/>
              </w:rPr>
              <w:t>#</w:t>
            </w:r>
          </w:p>
        </w:tc>
      </w:tr>
      <w:tr>
        <w:trPr>
          <w:trHeight w:val="216"/>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60" w:type="dxa"/>
            <w:vAlign w:val="bottom"/>
          </w:tcPr>
          <w:p>
            <w:pPr>
              <w:spacing w:after="0"/>
              <w:rPr>
                <w:sz w:val="18"/>
                <w:szCs w:val="18"/>
                <w:color w:val="auto"/>
              </w:rPr>
            </w:pPr>
          </w:p>
        </w:tc>
      </w:tr>
      <w:tr>
        <w:trPr>
          <w:trHeight w:val="202"/>
        </w:trPr>
        <w:tc>
          <w:tcPr>
            <w:tcW w:w="5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10.18</w:t>
            </w:r>
          </w:p>
        </w:tc>
        <w:tc>
          <w:tcPr>
            <w:tcW w:w="1086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2"/>
              </w:rPr>
              <w:t>Special Warranty Deed dated as of February 29, 2012 (incorporated by reference to Exhibit 99.2 to the Company’s Current Report on Form</w:t>
            </w:r>
          </w:p>
        </w:tc>
      </w:tr>
      <w:tr>
        <w:trPr>
          <w:trHeight w:val="230"/>
        </w:trPr>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8-K filed on March 6, 2012)</w:t>
            </w:r>
          </w:p>
        </w:tc>
      </w:tr>
      <w:tr>
        <w:trPr>
          <w:trHeight w:val="216"/>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60" w:type="dxa"/>
            <w:vAlign w:val="bottom"/>
          </w:tcPr>
          <w:p>
            <w:pPr>
              <w:spacing w:after="0"/>
              <w:rPr>
                <w:sz w:val="18"/>
                <w:szCs w:val="18"/>
                <w:color w:val="auto"/>
              </w:rPr>
            </w:pPr>
          </w:p>
        </w:tc>
      </w:tr>
      <w:tr>
        <w:trPr>
          <w:trHeight w:val="192"/>
        </w:trPr>
        <w:tc>
          <w:tcPr>
            <w:tcW w:w="5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10.19</w:t>
            </w:r>
          </w:p>
        </w:tc>
        <w:tc>
          <w:tcPr>
            <w:tcW w:w="10860" w:type="dxa"/>
            <w:vAlign w:val="bottom"/>
            <w:shd w:val="clear" w:color="auto" w:fill="CCEEFF"/>
          </w:tcPr>
          <w:p>
            <w:pPr>
              <w:ind w:left="600"/>
              <w:spacing w:after="0" w:line="192" w:lineRule="exact"/>
              <w:rPr>
                <w:sz w:val="20"/>
                <w:szCs w:val="20"/>
                <w:color w:val="auto"/>
              </w:rPr>
            </w:pPr>
            <w:r>
              <w:rPr>
                <w:rFonts w:ascii="Arial" w:cs="Arial" w:eastAsia="Arial" w:hAnsi="Arial"/>
                <w:sz w:val="18"/>
                <w:szCs w:val="18"/>
                <w:color w:val="auto"/>
                <w:w w:val="93"/>
              </w:rPr>
              <w:t>Executive Employment Agreement between the Company and Soo Hong Jeong dated May 31, 2011 (incorporated by reference to Exhibit</w:t>
            </w:r>
          </w:p>
        </w:tc>
      </w:tr>
      <w:tr>
        <w:trPr>
          <w:trHeight w:val="240"/>
        </w:trPr>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60" w:type="dxa"/>
            <w:vAlign w:val="bottom"/>
            <w:shd w:val="clear" w:color="auto" w:fill="CCEEFF"/>
          </w:tcPr>
          <w:p>
            <w:pPr>
              <w:ind w:left="600"/>
              <w:spacing w:after="0" w:line="240" w:lineRule="exact"/>
              <w:rPr>
                <w:sz w:val="20"/>
                <w:szCs w:val="20"/>
                <w:color w:val="auto"/>
              </w:rPr>
            </w:pPr>
            <w:r>
              <w:rPr>
                <w:rFonts w:ascii="Arial" w:cs="Arial" w:eastAsia="Arial" w:hAnsi="Arial"/>
                <w:sz w:val="17"/>
                <w:szCs w:val="17"/>
                <w:color w:val="auto"/>
              </w:rPr>
              <w:t xml:space="preserve">10.40 to the Company’s Quarterly Report on Form 10-Q filed on June 8, 2011). </w:t>
            </w:r>
            <w:r>
              <w:rPr>
                <w:rFonts w:ascii="Arial" w:cs="Arial" w:eastAsia="Arial" w:hAnsi="Arial"/>
                <w:sz w:val="27"/>
                <w:szCs w:val="27"/>
                <w:color w:val="auto"/>
                <w:vertAlign w:val="superscript"/>
              </w:rPr>
              <w:t>+</w:t>
            </w:r>
          </w:p>
        </w:tc>
      </w:tr>
      <w:tr>
        <w:trPr>
          <w:trHeight w:val="216"/>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60" w:type="dxa"/>
            <w:vAlign w:val="bottom"/>
          </w:tcPr>
          <w:p>
            <w:pPr>
              <w:spacing w:after="0"/>
              <w:rPr>
                <w:sz w:val="18"/>
                <w:szCs w:val="18"/>
                <w:color w:val="auto"/>
              </w:rPr>
            </w:pPr>
          </w:p>
        </w:tc>
      </w:tr>
      <w:tr>
        <w:trPr>
          <w:trHeight w:val="192"/>
        </w:trPr>
        <w:tc>
          <w:tcPr>
            <w:tcW w:w="5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10.20</w:t>
            </w:r>
          </w:p>
        </w:tc>
        <w:tc>
          <w:tcPr>
            <w:tcW w:w="10860" w:type="dxa"/>
            <w:vAlign w:val="bottom"/>
            <w:shd w:val="clear" w:color="auto" w:fill="CCEEFF"/>
          </w:tcPr>
          <w:p>
            <w:pPr>
              <w:ind w:left="600"/>
              <w:spacing w:after="0" w:line="192" w:lineRule="exact"/>
              <w:rPr>
                <w:sz w:val="20"/>
                <w:szCs w:val="20"/>
                <w:color w:val="auto"/>
              </w:rPr>
            </w:pPr>
            <w:r>
              <w:rPr>
                <w:rFonts w:ascii="Arial" w:cs="Arial" w:eastAsia="Arial" w:hAnsi="Arial"/>
                <w:sz w:val="18"/>
                <w:szCs w:val="18"/>
                <w:color w:val="auto"/>
                <w:w w:val="96"/>
              </w:rPr>
              <w:t>Executive Employment Agreement between the Company and Christopher J. Progler, Vice President, Chief Technology Officer dated</w:t>
            </w:r>
          </w:p>
        </w:tc>
      </w:tr>
      <w:tr>
        <w:trPr>
          <w:trHeight w:val="240"/>
        </w:trPr>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60" w:type="dxa"/>
            <w:vAlign w:val="bottom"/>
            <w:shd w:val="clear" w:color="auto" w:fill="CCEEFF"/>
          </w:tcPr>
          <w:p>
            <w:pPr>
              <w:ind w:left="600"/>
              <w:spacing w:after="0" w:line="240" w:lineRule="exact"/>
              <w:rPr>
                <w:sz w:val="20"/>
                <w:szCs w:val="20"/>
                <w:color w:val="auto"/>
              </w:rPr>
            </w:pPr>
            <w:r>
              <w:rPr>
                <w:rFonts w:ascii="Arial" w:cs="Arial" w:eastAsia="Arial" w:hAnsi="Arial"/>
                <w:sz w:val="17"/>
                <w:szCs w:val="17"/>
                <w:color w:val="auto"/>
                <w:w w:val="97"/>
              </w:rPr>
              <w:t>September 10, 2007 (incorporated by reference to Exhibit 10.22 to the Company’s Annual Report on Form 10-K filed on January 9, 2013).</w:t>
            </w:r>
            <w:r>
              <w:rPr>
                <w:rFonts w:ascii="Arial" w:cs="Arial" w:eastAsia="Arial" w:hAnsi="Arial"/>
                <w:sz w:val="27"/>
                <w:szCs w:val="27"/>
                <w:color w:val="auto"/>
                <w:w w:val="97"/>
                <w:vertAlign w:val="superscript"/>
              </w:rPr>
              <w:t>+</w:t>
            </w:r>
          </w:p>
        </w:tc>
      </w:tr>
      <w:tr>
        <w:trPr>
          <w:trHeight w:val="216"/>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60" w:type="dxa"/>
            <w:vAlign w:val="bottom"/>
          </w:tcPr>
          <w:p>
            <w:pPr>
              <w:spacing w:after="0"/>
              <w:rPr>
                <w:sz w:val="18"/>
                <w:szCs w:val="18"/>
                <w:color w:val="auto"/>
              </w:rPr>
            </w:pPr>
          </w:p>
        </w:tc>
      </w:tr>
      <w:tr>
        <w:trPr>
          <w:trHeight w:val="192"/>
        </w:trPr>
        <w:tc>
          <w:tcPr>
            <w:tcW w:w="5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10.21</w:t>
            </w:r>
          </w:p>
        </w:tc>
        <w:tc>
          <w:tcPr>
            <w:tcW w:w="10860" w:type="dxa"/>
            <w:vAlign w:val="bottom"/>
            <w:shd w:val="clear" w:color="auto" w:fill="CCEEFF"/>
          </w:tcPr>
          <w:p>
            <w:pPr>
              <w:ind w:left="600"/>
              <w:spacing w:after="0" w:line="192" w:lineRule="exact"/>
              <w:rPr>
                <w:sz w:val="20"/>
                <w:szCs w:val="20"/>
                <w:color w:val="auto"/>
              </w:rPr>
            </w:pPr>
            <w:r>
              <w:rPr>
                <w:rFonts w:ascii="Arial" w:cs="Arial" w:eastAsia="Arial" w:hAnsi="Arial"/>
                <w:sz w:val="18"/>
                <w:szCs w:val="18"/>
                <w:color w:val="auto"/>
                <w:w w:val="91"/>
              </w:rPr>
              <w:t>Executive Employment Agreement between the Company and Peter Kirlin dated May 21, 2010 (incorporated by reference to Exhibit 10.42 of</w:t>
            </w:r>
          </w:p>
        </w:tc>
      </w:tr>
      <w:tr>
        <w:trPr>
          <w:trHeight w:val="240"/>
        </w:trPr>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60" w:type="dxa"/>
            <w:vAlign w:val="bottom"/>
            <w:shd w:val="clear" w:color="auto" w:fill="CCEEFF"/>
          </w:tcPr>
          <w:p>
            <w:pPr>
              <w:ind w:left="600"/>
              <w:spacing w:after="0" w:line="240" w:lineRule="exact"/>
              <w:rPr>
                <w:sz w:val="20"/>
                <w:szCs w:val="20"/>
                <w:color w:val="auto"/>
              </w:rPr>
            </w:pPr>
            <w:r>
              <w:rPr>
                <w:rFonts w:ascii="Arial" w:cs="Arial" w:eastAsia="Arial" w:hAnsi="Arial"/>
                <w:sz w:val="17"/>
                <w:szCs w:val="17"/>
                <w:color w:val="auto"/>
              </w:rPr>
              <w:t>the Company's Quarterly Report on Form 10-Q filed on June 10, 2010).</w:t>
            </w:r>
            <w:r>
              <w:rPr>
                <w:rFonts w:ascii="Arial" w:cs="Arial" w:eastAsia="Arial" w:hAnsi="Arial"/>
                <w:sz w:val="27"/>
                <w:szCs w:val="27"/>
                <w:color w:val="auto"/>
                <w:vertAlign w:val="superscript"/>
              </w:rPr>
              <w:t>+</w:t>
            </w:r>
          </w:p>
        </w:tc>
      </w:tr>
      <w:tr>
        <w:trPr>
          <w:trHeight w:val="216"/>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60" w:type="dxa"/>
            <w:vAlign w:val="bottom"/>
          </w:tcPr>
          <w:p>
            <w:pPr>
              <w:spacing w:after="0"/>
              <w:rPr>
                <w:sz w:val="18"/>
                <w:szCs w:val="18"/>
                <w:color w:val="auto"/>
              </w:rPr>
            </w:pPr>
          </w:p>
        </w:tc>
      </w:tr>
      <w:tr>
        <w:trPr>
          <w:trHeight w:val="192"/>
        </w:trPr>
        <w:tc>
          <w:tcPr>
            <w:tcW w:w="5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10.22</w:t>
            </w:r>
          </w:p>
        </w:tc>
        <w:tc>
          <w:tcPr>
            <w:tcW w:w="10860" w:type="dxa"/>
            <w:vAlign w:val="bottom"/>
            <w:shd w:val="clear" w:color="auto" w:fill="CCEEFF"/>
          </w:tcPr>
          <w:p>
            <w:pPr>
              <w:ind w:left="600"/>
              <w:spacing w:after="0" w:line="192" w:lineRule="exact"/>
              <w:rPr>
                <w:sz w:val="20"/>
                <w:szCs w:val="20"/>
                <w:color w:val="auto"/>
              </w:rPr>
            </w:pPr>
            <w:r>
              <w:rPr>
                <w:rFonts w:ascii="Arial" w:cs="Arial" w:eastAsia="Arial" w:hAnsi="Arial"/>
                <w:sz w:val="18"/>
                <w:szCs w:val="18"/>
                <w:color w:val="auto"/>
                <w:w w:val="91"/>
              </w:rPr>
              <w:t>Executive Employment Agreement between the Company and Richelle Burr dated May 21, 2010 (incorporated by reference to Exhibit 10.43</w:t>
            </w:r>
          </w:p>
        </w:tc>
      </w:tr>
      <w:tr>
        <w:trPr>
          <w:trHeight w:val="240"/>
        </w:trPr>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60" w:type="dxa"/>
            <w:vAlign w:val="bottom"/>
            <w:shd w:val="clear" w:color="auto" w:fill="CCEEFF"/>
          </w:tcPr>
          <w:p>
            <w:pPr>
              <w:ind w:left="600"/>
              <w:spacing w:after="0" w:line="240" w:lineRule="exact"/>
              <w:rPr>
                <w:sz w:val="20"/>
                <w:szCs w:val="20"/>
                <w:color w:val="auto"/>
              </w:rPr>
            </w:pPr>
            <w:r>
              <w:rPr>
                <w:rFonts w:ascii="Arial" w:cs="Arial" w:eastAsia="Arial" w:hAnsi="Arial"/>
                <w:sz w:val="17"/>
                <w:szCs w:val="17"/>
                <w:color w:val="auto"/>
              </w:rPr>
              <w:t>of the Company's Quarterly Report on Form 10-Q filed on June 10, 2010).</w:t>
            </w:r>
            <w:r>
              <w:rPr>
                <w:rFonts w:ascii="Arial" w:cs="Arial" w:eastAsia="Arial" w:hAnsi="Arial"/>
                <w:sz w:val="27"/>
                <w:szCs w:val="27"/>
                <w:color w:val="auto"/>
                <w:vertAlign w:val="superscript"/>
              </w:rPr>
              <w:t>+</w:t>
            </w:r>
          </w:p>
        </w:tc>
      </w:tr>
      <w:tr>
        <w:trPr>
          <w:trHeight w:val="216"/>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60" w:type="dxa"/>
            <w:vAlign w:val="bottom"/>
          </w:tcPr>
          <w:p>
            <w:pPr>
              <w:spacing w:after="0"/>
              <w:rPr>
                <w:sz w:val="18"/>
                <w:szCs w:val="18"/>
                <w:color w:val="auto"/>
              </w:rPr>
            </w:pPr>
          </w:p>
        </w:tc>
      </w:tr>
      <w:tr>
        <w:trPr>
          <w:trHeight w:val="192"/>
        </w:trPr>
        <w:tc>
          <w:tcPr>
            <w:tcW w:w="5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10.23</w:t>
            </w:r>
          </w:p>
        </w:tc>
        <w:tc>
          <w:tcPr>
            <w:tcW w:w="10860" w:type="dxa"/>
            <w:vAlign w:val="bottom"/>
            <w:shd w:val="clear" w:color="auto" w:fill="CCEEFF"/>
          </w:tcPr>
          <w:p>
            <w:pPr>
              <w:ind w:left="600"/>
              <w:spacing w:after="0" w:line="192" w:lineRule="exact"/>
              <w:rPr>
                <w:sz w:val="20"/>
                <w:szCs w:val="20"/>
                <w:color w:val="auto"/>
              </w:rPr>
            </w:pPr>
            <w:r>
              <w:rPr>
                <w:rFonts w:ascii="Arial" w:cs="Arial" w:eastAsia="Arial" w:hAnsi="Arial"/>
                <w:sz w:val="18"/>
                <w:szCs w:val="18"/>
                <w:color w:val="auto"/>
                <w:w w:val="99"/>
              </w:rPr>
              <w:t>Form of Amendment to Executive Employment Agreement dated March 16, 2012 (incorporated by reference to Exhibit 99.1 to the</w:t>
            </w:r>
          </w:p>
        </w:tc>
      </w:tr>
      <w:tr>
        <w:trPr>
          <w:trHeight w:val="240"/>
        </w:trPr>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60" w:type="dxa"/>
            <w:vAlign w:val="bottom"/>
            <w:shd w:val="clear" w:color="auto" w:fill="CCEEFF"/>
          </w:tcPr>
          <w:p>
            <w:pPr>
              <w:ind w:left="600"/>
              <w:spacing w:after="0" w:line="240" w:lineRule="exact"/>
              <w:rPr>
                <w:sz w:val="20"/>
                <w:szCs w:val="20"/>
                <w:color w:val="auto"/>
              </w:rPr>
            </w:pPr>
            <w:r>
              <w:rPr>
                <w:rFonts w:ascii="Arial" w:cs="Arial" w:eastAsia="Arial" w:hAnsi="Arial"/>
                <w:sz w:val="17"/>
                <w:szCs w:val="17"/>
                <w:color w:val="auto"/>
              </w:rPr>
              <w:t>Company’s Current Report on Form 8-K filed on March 16, 2012).</w:t>
            </w:r>
            <w:r>
              <w:rPr>
                <w:rFonts w:ascii="Arial" w:cs="Arial" w:eastAsia="Arial" w:hAnsi="Arial"/>
                <w:sz w:val="27"/>
                <w:szCs w:val="27"/>
                <w:color w:val="auto"/>
                <w:vertAlign w:val="superscript"/>
              </w:rPr>
              <w:t>+</w:t>
            </w:r>
          </w:p>
        </w:tc>
      </w:tr>
      <w:tr>
        <w:trPr>
          <w:trHeight w:val="216"/>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60" w:type="dxa"/>
            <w:vAlign w:val="bottom"/>
          </w:tcPr>
          <w:p>
            <w:pPr>
              <w:spacing w:after="0"/>
              <w:rPr>
                <w:sz w:val="18"/>
                <w:szCs w:val="18"/>
                <w:color w:val="auto"/>
              </w:rPr>
            </w:pPr>
          </w:p>
        </w:tc>
      </w:tr>
      <w:tr>
        <w:trPr>
          <w:trHeight w:val="176"/>
        </w:trPr>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24</w:t>
            </w:r>
          </w:p>
        </w:tc>
        <w:tc>
          <w:tcPr>
            <w:tcW w:w="10860" w:type="dxa"/>
            <w:vAlign w:val="bottom"/>
            <w:shd w:val="clear" w:color="auto" w:fill="CCEEFF"/>
          </w:tcPr>
          <w:p>
            <w:pPr>
              <w:ind w:left="600"/>
              <w:spacing w:after="0" w:line="176" w:lineRule="exact"/>
              <w:rPr>
                <w:sz w:val="20"/>
                <w:szCs w:val="20"/>
                <w:color w:val="auto"/>
              </w:rPr>
            </w:pPr>
            <w:r>
              <w:rPr>
                <w:rFonts w:ascii="Arial" w:cs="Arial" w:eastAsia="Arial" w:hAnsi="Arial"/>
                <w:sz w:val="18"/>
                <w:szCs w:val="18"/>
                <w:color w:val="auto"/>
              </w:rPr>
              <w:t>Third Amended and Restated Credit Agreement dated as of December 5, 2013.*</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8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160" w:hanging="1006"/>
        <w:spacing w:after="0"/>
        <w:tabs>
          <w:tab w:leader="none" w:pos="1160" w:val="left"/>
        </w:tabs>
        <w:numPr>
          <w:ilvl w:val="0"/>
          <w:numId w:val="10"/>
        </w:numPr>
        <w:rPr>
          <w:rFonts w:ascii="Arial" w:cs="Arial" w:eastAsia="Arial" w:hAnsi="Arial"/>
          <w:sz w:val="18"/>
          <w:szCs w:val="18"/>
          <w:u w:val="single" w:color="auto"/>
          <w:color w:val="0000EE"/>
        </w:rPr>
      </w:pPr>
      <w:r>
        <w:rPr>
          <w:rFonts w:ascii="Arial" w:cs="Arial" w:eastAsia="Arial" w:hAnsi="Arial"/>
          <w:sz w:val="18"/>
          <w:szCs w:val="18"/>
          <w:color w:val="auto"/>
        </w:rPr>
        <w:t>List of 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160" w:hanging="1006"/>
        <w:spacing w:after="0"/>
        <w:tabs>
          <w:tab w:leader="none" w:pos="1160" w:val="left"/>
        </w:tabs>
        <w:numPr>
          <w:ilvl w:val="0"/>
          <w:numId w:val="11"/>
        </w:numPr>
        <w:rPr>
          <w:rFonts w:ascii="Arial" w:cs="Arial" w:eastAsia="Arial" w:hAnsi="Arial"/>
          <w:sz w:val="18"/>
          <w:szCs w:val="18"/>
          <w:u w:val="single" w:color="auto"/>
          <w:color w:val="0000EE"/>
        </w:rPr>
      </w:pPr>
      <w:r>
        <w:rPr>
          <w:rFonts w:ascii="Arial" w:cs="Arial" w:eastAsia="Arial" w:hAnsi="Arial"/>
          <w:sz w:val="18"/>
          <w:szCs w:val="18"/>
          <w:color w:val="auto"/>
        </w:rPr>
        <w:t>Consent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Certification of Chief Executive Officer pursuant to Rule 13a-14(a)/15d-14(a) of the Securities Exchange Act of 1934, as adopted pursuant to</w:t>
            </w:r>
          </w:p>
        </w:tc>
      </w:tr>
      <w:tr>
        <w:trPr>
          <w:trHeight w:val="237"/>
        </w:trPr>
        <w:tc>
          <w:tcPr>
            <w:tcW w:w="1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0" w:type="dxa"/>
            <w:vAlign w:val="bottom"/>
          </w:tcPr>
          <w:p>
            <w:pPr>
              <w:spacing w:after="0"/>
              <w:rPr>
                <w:sz w:val="18"/>
                <w:szCs w:val="18"/>
                <w:color w:val="auto"/>
              </w:rPr>
            </w:pPr>
          </w:p>
        </w:tc>
      </w:tr>
      <w:tr>
        <w:trPr>
          <w:trHeight w:val="176"/>
        </w:trPr>
        <w:tc>
          <w:tcPr>
            <w:tcW w:w="820" w:type="dxa"/>
            <w:vAlign w:val="bottom"/>
            <w:gridSpan w:val="3"/>
            <w:shd w:val="clear" w:color="auto" w:fill="CCEEFF"/>
          </w:tcPr>
          <w:p>
            <w:pPr>
              <w:jc w:val="right"/>
              <w:ind w:right="360"/>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106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2"/>
              </w:rPr>
              <w:t>Certification of Chief Financial Officer pursuant to Rule 13a-14(a)/15d-14(a) of the Securities Exchange Act of 1934, as adopted pursuant to</w:t>
            </w:r>
          </w:p>
        </w:tc>
      </w:tr>
      <w:tr>
        <w:trPr>
          <w:trHeight w:val="237"/>
        </w:trPr>
        <w:tc>
          <w:tcPr>
            <w:tcW w:w="1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0" w:type="dxa"/>
            <w:vAlign w:val="bottom"/>
          </w:tcPr>
          <w:p>
            <w:pPr>
              <w:spacing w:after="0"/>
              <w:rPr>
                <w:sz w:val="18"/>
                <w:szCs w:val="18"/>
                <w:color w:val="auto"/>
              </w:rPr>
            </w:pPr>
          </w:p>
        </w:tc>
      </w:tr>
      <w:tr>
        <w:trPr>
          <w:trHeight w:val="176"/>
        </w:trPr>
        <w:tc>
          <w:tcPr>
            <w:tcW w:w="820" w:type="dxa"/>
            <w:vAlign w:val="bottom"/>
            <w:gridSpan w:val="3"/>
            <w:shd w:val="clear" w:color="auto" w:fill="CCEEFF"/>
          </w:tcPr>
          <w:p>
            <w:pPr>
              <w:jc w:val="right"/>
              <w:ind w:right="360"/>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106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r>
      <w:tr>
        <w:trPr>
          <w:trHeight w:val="237"/>
        </w:trPr>
        <w:tc>
          <w:tcPr>
            <w:tcW w:w="1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2002.*</w:t>
            </w:r>
          </w:p>
        </w:tc>
      </w:tr>
      <w:tr>
        <w:trPr>
          <w:trHeight w:val="216"/>
        </w:trPr>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0" w:type="dxa"/>
            <w:vAlign w:val="bottom"/>
          </w:tcPr>
          <w:p>
            <w:pPr>
              <w:spacing w:after="0"/>
              <w:rPr>
                <w:sz w:val="18"/>
                <w:szCs w:val="18"/>
                <w:color w:val="auto"/>
              </w:rPr>
            </w:pPr>
          </w:p>
        </w:tc>
      </w:tr>
      <w:tr>
        <w:trPr>
          <w:trHeight w:val="176"/>
        </w:trPr>
        <w:tc>
          <w:tcPr>
            <w:tcW w:w="820" w:type="dxa"/>
            <w:vAlign w:val="bottom"/>
            <w:gridSpan w:val="3"/>
            <w:shd w:val="clear" w:color="auto" w:fill="CCEEFF"/>
          </w:tcPr>
          <w:p>
            <w:pPr>
              <w:jc w:val="right"/>
              <w:ind w:right="360"/>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106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 Act of</w:t>
            </w:r>
          </w:p>
        </w:tc>
      </w:tr>
      <w:tr>
        <w:trPr>
          <w:trHeight w:val="237"/>
        </w:trPr>
        <w:tc>
          <w:tcPr>
            <w:tcW w:w="1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2002.*</w:t>
            </w:r>
          </w:p>
        </w:tc>
      </w:tr>
      <w:tr>
        <w:trPr>
          <w:trHeight w:val="582"/>
        </w:trPr>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0" w:type="dxa"/>
            <w:vAlign w:val="bottom"/>
          </w:tcPr>
          <w:p>
            <w:pPr>
              <w:ind w:left="4820"/>
              <w:spacing w:after="0"/>
              <w:rPr>
                <w:sz w:val="20"/>
                <w:szCs w:val="20"/>
                <w:color w:val="auto"/>
              </w:rPr>
            </w:pPr>
            <w:r>
              <w:rPr>
                <w:rFonts w:ascii="Arial" w:cs="Arial" w:eastAsia="Arial" w:hAnsi="Arial"/>
                <w:sz w:val="14"/>
                <w:szCs w:val="14"/>
                <w:color w:val="auto"/>
              </w:rPr>
              <w:t>68</w:t>
            </w:r>
          </w:p>
        </w:tc>
      </w:tr>
      <w:tr>
        <w:trPr>
          <w:trHeight w:val="46"/>
        </w:trPr>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6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0"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160" w:hanging="1006"/>
        <w:spacing w:after="0"/>
        <w:tabs>
          <w:tab w:leader="none" w:pos="11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Represents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p>
      <w:pPr>
        <w:ind w:left="1160" w:hanging="1006"/>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request for confidential treatment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8" w:lineRule="exact"/>
        <w:rPr>
          <w:sz w:val="20"/>
          <w:szCs w:val="20"/>
          <w:color w:val="auto"/>
        </w:rPr>
      </w:pPr>
    </w:p>
    <w:p>
      <w:pPr>
        <w:ind w:left="1160" w:hanging="1006"/>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exhibit that is filed with this Annual Report on Form 10-K.</w:t>
      </w:r>
    </w:p>
    <w:p>
      <w:pPr>
        <w:spacing w:after="0" w:line="225" w:lineRule="exact"/>
        <w:rPr>
          <w:rFonts w:ascii="Arial" w:cs="Arial" w:eastAsia="Arial" w:hAnsi="Arial"/>
          <w:sz w:val="18"/>
          <w:szCs w:val="18"/>
          <w:color w:val="auto"/>
        </w:rPr>
      </w:pPr>
    </w:p>
    <w:p>
      <w:pPr>
        <w:ind w:left="1160" w:right="240"/>
        <w:spacing w:after="0" w:line="308" w:lineRule="auto"/>
        <w:rPr>
          <w:rFonts w:ascii="Arial" w:cs="Arial" w:eastAsia="Arial" w:hAnsi="Arial"/>
          <w:sz w:val="18"/>
          <w:szCs w:val="18"/>
          <w:color w:val="auto"/>
        </w:rPr>
      </w:pPr>
      <w:r>
        <w:rPr>
          <w:rFonts w:ascii="Arial" w:cs="Arial" w:eastAsia="Arial" w:hAnsi="Arial"/>
          <w:sz w:val="17"/>
          <w:szCs w:val="17"/>
          <w:color w:val="auto"/>
        </w:rPr>
        <w:t>The Company will provide a copy of any exhibit upon receipt of a written request for the particular exhibit or exhibits desired. All requests should be addressed to the Company's general counsel at the address of the Company's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340" w:val="left"/>
          <w:tab w:leader="none" w:pos="4360" w:val="left"/>
        </w:tabs>
        <w:rPr>
          <w:sz w:val="20"/>
          <w:szCs w:val="20"/>
          <w:color w:val="auto"/>
        </w:rPr>
      </w:pPr>
      <w:r>
        <w:rPr>
          <w:rFonts w:ascii="Arial" w:cs="Arial" w:eastAsia="Arial" w:hAnsi="Arial"/>
          <w:sz w:val="18"/>
          <w:szCs w:val="18"/>
          <w:color w:val="auto"/>
        </w:rPr>
        <w:t>By</w:t>
        <w:tab/>
        <w:t>/s/ SEAN T. SMITH</w:t>
      </w:r>
      <w:r>
        <w:rPr>
          <w:sz w:val="20"/>
          <w:szCs w:val="20"/>
          <w:color w:val="auto"/>
        </w:rPr>
        <w:tab/>
      </w:r>
      <w:r>
        <w:rPr>
          <w:rFonts w:ascii="Arial" w:cs="Arial" w:eastAsia="Arial" w:hAnsi="Arial"/>
          <w:sz w:val="15"/>
          <w:szCs w:val="15"/>
          <w:color w:val="auto"/>
        </w:rPr>
        <w:t>January 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1780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CONSTANTINE S. MACRICOSTAS</w:t>
            </w:r>
          </w:p>
        </w:tc>
        <w:tc>
          <w:tcPr>
            <w:tcW w:w="1740" w:type="dxa"/>
            <w:vAlign w:val="bottom"/>
          </w:tcPr>
          <w:p>
            <w:pPr>
              <w:ind w:left="600"/>
              <w:spacing w:after="0"/>
              <w:rPr>
                <w:sz w:val="20"/>
                <w:szCs w:val="20"/>
                <w:color w:val="auto"/>
              </w:rPr>
            </w:pPr>
            <w:r>
              <w:rPr>
                <w:rFonts w:ascii="Arial" w:cs="Arial" w:eastAsia="Arial" w:hAnsi="Arial"/>
                <w:sz w:val="18"/>
                <w:szCs w:val="18"/>
                <w:color w:val="auto"/>
                <w:w w:val="86"/>
              </w:rPr>
              <w:t>January 3, 2014</w:t>
            </w:r>
          </w:p>
        </w:tc>
      </w:tr>
      <w:tr>
        <w:trPr>
          <w:trHeight w:val="202"/>
        </w:trPr>
        <w:tc>
          <w:tcPr>
            <w:tcW w:w="36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Constantine S. Macricostas</w:t>
            </w:r>
          </w:p>
        </w:tc>
        <w:tc>
          <w:tcPr>
            <w:tcW w:w="174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Chairman of the Board</w:t>
            </w:r>
          </w:p>
        </w:tc>
        <w:tc>
          <w:tcPr>
            <w:tcW w:w="174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7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740" w:type="dxa"/>
            <w:vAlign w:val="bottom"/>
          </w:tcPr>
          <w:p>
            <w:pPr>
              <w:spacing w:after="0"/>
              <w:rPr>
                <w:sz w:val="20"/>
                <w:szCs w:val="20"/>
                <w:color w:val="auto"/>
              </w:rPr>
            </w:pPr>
          </w:p>
        </w:tc>
      </w:tr>
      <w:tr>
        <w:trPr>
          <w:trHeight w:val="439"/>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T. SMITH</w:t>
            </w:r>
          </w:p>
        </w:tc>
        <w:tc>
          <w:tcPr>
            <w:tcW w:w="1740" w:type="dxa"/>
            <w:vAlign w:val="bottom"/>
          </w:tcPr>
          <w:p>
            <w:pPr>
              <w:ind w:left="600"/>
              <w:spacing w:after="0"/>
              <w:rPr>
                <w:sz w:val="20"/>
                <w:szCs w:val="20"/>
                <w:color w:val="auto"/>
              </w:rPr>
            </w:pPr>
            <w:r>
              <w:rPr>
                <w:rFonts w:ascii="Arial" w:cs="Arial" w:eastAsia="Arial" w:hAnsi="Arial"/>
                <w:sz w:val="18"/>
                <w:szCs w:val="18"/>
                <w:color w:val="auto"/>
                <w:w w:val="86"/>
              </w:rPr>
              <w:t>January 3, 2014</w:t>
            </w:r>
          </w:p>
        </w:tc>
      </w:tr>
      <w:tr>
        <w:trPr>
          <w:trHeight w:val="202"/>
        </w:trPr>
        <w:tc>
          <w:tcPr>
            <w:tcW w:w="36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Sean T. Smith</w:t>
            </w:r>
          </w:p>
        </w:tc>
        <w:tc>
          <w:tcPr>
            <w:tcW w:w="174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Senior Vice President</w:t>
            </w:r>
          </w:p>
        </w:tc>
        <w:tc>
          <w:tcPr>
            <w:tcW w:w="174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4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7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740" w:type="dxa"/>
            <w:vAlign w:val="bottom"/>
          </w:tcPr>
          <w:p>
            <w:pPr>
              <w:spacing w:after="0"/>
              <w:rPr>
                <w:sz w:val="20"/>
                <w:szCs w:val="20"/>
                <w:color w:val="auto"/>
              </w:rPr>
            </w:pPr>
          </w:p>
        </w:tc>
      </w:tr>
      <w:tr>
        <w:trPr>
          <w:trHeight w:val="439"/>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M. FIEDEROWICZ</w:t>
            </w:r>
          </w:p>
        </w:tc>
        <w:tc>
          <w:tcPr>
            <w:tcW w:w="1740" w:type="dxa"/>
            <w:vAlign w:val="bottom"/>
          </w:tcPr>
          <w:p>
            <w:pPr>
              <w:ind w:left="600"/>
              <w:spacing w:after="0"/>
              <w:rPr>
                <w:sz w:val="20"/>
                <w:szCs w:val="20"/>
                <w:color w:val="auto"/>
              </w:rPr>
            </w:pPr>
            <w:r>
              <w:rPr>
                <w:rFonts w:ascii="Arial" w:cs="Arial" w:eastAsia="Arial" w:hAnsi="Arial"/>
                <w:sz w:val="18"/>
                <w:szCs w:val="18"/>
                <w:color w:val="auto"/>
                <w:w w:val="86"/>
              </w:rPr>
              <w:t>January 3, 2014</w:t>
            </w:r>
          </w:p>
        </w:tc>
      </w:tr>
      <w:tr>
        <w:trPr>
          <w:trHeight w:val="202"/>
        </w:trPr>
        <w:tc>
          <w:tcPr>
            <w:tcW w:w="36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Walter M. Fiederowicz</w:t>
            </w:r>
          </w:p>
        </w:tc>
        <w:tc>
          <w:tcPr>
            <w:tcW w:w="174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p>
        </w:tc>
      </w:tr>
      <w:tr>
        <w:trPr>
          <w:trHeight w:val="439"/>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A. FIORITA, JR.</w:t>
            </w:r>
          </w:p>
        </w:tc>
        <w:tc>
          <w:tcPr>
            <w:tcW w:w="1740" w:type="dxa"/>
            <w:vAlign w:val="bottom"/>
          </w:tcPr>
          <w:p>
            <w:pPr>
              <w:ind w:left="600"/>
              <w:spacing w:after="0"/>
              <w:rPr>
                <w:sz w:val="20"/>
                <w:szCs w:val="20"/>
                <w:color w:val="auto"/>
              </w:rPr>
            </w:pPr>
            <w:r>
              <w:rPr>
                <w:rFonts w:ascii="Arial" w:cs="Arial" w:eastAsia="Arial" w:hAnsi="Arial"/>
                <w:sz w:val="18"/>
                <w:szCs w:val="18"/>
                <w:color w:val="auto"/>
                <w:w w:val="86"/>
              </w:rPr>
              <w:t>January 3, 2014</w:t>
            </w:r>
          </w:p>
        </w:tc>
      </w:tr>
      <w:tr>
        <w:trPr>
          <w:trHeight w:val="202"/>
        </w:trPr>
        <w:tc>
          <w:tcPr>
            <w:tcW w:w="36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Joseph A. Fiorita, Jr.</w:t>
            </w:r>
          </w:p>
        </w:tc>
        <w:tc>
          <w:tcPr>
            <w:tcW w:w="174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p>
        </w:tc>
      </w:tr>
      <w:tr>
        <w:trPr>
          <w:trHeight w:val="439"/>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LIANG-CHOO HSIA</w:t>
            </w:r>
          </w:p>
        </w:tc>
        <w:tc>
          <w:tcPr>
            <w:tcW w:w="1740" w:type="dxa"/>
            <w:vAlign w:val="bottom"/>
          </w:tcPr>
          <w:p>
            <w:pPr>
              <w:ind w:left="600"/>
              <w:spacing w:after="0"/>
              <w:rPr>
                <w:sz w:val="20"/>
                <w:szCs w:val="20"/>
                <w:color w:val="auto"/>
              </w:rPr>
            </w:pPr>
            <w:r>
              <w:rPr>
                <w:rFonts w:ascii="Arial" w:cs="Arial" w:eastAsia="Arial" w:hAnsi="Arial"/>
                <w:sz w:val="18"/>
                <w:szCs w:val="18"/>
                <w:color w:val="auto"/>
                <w:w w:val="86"/>
              </w:rPr>
              <w:t>January 3, 2014</w:t>
            </w:r>
          </w:p>
        </w:tc>
      </w:tr>
      <w:tr>
        <w:trPr>
          <w:trHeight w:val="202"/>
        </w:trPr>
        <w:tc>
          <w:tcPr>
            <w:tcW w:w="36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Liang-Choo Hsia</w:t>
            </w:r>
          </w:p>
        </w:tc>
        <w:tc>
          <w:tcPr>
            <w:tcW w:w="174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p>
        </w:tc>
      </w:tr>
      <w:tr>
        <w:trPr>
          <w:trHeight w:val="439"/>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MACRICOSTAS</w:t>
            </w:r>
          </w:p>
        </w:tc>
        <w:tc>
          <w:tcPr>
            <w:tcW w:w="1740" w:type="dxa"/>
            <w:vAlign w:val="bottom"/>
          </w:tcPr>
          <w:p>
            <w:pPr>
              <w:ind w:left="600"/>
              <w:spacing w:after="0"/>
              <w:rPr>
                <w:sz w:val="20"/>
                <w:szCs w:val="20"/>
                <w:color w:val="auto"/>
              </w:rPr>
            </w:pPr>
            <w:r>
              <w:rPr>
                <w:rFonts w:ascii="Arial" w:cs="Arial" w:eastAsia="Arial" w:hAnsi="Arial"/>
                <w:sz w:val="18"/>
                <w:szCs w:val="18"/>
                <w:color w:val="auto"/>
                <w:w w:val="86"/>
              </w:rPr>
              <w:t>January 3, 2014</w:t>
            </w:r>
          </w:p>
        </w:tc>
      </w:tr>
      <w:tr>
        <w:trPr>
          <w:trHeight w:val="202"/>
        </w:trPr>
        <w:tc>
          <w:tcPr>
            <w:tcW w:w="36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George Macricostas</w:t>
            </w:r>
          </w:p>
        </w:tc>
        <w:tc>
          <w:tcPr>
            <w:tcW w:w="174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p>
        </w:tc>
      </w:tr>
      <w:tr>
        <w:trPr>
          <w:trHeight w:val="439"/>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 TYSON</w:t>
            </w:r>
          </w:p>
        </w:tc>
        <w:tc>
          <w:tcPr>
            <w:tcW w:w="1740" w:type="dxa"/>
            <w:vAlign w:val="bottom"/>
          </w:tcPr>
          <w:p>
            <w:pPr>
              <w:ind w:left="600"/>
              <w:spacing w:after="0"/>
              <w:rPr>
                <w:sz w:val="20"/>
                <w:szCs w:val="20"/>
                <w:color w:val="auto"/>
              </w:rPr>
            </w:pPr>
            <w:r>
              <w:rPr>
                <w:rFonts w:ascii="Arial" w:cs="Arial" w:eastAsia="Arial" w:hAnsi="Arial"/>
                <w:sz w:val="18"/>
                <w:szCs w:val="18"/>
                <w:color w:val="auto"/>
                <w:w w:val="86"/>
              </w:rPr>
              <w:t>January 3, 2014</w:t>
            </w:r>
          </w:p>
        </w:tc>
      </w:tr>
      <w:tr>
        <w:trPr>
          <w:trHeight w:val="202"/>
        </w:trPr>
        <w:tc>
          <w:tcPr>
            <w:tcW w:w="36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Mitchell G. Tyson</w:t>
            </w:r>
          </w:p>
        </w:tc>
        <w:tc>
          <w:tcPr>
            <w:tcW w:w="174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CERTIFICATE OF CORRECTION OF</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CERTIFICATE OF AMENDMENT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PHOTRONICS,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Secretary of State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State of Connecticut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 is hereby certified that:</w:t>
      </w:r>
    </w:p>
    <w:p>
      <w:pPr>
        <w:spacing w:after="0" w:line="22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 of the corporation (hereinafter called the “Corporation”) is Photronics, Inc.</w:t>
      </w:r>
    </w:p>
    <w:p>
      <w:pPr>
        <w:spacing w:after="0" w:line="23" w:lineRule="exact"/>
        <w:rPr>
          <w:rFonts w:ascii="Arial" w:cs="Arial" w:eastAsia="Arial" w:hAnsi="Arial"/>
          <w:sz w:val="18"/>
          <w:szCs w:val="18"/>
          <w:color w:val="auto"/>
        </w:rPr>
      </w:pPr>
    </w:p>
    <w:p>
      <w:pPr>
        <w:ind w:left="180" w:right="500" w:hanging="172"/>
        <w:spacing w:after="0" w:line="250"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Certificate of Amendment of the Corporation, which was filed by the Secretary of State of the State of Connecticut on April 15, 2002, is hereby corrected.</w:t>
      </w: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incorrect statement in said document and the reason it is incorrect are:</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Due to a scrivener’s error, a portion of the first paragraph of Article Third was inadvertently omitted from the Certificate of Amendment filed with the Secretary of the State of the State of Connecticut on April 15,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4. The portion of the document in corrected form is as follows: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“3. The aggregate number of shares which the Corporation shall have the authority to issue is 152,000,000, of which 2,000,000 shares shall be shares of Preferred Stock having a par value of $0.01 per share (hereinafter called “Preferred Stock”) and 150,000,000 shares shall be shares of Common Stock having a par value of $0.01 per share (hereinafter called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Signed on June 20, 2005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Edwin L. Lewis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01" w:right="319" w:bottom="1440" w:gutter="0" w:footer="0" w:header="0"/>
        </w:sectPr>
      </w:pPr>
    </w:p>
    <w:bookmarkStart w:id="72" w:name="page73"/>
    <w:bookmarkEnd w:id="72"/>
    <w:p>
      <w:pPr>
        <w:jc w:val="center"/>
        <w:ind w:right="-79"/>
        <w:spacing w:after="0"/>
        <w:rPr>
          <w:sz w:val="20"/>
          <w:szCs w:val="20"/>
          <w:color w:val="auto"/>
        </w:rPr>
      </w:pPr>
      <w:r>
        <w:rPr>
          <w:rFonts w:ascii="Arial" w:cs="Arial" w:eastAsia="Arial" w:hAnsi="Arial"/>
          <w:sz w:val="18"/>
          <w:szCs w:val="18"/>
          <w:color w:val="auto"/>
        </w:rPr>
        <w:t>CERTIFICATE OF AMENDMENT</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STOCK CORPORATION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Office of the Secretary of the State</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 Trinity Street / P.O. Box 150470 / Hartford, CT 06115-0470 /Rev. 12/1999</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Space For Office Use Only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 NAME OF CORPORATION: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PHOTRONICS, INC.</w:t>
      </w:r>
    </w:p>
    <w:p>
      <w:pPr>
        <w:spacing w:after="0" w:line="200" w:lineRule="exact"/>
        <w:rPr>
          <w:sz w:val="20"/>
          <w:szCs w:val="20"/>
          <w:color w:val="auto"/>
        </w:rPr>
      </w:pPr>
    </w:p>
    <w:p>
      <w:pPr>
        <w:spacing w:after="0" w:line="22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CERTIFICATE OF INCORPORATION IS (check A., B. or C.):</w:t>
      </w:r>
    </w:p>
    <w:p>
      <w:pPr>
        <w:spacing w:after="0" w:line="252"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u w:val="single" w:color="auto"/>
          <w:color w:val="auto"/>
        </w:rPr>
        <w:t>XXX</w:t>
      </w:r>
      <w:r>
        <w:rPr>
          <w:rFonts w:ascii="Arial" w:cs="Arial" w:eastAsia="Arial" w:hAnsi="Arial"/>
          <w:sz w:val="18"/>
          <w:szCs w:val="18"/>
          <w:color w:val="auto"/>
        </w:rPr>
        <w:t xml:space="preserve"> A. AMENDED.</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____ B. AMENDED AND RESTATED.</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____  C. RESTATED.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 TEXT OF EACH AMENDMENT / RESTATEMENT: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RESOLVED, that the Certificate of Incorporation be amended by striking the first paragraph of Article Third in its entirety and substituting therefor the following:</w:t>
      </w:r>
    </w:p>
    <w:p>
      <w:pPr>
        <w:spacing w:after="0" w:line="197" w:lineRule="exact"/>
        <w:rPr>
          <w:sz w:val="20"/>
          <w:szCs w:val="20"/>
          <w:color w:val="auto"/>
        </w:rPr>
      </w:pPr>
    </w:p>
    <w:p>
      <w:pPr>
        <w:ind w:left="180" w:hanging="172"/>
        <w:spacing w:after="0" w:line="27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shares which the Corporation shall have the authority to issue is 152,000,000 shares, of which 2,000,000 shares shall be shares of Preferred Stock having a par value of $0.01 per share(hereinafter called "Common Stock").</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amendment shall be effective upon filing of this Certificate of Amendment with the Secretary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reference an 8 1/2 X 11 attachment if additional space is needed)</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Space For Office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4. VOTE INFORMATION (check A., B. or C.):</w:t>
      </w:r>
    </w:p>
    <w:p>
      <w:pPr>
        <w:spacing w:after="0" w:line="252" w:lineRule="exact"/>
        <w:rPr>
          <w:sz w:val="20"/>
          <w:szCs w:val="20"/>
          <w:color w:val="auto"/>
        </w:rPr>
      </w:pPr>
    </w:p>
    <w:p>
      <w:pPr>
        <w:ind w:left="600" w:hanging="430"/>
        <w:spacing w:after="0"/>
        <w:tabs>
          <w:tab w:leader="none" w:pos="600" w:val="left"/>
        </w:tabs>
        <w:numPr>
          <w:ilvl w:val="0"/>
          <w:numId w:val="18"/>
        </w:numPr>
        <w:rPr>
          <w:rFonts w:ascii="Arial" w:cs="Arial" w:eastAsia="Arial" w:hAnsi="Arial"/>
          <w:sz w:val="18"/>
          <w:szCs w:val="18"/>
          <w:u w:val="single" w:color="auto"/>
          <w:color w:val="auto"/>
        </w:rPr>
      </w:pPr>
      <w:r>
        <w:rPr>
          <w:rFonts w:ascii="Arial" w:cs="Arial" w:eastAsia="Arial" w:hAnsi="Arial"/>
          <w:sz w:val="18"/>
          <w:szCs w:val="18"/>
          <w:color w:val="auto"/>
        </w:rPr>
        <w:t>A. The resolution was approved by shareholders as follows: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(set forth all voting information required by Conn. Gen. Stat. Section 33-800 as amended in the space provided below)</w:t>
      </w:r>
    </w:p>
    <w:p>
      <w:pPr>
        <w:spacing w:after="0" w:line="225" w:lineRule="exact"/>
        <w:rPr>
          <w:sz w:val="20"/>
          <w:szCs w:val="20"/>
          <w:color w:val="auto"/>
        </w:rPr>
      </w:pPr>
    </w:p>
    <w:p>
      <w:pPr>
        <w:ind w:left="180" w:right="520"/>
        <w:spacing w:after="0" w:line="259" w:lineRule="auto"/>
        <w:rPr>
          <w:sz w:val="20"/>
          <w:szCs w:val="20"/>
          <w:color w:val="auto"/>
        </w:rPr>
      </w:pPr>
      <w:r>
        <w:rPr>
          <w:rFonts w:ascii="Arial" w:cs="Arial" w:eastAsia="Arial" w:hAnsi="Arial"/>
          <w:sz w:val="18"/>
          <w:szCs w:val="18"/>
          <w:color w:val="auto"/>
        </w:rPr>
        <w:t>There was only one class of shares outstanding entitled to vote on the amendment. That class was Common Stock, par value $0.1 per share, of which 30,373,076 were outstanding on the record date for the vote. At the meeting to vote on the amendment, 25,725,980 shares of Common Stock were indisputably present. The vote on the amendment was 23,466,159 shares in favor of the amendment and such vote was sufficient for approval of the amendment.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amendment was adopted by the shareholders on March 20, 2002 and by the Board of Directors on March 20,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____B.The amendment was adopted by the board of directors without shareholder action. No shareholder vote was required for adoption.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____C.The amendment was adopted by the incorporators without shareholder action. No shareholder vote was required for adoption.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EXECUTION: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this 22nd day of March , 2002.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James A. Eder</w:t>
            </w:r>
          </w:p>
        </w:tc>
        <w:tc>
          <w:tcPr>
            <w:tcW w:w="4380" w:type="dxa"/>
            <w:vAlign w:val="bottom"/>
          </w:tcPr>
          <w:p>
            <w:pPr>
              <w:jc w:val="center"/>
              <w:ind w:left="1290"/>
              <w:spacing w:after="0"/>
              <w:rPr>
                <w:sz w:val="20"/>
                <w:szCs w:val="20"/>
                <w:color w:val="auto"/>
              </w:rPr>
            </w:pPr>
            <w:r>
              <w:rPr>
                <w:rFonts w:ascii="Arial" w:cs="Arial" w:eastAsia="Arial" w:hAnsi="Arial"/>
                <w:sz w:val="18"/>
                <w:szCs w:val="18"/>
                <w:color w:val="auto"/>
                <w:w w:val="88"/>
              </w:rPr>
              <w:t>Secretary</w:t>
            </w: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/s/James A. Eder</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Print or type name of signatory</w:t>
            </w:r>
          </w:p>
        </w:tc>
        <w:tc>
          <w:tcPr>
            <w:tcW w:w="4380" w:type="dxa"/>
            <w:vAlign w:val="bottom"/>
          </w:tcPr>
          <w:p>
            <w:pPr>
              <w:jc w:val="center"/>
              <w:ind w:left="1270"/>
              <w:spacing w:after="0"/>
              <w:rPr>
                <w:sz w:val="20"/>
                <w:szCs w:val="20"/>
                <w:color w:val="auto"/>
              </w:rPr>
            </w:pPr>
            <w:r>
              <w:rPr>
                <w:rFonts w:ascii="Arial" w:cs="Arial" w:eastAsia="Arial" w:hAnsi="Arial"/>
                <w:sz w:val="18"/>
                <w:szCs w:val="18"/>
                <w:color w:val="auto"/>
                <w:w w:val="91"/>
              </w:rPr>
              <w:t>Capacity of signatory</w:t>
            </w: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Signature</w:t>
            </w:r>
          </w:p>
        </w:tc>
      </w:tr>
      <w:tr>
        <w:trPr>
          <w:trHeight w:val="426"/>
        </w:trPr>
        <w:tc>
          <w:tcPr>
            <w:tcW w:w="43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color w:val="auto"/>
        </w:rPr>
        <w:t>CERTIFICATE OF AMENDMENT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CORPORATION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Office of the Secretary of the State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 Trinity Street/P.O. Box 150470/Hartford, CT 06115-0470/new/1-97</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Space For Office Use Only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NAME OF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PHOTRONICS,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19"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CERTIFICATE OF INCORPORATION IS (check A., B., or C.):</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u w:val="single" w:color="auto"/>
          <w:color w:val="auto"/>
        </w:rPr>
        <w:t>XXX</w:t>
      </w:r>
      <w:r>
        <w:rPr>
          <w:rFonts w:ascii="Arial" w:cs="Arial" w:eastAsia="Arial" w:hAnsi="Arial"/>
          <w:sz w:val="18"/>
          <w:szCs w:val="18"/>
          <w:color w:val="auto"/>
        </w:rPr>
        <w:t xml:space="preserve"> A. AMENDED.</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____ B. AMENDED AND RESTATED.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____  C. RESTATED.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3. TEXT OF EACH AMENDMENT / RESTATEMENT:</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RESOLVED, that the Certificate of Incorporation be amended by striking the first paragraph of Article Third in its entirety and substituting therefor the following:</w:t>
      </w:r>
    </w:p>
    <w:p>
      <w:pPr>
        <w:spacing w:after="0" w:line="197" w:lineRule="exact"/>
        <w:rPr>
          <w:sz w:val="20"/>
          <w:szCs w:val="20"/>
          <w:color w:val="auto"/>
        </w:rPr>
      </w:pPr>
    </w:p>
    <w:p>
      <w:pPr>
        <w:ind w:left="220" w:hanging="202"/>
        <w:spacing w:after="0" w:line="264" w:lineRule="auto"/>
        <w:rPr>
          <w:sz w:val="20"/>
          <w:szCs w:val="20"/>
          <w:color w:val="auto"/>
        </w:rPr>
      </w:pPr>
      <w:r>
        <w:rPr>
          <w:rFonts w:ascii="Arial" w:cs="Arial" w:eastAsia="Arial" w:hAnsi="Arial"/>
          <w:sz w:val="18"/>
          <w:szCs w:val="18"/>
          <w:color w:val="auto"/>
        </w:rPr>
        <w:t>3).The aggregate number of shares which the Corporation shall have the authority to issue is 77,000,000 shares, of which 2,000,000 shares shall be shares of Preferred Stock having a par value of $0.01 per share(hereinafter called "Preferred Stock") and 75,000,000 shares shall be shares of Common Stock having a par value of $0.01 per share(hereinafter call "Common Stock").</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amendment shall be effective upon filing of this Certificate of Amendment with the Secretary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reference an 8 1/2 X 11 attachment if additional space is needed)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Space For Office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4. VOTE INFORMATION (check A., B., or C.)</w:t>
      </w:r>
    </w:p>
    <w:p>
      <w:pPr>
        <w:spacing w:after="0" w:line="225"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8"/>
          <w:szCs w:val="18"/>
          <w:u w:val="single" w:color="auto"/>
          <w:color w:val="auto"/>
        </w:rPr>
      </w:pPr>
      <w:r>
        <w:rPr>
          <w:rFonts w:ascii="Arial" w:cs="Arial" w:eastAsia="Arial" w:hAnsi="Arial"/>
          <w:sz w:val="18"/>
          <w:szCs w:val="18"/>
          <w:color w:val="auto"/>
        </w:rPr>
        <w:t>A. The resolution was approved by shareholders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 forth all voting information required by Conn. Gen. Stat. section 33-800 as amended in the space provided below)</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There was only one class of shares outstanding entitled to vote on the amendment. That class was Common Stock, par value $0.01 per share, of which 12,062,368 shares were outstanding on the record date for the vote. At the meeting to vote on the amendment, 10,156,367 shares of Common Stock were indisputably present at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vote on the amendment was 8,801,215 shares in favor of the amendment and such vote was sufficient for approval of the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amendment was adopted by the shareholders on November 13, 1997 and by the Board of Directors on September 12, 1997.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____B.The amendment was adopted by the board of directors without shareholder action. No shareholder vote was required for adoption.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____C.The amendment was adopted by the incorporators without shareholder action. No shareholder vote was required for adoption.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EXECUTION: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this 13th day of November, 1997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JEFFREY P. MOONAN</w:t>
            </w:r>
          </w:p>
        </w:tc>
        <w:tc>
          <w:tcPr>
            <w:tcW w:w="4300" w:type="dxa"/>
            <w:vAlign w:val="bottom"/>
          </w:tcPr>
          <w:p>
            <w:pPr>
              <w:jc w:val="center"/>
              <w:ind w:left="1350"/>
              <w:spacing w:after="0"/>
              <w:rPr>
                <w:sz w:val="20"/>
                <w:szCs w:val="20"/>
                <w:color w:val="auto"/>
              </w:rPr>
            </w:pPr>
            <w:r>
              <w:rPr>
                <w:rFonts w:ascii="Arial" w:cs="Arial" w:eastAsia="Arial" w:hAnsi="Arial"/>
                <w:sz w:val="18"/>
                <w:szCs w:val="18"/>
                <w:color w:val="auto"/>
                <w:w w:val="92"/>
              </w:rPr>
              <w:t>SECRETARY</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/s/ Jeffrey P. Moonan</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Print or type name of signatory</w:t>
            </w:r>
          </w:p>
        </w:tc>
        <w:tc>
          <w:tcPr>
            <w:tcW w:w="4300" w:type="dxa"/>
            <w:vAlign w:val="bottom"/>
          </w:tcPr>
          <w:p>
            <w:pPr>
              <w:jc w:val="center"/>
              <w:ind w:left="1350"/>
              <w:spacing w:after="0"/>
              <w:rPr>
                <w:sz w:val="20"/>
                <w:szCs w:val="20"/>
                <w:color w:val="auto"/>
              </w:rPr>
            </w:pPr>
            <w:r>
              <w:rPr>
                <w:rFonts w:ascii="Arial" w:cs="Arial" w:eastAsia="Arial" w:hAnsi="Arial"/>
                <w:sz w:val="18"/>
                <w:szCs w:val="18"/>
                <w:color w:val="auto"/>
                <w:w w:val="91"/>
              </w:rPr>
              <w:t>Capacity of signatory</w:t>
            </w:r>
          </w:p>
        </w:tc>
        <w:tc>
          <w:tcPr>
            <w:tcW w:w="2780" w:type="dxa"/>
            <w:vAlign w:val="bottom"/>
          </w:tcPr>
          <w:p>
            <w:pPr>
              <w:jc w:val="center"/>
              <w:spacing w:after="0"/>
              <w:rPr>
                <w:sz w:val="20"/>
                <w:szCs w:val="20"/>
                <w:color w:val="auto"/>
              </w:rPr>
            </w:pPr>
            <w:r>
              <w:rPr>
                <w:rFonts w:ascii="Arial" w:cs="Arial" w:eastAsia="Arial" w:hAnsi="Arial"/>
                <w:sz w:val="18"/>
                <w:szCs w:val="18"/>
                <w:color w:val="auto"/>
                <w:w w:val="88"/>
              </w:rPr>
              <w:t>Signature</w:t>
            </w:r>
          </w:p>
        </w:tc>
      </w:tr>
      <w:tr>
        <w:trPr>
          <w:trHeight w:val="183"/>
        </w:trPr>
        <w:tc>
          <w:tcPr>
            <w:tcW w:w="434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125" w:right="239" w:bottom="1440" w:gutter="0" w:footer="0" w:header="0"/>
        </w:sectPr>
      </w:pPr>
    </w:p>
    <w:bookmarkStart w:id="76" w:name="page77"/>
    <w:bookmarkEnd w:id="76"/>
    <w:p>
      <w:pPr>
        <w:jc w:val="center"/>
        <w:ind w:right="-199"/>
        <w:spacing w:after="0"/>
        <w:rPr>
          <w:sz w:val="20"/>
          <w:szCs w:val="20"/>
          <w:color w:val="auto"/>
        </w:rPr>
      </w:pPr>
      <w:r>
        <w:rPr>
          <w:rFonts w:ascii="Arial" w:cs="Arial" w:eastAsia="Arial" w:hAnsi="Arial"/>
          <w:sz w:val="18"/>
          <w:szCs w:val="18"/>
          <w:color w:val="auto"/>
        </w:rPr>
        <w:t>STATE OF CONNECTICUT</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SECRETARY OF THE STATE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 TRINITY STREET</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HARTFORD, CT 06106</w:t>
      </w:r>
    </w:p>
    <w:p>
      <w:pPr>
        <w:spacing w:after="0" w:line="23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 of Corporation (Please enter name within lines)</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PHOTRONICS, INC.</w:t>
      </w:r>
    </w:p>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Certificate if Incorporation is: (Check one)</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x A.</w:t>
      </w:r>
      <w:r>
        <w:rPr>
          <w:rFonts w:ascii="Arial" w:cs="Arial" w:eastAsia="Arial" w:hAnsi="Arial"/>
          <w:sz w:val="16"/>
          <w:szCs w:val="16"/>
          <w:color w:val="auto"/>
        </w:rPr>
        <w:t>Amended only, pursuant to Conn. Gen. Stat. Section 33-360.</w:t>
      </w:r>
    </w:p>
    <w:p>
      <w:pPr>
        <w:spacing w:after="0" w:line="225" w:lineRule="exact"/>
        <w:rPr>
          <w:sz w:val="20"/>
          <w:szCs w:val="20"/>
          <w:color w:val="auto"/>
        </w:rPr>
      </w:pPr>
    </w:p>
    <w:p>
      <w:pPr>
        <w:ind w:left="1200" w:right="160" w:hanging="854"/>
        <w:spacing w:after="0" w:line="277" w:lineRule="auto"/>
        <w:tabs>
          <w:tab w:leader="none" w:pos="57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B.Amended only, to cancel authorized shares (state number of shares to be cancelled, the class, the series, if any, and the par value, P.A. 90-107.)</w:t>
      </w:r>
    </w:p>
    <w:p>
      <w:pPr>
        <w:spacing w:after="0" w:line="170" w:lineRule="exact"/>
        <w:rPr>
          <w:rFonts w:ascii="Arial" w:cs="Arial" w:eastAsia="Arial" w:hAnsi="Arial"/>
          <w:sz w:val="18"/>
          <w:szCs w:val="18"/>
          <w:color w:val="auto"/>
        </w:rPr>
      </w:pPr>
    </w:p>
    <w:p>
      <w:pPr>
        <w:ind w:left="580" w:hanging="234"/>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Restated only, pursuant to Conn. Gen. Stat. Section 33-362(a)</w:t>
      </w:r>
    </w:p>
    <w:p>
      <w:pPr>
        <w:spacing w:after="0" w:line="225" w:lineRule="exact"/>
        <w:rPr>
          <w:rFonts w:ascii="Arial" w:cs="Arial" w:eastAsia="Arial" w:hAnsi="Arial"/>
          <w:sz w:val="18"/>
          <w:szCs w:val="18"/>
          <w:color w:val="auto"/>
        </w:rPr>
      </w:pPr>
    </w:p>
    <w:p>
      <w:pPr>
        <w:ind w:left="580" w:hanging="234"/>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color w:val="auto"/>
        </w:rPr>
        <w:t>Amended and restated, pursuant to Conn. Gen. Stat. Section 33-362(c).</w:t>
      </w:r>
    </w:p>
    <w:p>
      <w:pPr>
        <w:spacing w:after="0" w:line="225" w:lineRule="exact"/>
        <w:rPr>
          <w:rFonts w:ascii="Arial" w:cs="Arial" w:eastAsia="Arial" w:hAnsi="Arial"/>
          <w:sz w:val="18"/>
          <w:szCs w:val="18"/>
          <w:color w:val="auto"/>
        </w:rPr>
      </w:pPr>
    </w:p>
    <w:p>
      <w:pPr>
        <w:ind w:left="580" w:hanging="234"/>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5"/>
          <w:szCs w:val="15"/>
          <w:color w:val="auto"/>
        </w:rPr>
        <w:t>Restated and superseded pursuant to Conn. Gen. Stat. Section 33-362(d).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Set forth here the resolution of amendment and/or restatement. Use an 8 1/2x11 attached sheet if more space is needed. Conn. Gen. Stat. Section 1-9.</w:t>
      </w:r>
    </w:p>
    <w:p>
      <w:pPr>
        <w:spacing w:after="0" w:line="2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RESOLVED, that the Certificate of Incorporation be amended by striking the first paragraph of Article Third in its entirety and substituting therefor the following:</w:t>
      </w:r>
    </w:p>
    <w:p>
      <w:pPr>
        <w:spacing w:after="0" w:line="184" w:lineRule="exact"/>
        <w:rPr>
          <w:sz w:val="20"/>
          <w:szCs w:val="20"/>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number of shares which the Corporation shall have the authority to issue is 22,000,000 shares, of which 2,000,000 shares shall be shares of Preferred Stock having a par value of $0.01 per share (hereinafter called "Preferred Stock") and 20,000,000 shares shall be shares of Common Stock having a par value of $0.01 per share(hereinafter called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2A or 2B is checked, go to 5 &amp; 6 to complete this certificate. If 2C or 2D is checked, complete 3A or 3B. If 2E is checked, complete 4.)</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one)</w:t>
      </w:r>
    </w:p>
    <w:p>
      <w:pPr>
        <w:spacing w:after="0" w:line="225" w:lineRule="exact"/>
        <w:rPr>
          <w:rFonts w:ascii="Arial" w:cs="Arial" w:eastAsia="Arial" w:hAnsi="Arial"/>
          <w:sz w:val="18"/>
          <w:szCs w:val="18"/>
          <w:color w:val="auto"/>
        </w:rPr>
      </w:pPr>
    </w:p>
    <w:p>
      <w:pPr>
        <w:ind w:left="800" w:hanging="446"/>
        <w:spacing w:after="0" w:line="31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This Certificate purports merely to restate but not to change the provisions of the original Certificate of Incorporation as supplemented and amended to date, and there is no discrepancy between the provisions of the original Certificate of Incorporation as supplemented and amended to date, and the provisions of this Restated Certificate of Incorporation. (If 3A is checked, go to 5 &amp; 6 to complete this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77" w:name="page78"/>
    <w:bookmarkEnd w:id="77"/>
    <w:p>
      <w:pPr>
        <w:ind w:left="820" w:right="300" w:hanging="461"/>
        <w:spacing w:after="0" w:line="308" w:lineRule="auto"/>
        <w:tabs>
          <w:tab w:leader="none" w:pos="8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B. This Restated Certificate of Incorporation shall give effect to the amendment(s) and purports to restate all those provisions now in effect not being amended by such new amendment(s). (If 3B is checked, check 4, if true, and go to 5 &amp; 6 to complete this Certificate.)</w:t>
      </w:r>
    </w:p>
    <w:p>
      <w:pPr>
        <w:spacing w:after="0" w:line="146" w:lineRule="exact"/>
        <w:rPr>
          <w:rFonts w:ascii="Arial" w:cs="Arial" w:eastAsia="Arial" w:hAnsi="Arial"/>
          <w:sz w:val="17"/>
          <w:szCs w:val="17"/>
          <w:color w:val="auto"/>
        </w:rPr>
      </w:pP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true)</w:t>
      </w:r>
    </w:p>
    <w:p>
      <w:pPr>
        <w:spacing w:after="0" w:line="225" w:lineRule="exact"/>
        <w:rPr>
          <w:rFonts w:ascii="Arial" w:cs="Arial" w:eastAsia="Arial" w:hAnsi="Arial"/>
          <w:sz w:val="18"/>
          <w:szCs w:val="18"/>
          <w:color w:val="auto"/>
        </w:rPr>
      </w:pPr>
    </w:p>
    <w:p>
      <w:pPr>
        <w:ind w:left="820" w:right="660" w:hanging="461"/>
        <w:spacing w:after="0" w:line="277" w:lineRule="auto"/>
        <w:tabs>
          <w:tab w:leader="none" w:pos="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This restated Certificate of Incorporation was adopted by the greatest vote which would have been required to amend any provision of the Certificate of Incorporation as in effect before such vote and supersedes such Certificate of Incorporation.</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manner of adopting the resolution was as follow</w:t>
      </w:r>
    </w:p>
    <w:p>
      <w:pPr>
        <w:spacing w:after="0" w:line="225" w:lineRule="exact"/>
        <w:rPr>
          <w:rFonts w:ascii="Arial" w:cs="Arial" w:eastAsia="Arial" w:hAnsi="Arial"/>
          <w:sz w:val="18"/>
          <w:szCs w:val="18"/>
          <w:color w:val="auto"/>
        </w:rPr>
      </w:pPr>
    </w:p>
    <w:p>
      <w:pPr>
        <w:ind w:left="820" w:right="3920" w:hanging="459"/>
        <w:spacing w:after="0" w:line="277" w:lineRule="auto"/>
        <w:rPr>
          <w:rFonts w:ascii="Arial" w:cs="Arial" w:eastAsia="Arial" w:hAnsi="Arial"/>
          <w:sz w:val="18"/>
          <w:szCs w:val="18"/>
          <w:color w:val="auto"/>
        </w:rPr>
      </w:pPr>
      <w:r>
        <w:rPr>
          <w:rFonts w:ascii="Arial" w:cs="Arial" w:eastAsia="Arial" w:hAnsi="Arial"/>
          <w:sz w:val="18"/>
          <w:szCs w:val="18"/>
          <w:color w:val="auto"/>
        </w:rPr>
        <w:t>xA. By the board of directors and shareholders pursuant to Conn. Gen. Stat. Section 33 – 360. Vote of Shareholders: (Check (i) or (ii), and check (iii) if applicable.)</w:t>
      </w:r>
    </w:p>
    <w:p>
      <w:pPr>
        <w:spacing w:after="0" w:line="170"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(i) x   No shares are required to be voted as a class; the shareholder's vote was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Vote Required for Adoption </w:t>
      </w:r>
      <w:r>
        <w:rPr>
          <w:rFonts w:ascii="Arial" w:cs="Arial" w:eastAsia="Arial" w:hAnsi="Arial"/>
          <w:sz w:val="18"/>
          <w:szCs w:val="18"/>
          <w:u w:val="single" w:color="auto"/>
          <w:color w:val="auto"/>
        </w:rPr>
        <w:t>3,288,639</w:t>
      </w:r>
      <w:r>
        <w:rPr>
          <w:rFonts w:ascii="Arial" w:cs="Arial" w:eastAsia="Arial" w:hAnsi="Arial"/>
          <w:sz w:val="18"/>
          <w:szCs w:val="18"/>
          <w:color w:val="auto"/>
        </w:rPr>
        <w:t xml:space="preserve"> Vote Favoring Adoption </w:t>
      </w:r>
      <w:r>
        <w:rPr>
          <w:rFonts w:ascii="Arial" w:cs="Arial" w:eastAsia="Arial" w:hAnsi="Arial"/>
          <w:sz w:val="18"/>
          <w:szCs w:val="18"/>
          <w:u w:val="single" w:color="auto"/>
          <w:color w:val="auto"/>
        </w:rPr>
        <w:t>5,151,790</w:t>
      </w:r>
    </w:p>
    <w:p>
      <w:pPr>
        <w:spacing w:after="0" w:line="225" w:lineRule="exact"/>
        <w:rPr>
          <w:sz w:val="20"/>
          <w:szCs w:val="20"/>
          <w:color w:val="auto"/>
        </w:rPr>
      </w:pPr>
    </w:p>
    <w:p>
      <w:pPr>
        <w:ind w:left="1380" w:right="40" w:hanging="562"/>
        <w:spacing w:after="0" w:line="258" w:lineRule="auto"/>
        <w:tabs>
          <w:tab w:leader="none" w:pos="10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o There are shares of more than one class entitled to vote as a class. The designation of each class required for adoption of the resolution and the vote of each class in favor of adoption were as follows:</w:t>
      </w:r>
    </w:p>
    <w:p>
      <w:pPr>
        <w:spacing w:after="0" w:line="1"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(Use and 8 1/2 x 11 attached sheet if more space is needed. Conn. Gen. Stat. (S) 1 - 9.)</w:t>
      </w:r>
    </w:p>
    <w:p>
      <w:pPr>
        <w:spacing w:after="0" w:line="210" w:lineRule="exact"/>
        <w:rPr>
          <w:rFonts w:ascii="Arial" w:cs="Arial" w:eastAsia="Arial" w:hAnsi="Arial"/>
          <w:sz w:val="18"/>
          <w:szCs w:val="18"/>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x  Check here if the corporation has 100 or more recordholders, as defined in Conn. Gen. Stat. (S) 33 - 311a(a)</w:t>
      </w:r>
    </w:p>
    <w:p>
      <w:pPr>
        <w:spacing w:after="0" w:line="225" w:lineRule="exact"/>
        <w:rPr>
          <w:sz w:val="20"/>
          <w:szCs w:val="20"/>
          <w:color w:val="auto"/>
        </w:rPr>
      </w:pPr>
    </w:p>
    <w:p>
      <w:pPr>
        <w:ind w:left="820" w:right="3260" w:hanging="461"/>
        <w:spacing w:after="0" w:line="563" w:lineRule="auto"/>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 By the board of directors acting alone, pursuant to Conn. Gen. Stat.(S) 33 - 360(b)(2) or 33-362(a). The number of affirmative votes required to adopt such resolution is: _______________________</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number of directors' voted in favor of resolution was: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hereby declare, under the penalties of false statement, that the statements made in the foregoing certificate are true: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(Print or Type)</w:t>
            </w:r>
          </w:p>
        </w:tc>
        <w:tc>
          <w:tcPr>
            <w:tcW w:w="3180" w:type="dxa"/>
            <w:vAlign w:val="bottom"/>
          </w:tcPr>
          <w:p>
            <w:pPr>
              <w:jc w:val="center"/>
              <w:ind w:left="210"/>
              <w:spacing w:after="0"/>
              <w:rPr>
                <w:sz w:val="20"/>
                <w:szCs w:val="20"/>
                <w:color w:val="auto"/>
              </w:rPr>
            </w:pPr>
            <w:r>
              <w:rPr>
                <w:rFonts w:ascii="Arial" w:cs="Arial" w:eastAsia="Arial" w:hAnsi="Arial"/>
                <w:sz w:val="18"/>
                <w:szCs w:val="18"/>
                <w:color w:val="auto"/>
                <w:w w:val="88"/>
              </w:rPr>
              <w:t>Signature</w:t>
            </w:r>
          </w:p>
        </w:tc>
        <w:tc>
          <w:tcPr>
            <w:tcW w:w="2920" w:type="dxa"/>
            <w:vAlign w:val="bottom"/>
          </w:tcPr>
          <w:p>
            <w:pPr>
              <w:ind w:left="600"/>
              <w:spacing w:after="0"/>
              <w:rPr>
                <w:sz w:val="20"/>
                <w:szCs w:val="20"/>
                <w:color w:val="auto"/>
              </w:rPr>
            </w:pPr>
            <w:r>
              <w:rPr>
                <w:rFonts w:ascii="Arial" w:cs="Arial" w:eastAsia="Arial" w:hAnsi="Arial"/>
                <w:sz w:val="18"/>
                <w:szCs w:val="18"/>
                <w:color w:val="auto"/>
              </w:rPr>
              <w:t>(Print or Type)</w:t>
            </w:r>
          </w:p>
        </w:tc>
        <w:tc>
          <w:tcPr>
            <w:tcW w:w="2940" w:type="dxa"/>
            <w:vAlign w:val="bottom"/>
          </w:tcPr>
          <w:p>
            <w:pPr>
              <w:jc w:val="center"/>
              <w:ind w:left="510"/>
              <w:spacing w:after="0"/>
              <w:rPr>
                <w:sz w:val="20"/>
                <w:szCs w:val="20"/>
                <w:color w:val="auto"/>
              </w:rPr>
            </w:pPr>
            <w:r>
              <w:rPr>
                <w:rFonts w:ascii="Arial" w:cs="Arial" w:eastAsia="Arial" w:hAnsi="Arial"/>
                <w:sz w:val="18"/>
                <w:szCs w:val="18"/>
                <w:color w:val="auto"/>
                <w:w w:val="90"/>
              </w:rPr>
              <w:t>Signature</w:t>
            </w: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Name of Pres.</w:t>
            </w:r>
          </w:p>
        </w:tc>
        <w:tc>
          <w:tcPr>
            <w:tcW w:w="3180" w:type="dxa"/>
            <w:vAlign w:val="bottom"/>
          </w:tcPr>
          <w:p>
            <w:pPr>
              <w:spacing w:after="0"/>
              <w:rPr>
                <w:sz w:val="24"/>
                <w:szCs w:val="24"/>
                <w:color w:val="auto"/>
              </w:rPr>
            </w:pPr>
          </w:p>
        </w:tc>
        <w:tc>
          <w:tcPr>
            <w:tcW w:w="2920" w:type="dxa"/>
            <w:vAlign w:val="bottom"/>
          </w:tcPr>
          <w:p>
            <w:pPr>
              <w:ind w:left="600"/>
              <w:spacing w:after="0"/>
              <w:rPr>
                <w:sz w:val="20"/>
                <w:szCs w:val="20"/>
                <w:color w:val="auto"/>
              </w:rPr>
            </w:pPr>
            <w:r>
              <w:rPr>
                <w:rFonts w:ascii="Arial" w:cs="Arial" w:eastAsia="Arial" w:hAnsi="Arial"/>
                <w:sz w:val="18"/>
                <w:szCs w:val="18"/>
                <w:color w:val="auto"/>
              </w:rPr>
              <w:t>Name of Sec.</w:t>
            </w:r>
          </w:p>
        </w:tc>
        <w:tc>
          <w:tcPr>
            <w:tcW w:w="294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Michael J. Yomazzo</w:t>
            </w:r>
          </w:p>
        </w:tc>
        <w:tc>
          <w:tcPr>
            <w:tcW w:w="3180" w:type="dxa"/>
            <w:vAlign w:val="bottom"/>
          </w:tcPr>
          <w:p>
            <w:pPr>
              <w:jc w:val="center"/>
              <w:ind w:left="210"/>
              <w:spacing w:after="0"/>
              <w:rPr>
                <w:sz w:val="20"/>
                <w:szCs w:val="20"/>
                <w:color w:val="auto"/>
              </w:rPr>
            </w:pPr>
            <w:r>
              <w:rPr>
                <w:rFonts w:ascii="Arial" w:cs="Arial" w:eastAsia="Arial" w:hAnsi="Arial"/>
                <w:sz w:val="18"/>
                <w:szCs w:val="18"/>
                <w:color w:val="auto"/>
                <w:w w:val="90"/>
              </w:rPr>
              <w:t>/s/ Michael J. Yomazzo</w:t>
            </w:r>
          </w:p>
        </w:tc>
        <w:tc>
          <w:tcPr>
            <w:tcW w:w="2920" w:type="dxa"/>
            <w:vAlign w:val="bottom"/>
          </w:tcPr>
          <w:p>
            <w:pPr>
              <w:ind w:left="600"/>
              <w:spacing w:after="0"/>
              <w:rPr>
                <w:sz w:val="20"/>
                <w:szCs w:val="20"/>
                <w:color w:val="auto"/>
              </w:rPr>
            </w:pPr>
            <w:r>
              <w:rPr>
                <w:rFonts w:ascii="Arial" w:cs="Arial" w:eastAsia="Arial" w:hAnsi="Arial"/>
                <w:sz w:val="18"/>
                <w:szCs w:val="18"/>
                <w:color w:val="auto"/>
              </w:rPr>
              <w:t>Jeffrey P. Moonan</w:t>
            </w:r>
          </w:p>
        </w:tc>
        <w:tc>
          <w:tcPr>
            <w:tcW w:w="2940" w:type="dxa"/>
            <w:vAlign w:val="bottom"/>
          </w:tcPr>
          <w:p>
            <w:pPr>
              <w:jc w:val="center"/>
              <w:ind w:left="510"/>
              <w:spacing w:after="0"/>
              <w:rPr>
                <w:sz w:val="20"/>
                <w:szCs w:val="20"/>
                <w:color w:val="auto"/>
              </w:rPr>
            </w:pPr>
            <w:r>
              <w:rPr>
                <w:rFonts w:ascii="Arial" w:cs="Arial" w:eastAsia="Arial" w:hAnsi="Arial"/>
                <w:sz w:val="18"/>
                <w:szCs w:val="18"/>
                <w:color w:val="auto"/>
                <w:w w:val="90"/>
              </w:rPr>
              <w:t>/s/ Jeffrey P. Moonan</w:t>
            </w:r>
          </w:p>
        </w:tc>
      </w:tr>
      <w:tr>
        <w:trPr>
          <w:trHeight w:val="426"/>
        </w:trPr>
        <w:tc>
          <w:tcPr>
            <w:tcW w:w="23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8" w:name="page79"/>
    <w:bookmarkEnd w:id="78"/>
    <w:p>
      <w:pPr>
        <w:ind w:left="340" w:right="6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C. The corporation does not have any shareholders. The resolution was adopted by vote of at least two-thirds of the incorporators before the organization meeting of the corporation and approved in writing by all subscribers for shares of the corporation. If there are no subscribers, state </w:t>
      </w:r>
      <w:r>
        <w:rPr>
          <w:rFonts w:ascii="Arial" w:cs="Arial" w:eastAsia="Arial" w:hAnsi="Arial"/>
          <w:sz w:val="16"/>
          <w:szCs w:val="16"/>
          <w:u w:val="single" w:color="auto"/>
          <w:color w:val="auto"/>
        </w:rPr>
        <w:t>NONE</w:t>
      </w:r>
      <w:r>
        <w:rPr>
          <w:rFonts w:ascii="Arial" w:cs="Arial" w:eastAsia="Arial" w:hAnsi="Arial"/>
          <w:sz w:val="16"/>
          <w:szCs w:val="16"/>
          <w:color w:val="auto"/>
        </w:rPr>
        <w:t xml:space="preserve"> below.</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(at least two-thirds of the incorporators) hereby declare, under the penalties of false statement, that the statements made in the foregoing certificate are true.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Signed Incorporator</w:t>
            </w:r>
          </w:p>
        </w:tc>
        <w:tc>
          <w:tcPr>
            <w:tcW w:w="3800" w:type="dxa"/>
            <w:vAlign w:val="bottom"/>
          </w:tcPr>
          <w:p>
            <w:pPr>
              <w:ind w:left="1180"/>
              <w:spacing w:after="0"/>
              <w:rPr>
                <w:sz w:val="20"/>
                <w:szCs w:val="20"/>
                <w:color w:val="auto"/>
              </w:rPr>
            </w:pPr>
            <w:r>
              <w:rPr>
                <w:rFonts w:ascii="Arial" w:cs="Arial" w:eastAsia="Arial" w:hAnsi="Arial"/>
                <w:sz w:val="18"/>
                <w:szCs w:val="18"/>
                <w:color w:val="auto"/>
              </w:rPr>
              <w:t>Signed Incorporator</w:t>
            </w:r>
          </w:p>
        </w:tc>
        <w:tc>
          <w:tcPr>
            <w:tcW w:w="5000" w:type="dxa"/>
            <w:vAlign w:val="bottom"/>
          </w:tcPr>
          <w:p>
            <w:pPr>
              <w:ind w:left="1200"/>
              <w:spacing w:after="0"/>
              <w:rPr>
                <w:sz w:val="20"/>
                <w:szCs w:val="20"/>
                <w:color w:val="auto"/>
              </w:rPr>
            </w:pPr>
            <w:r>
              <w:rPr>
                <w:rFonts w:ascii="Arial" w:cs="Arial" w:eastAsia="Arial" w:hAnsi="Arial"/>
                <w:sz w:val="18"/>
                <w:szCs w:val="18"/>
                <w:color w:val="auto"/>
              </w:rPr>
              <w:t>Signed Incorporator</w:t>
            </w:r>
          </w:p>
        </w:tc>
      </w:tr>
      <w:tr>
        <w:trPr>
          <w:trHeight w:val="237"/>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Signed Subscriber</w:t>
            </w:r>
          </w:p>
        </w:tc>
        <w:tc>
          <w:tcPr>
            <w:tcW w:w="38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Signed Subscriber</w:t>
            </w:r>
          </w:p>
        </w:tc>
        <w:tc>
          <w:tcPr>
            <w:tcW w:w="500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Signed Subscriber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(Use an 8 1/2 x 11 attached sheet if more space is needed. Conn. Gen. Stat (S) 1 - 9)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 Dated at Brookfield, CT this 16th day of March, 1995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Rec, CC. GS: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CT Corporation System</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One Commercial Plaza</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Hartford, CT 06103-3597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Please provide filer's name and complete address for mailing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jc w:val="center"/>
        <w:ind w:right="-11"/>
        <w:spacing w:after="0"/>
        <w:rPr>
          <w:sz w:val="20"/>
          <w:szCs w:val="20"/>
          <w:color w:val="auto"/>
        </w:rPr>
      </w:pPr>
      <w:r>
        <w:rPr>
          <w:rFonts w:ascii="Arial" w:cs="Arial" w:eastAsia="Arial" w:hAnsi="Arial"/>
          <w:sz w:val="18"/>
          <w:szCs w:val="18"/>
          <w:color w:val="auto"/>
        </w:rPr>
        <w:t>CERTIFICATE AMENDING</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PHOTRONIC LABS, INC.</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BY ACTION OF</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BOARD OF DIRECTORS AND SHAREHOLDERS</w:t>
      </w:r>
    </w:p>
    <w:p>
      <w:pPr>
        <w:spacing w:after="0" w:line="211" w:lineRule="exact"/>
        <w:rPr>
          <w:sz w:val="20"/>
          <w:szCs w:val="20"/>
          <w:color w:val="auto"/>
        </w:rPr>
      </w:pPr>
    </w:p>
    <w:p>
      <w:pPr>
        <w:ind w:left="172" w:hanging="172"/>
        <w:spacing w:after="0"/>
        <w:tabs>
          <w:tab w:leader="none" w:pos="1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Certificate of Incorporation is amended only by the following resolutions adopted by the Corporations' shareholders and directors:</w:t>
      </w:r>
    </w:p>
    <w:p>
      <w:pPr>
        <w:spacing w:after="0" w:line="252" w:lineRule="exact"/>
        <w:rPr>
          <w:rFonts w:ascii="Arial" w:cs="Arial" w:eastAsia="Arial" w:hAnsi="Arial"/>
          <w:sz w:val="18"/>
          <w:szCs w:val="18"/>
          <w:color w:val="auto"/>
        </w:rPr>
      </w:pPr>
    </w:p>
    <w:p>
      <w:pPr>
        <w:ind w:left="172" w:right="420"/>
        <w:spacing w:after="0" w:line="277" w:lineRule="auto"/>
        <w:rPr>
          <w:rFonts w:ascii="Arial" w:cs="Arial" w:eastAsia="Arial" w:hAnsi="Arial"/>
          <w:sz w:val="18"/>
          <w:szCs w:val="18"/>
          <w:color w:val="auto"/>
        </w:rPr>
      </w:pPr>
      <w:r>
        <w:rPr>
          <w:rFonts w:ascii="Arial" w:cs="Arial" w:eastAsia="Arial" w:hAnsi="Arial"/>
          <w:sz w:val="18"/>
          <w:szCs w:val="18"/>
          <w:color w:val="auto"/>
        </w:rPr>
        <w:t>RESOLVED, that the Certificate of Incorporation of the Corporation be amended by striking Article FIRST in its entirety and substituting therefor the following:</w:t>
      </w:r>
    </w:p>
    <w:p>
      <w:pPr>
        <w:spacing w:after="0" w:line="197" w:lineRule="exact"/>
        <w:rPr>
          <w:rFonts w:ascii="Arial" w:cs="Arial" w:eastAsia="Arial" w:hAnsi="Arial"/>
          <w:sz w:val="18"/>
          <w:szCs w:val="18"/>
          <w:color w:val="auto"/>
        </w:rPr>
      </w:pPr>
    </w:p>
    <w:p>
      <w:pPr>
        <w:ind w:left="172"/>
        <w:spacing w:after="0"/>
        <w:rPr>
          <w:rFonts w:ascii="Arial" w:cs="Arial" w:eastAsia="Arial" w:hAnsi="Arial"/>
          <w:sz w:val="18"/>
          <w:szCs w:val="18"/>
          <w:color w:val="auto"/>
        </w:rPr>
      </w:pPr>
      <w:r>
        <w:rPr>
          <w:rFonts w:ascii="Arial" w:cs="Arial" w:eastAsia="Arial" w:hAnsi="Arial"/>
          <w:sz w:val="18"/>
          <w:szCs w:val="18"/>
          <w:color w:val="auto"/>
        </w:rPr>
        <w:t>1)The name of the corporation is Photronics, Inc.;</w:t>
      </w:r>
    </w:p>
    <w:p>
      <w:pPr>
        <w:spacing w:after="0" w:line="252" w:lineRule="exact"/>
        <w:rPr>
          <w:sz w:val="20"/>
          <w:szCs w:val="20"/>
          <w:color w:val="auto"/>
        </w:rPr>
      </w:pPr>
    </w:p>
    <w:p>
      <w:pPr>
        <w:ind w:left="172"/>
        <w:spacing w:after="0"/>
        <w:rPr>
          <w:sz w:val="20"/>
          <w:szCs w:val="20"/>
          <w:color w:val="auto"/>
        </w:rPr>
      </w:pPr>
      <w:r>
        <w:rPr>
          <w:rFonts w:ascii="Arial" w:cs="Arial" w:eastAsia="Arial" w:hAnsi="Arial"/>
          <w:sz w:val="18"/>
          <w:szCs w:val="18"/>
          <w:color w:val="auto"/>
        </w:rPr>
        <w:t>Be it further</w:t>
      </w:r>
    </w:p>
    <w:p>
      <w:pPr>
        <w:spacing w:after="0" w:line="252" w:lineRule="exact"/>
        <w:rPr>
          <w:sz w:val="20"/>
          <w:szCs w:val="20"/>
          <w:color w:val="auto"/>
        </w:rPr>
      </w:pPr>
    </w:p>
    <w:p>
      <w:pPr>
        <w:ind w:left="172"/>
        <w:spacing w:after="0"/>
        <w:rPr>
          <w:sz w:val="20"/>
          <w:szCs w:val="20"/>
          <w:color w:val="auto"/>
        </w:rPr>
      </w:pPr>
      <w:r>
        <w:rPr>
          <w:rFonts w:ascii="Arial" w:cs="Arial" w:eastAsia="Arial" w:hAnsi="Arial"/>
          <w:sz w:val="18"/>
          <w:szCs w:val="18"/>
          <w:color w:val="auto"/>
        </w:rPr>
        <w:t>RESOLVED, that the Certificate of Incorporation be amended by striking Article Third in its entirety and substituting therefor the following:</w:t>
      </w:r>
    </w:p>
    <w:p>
      <w:pPr>
        <w:spacing w:after="0" w:line="252" w:lineRule="exact"/>
        <w:rPr>
          <w:sz w:val="20"/>
          <w:szCs w:val="20"/>
          <w:color w:val="auto"/>
        </w:rPr>
      </w:pPr>
    </w:p>
    <w:p>
      <w:pPr>
        <w:ind w:left="332" w:hanging="170"/>
        <w:spacing w:after="0" w:line="264" w:lineRule="auto"/>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number of shares which the Corporation shall have the authority to issue is 12,000,000 shares, of which 2,000,000 shares shall be shares of Preferred Stock having a par value of $.01 per share (hereinafter called "Preferred Stock") and 10,000,000 shares shall be shares of Common Stock having a par value of $.01 per share (hereinafter called "Common Stock").</w:t>
      </w:r>
    </w:p>
    <w:p>
      <w:pPr>
        <w:spacing w:after="0" w:line="208" w:lineRule="exact"/>
        <w:rPr>
          <w:sz w:val="20"/>
          <w:szCs w:val="20"/>
          <w:color w:val="auto"/>
        </w:rPr>
      </w:pPr>
    </w:p>
    <w:p>
      <w:pPr>
        <w:ind w:left="332" w:right="480"/>
        <w:spacing w:after="0" w:line="277" w:lineRule="auto"/>
        <w:rPr>
          <w:sz w:val="20"/>
          <w:szCs w:val="20"/>
          <w:color w:val="auto"/>
        </w:rPr>
      </w:pPr>
      <w:r>
        <w:rPr>
          <w:rFonts w:ascii="Arial" w:cs="Arial" w:eastAsia="Arial" w:hAnsi="Arial"/>
          <w:sz w:val="18"/>
          <w:szCs w:val="18"/>
          <w:color w:val="auto"/>
        </w:rPr>
        <w:t>The designations and the powers, preferences and rights, and the qualifications, limitations or restrictions thereof, of the Preferred Stock shall be as follows:</w:t>
      </w:r>
    </w:p>
    <w:p>
      <w:pPr>
        <w:spacing w:after="0" w:line="197" w:lineRule="exact"/>
        <w:rPr>
          <w:sz w:val="20"/>
          <w:szCs w:val="20"/>
          <w:color w:val="auto"/>
        </w:rPr>
      </w:pPr>
    </w:p>
    <w:p>
      <w:pPr>
        <w:ind w:left="172" w:right="180" w:hanging="161"/>
        <w:spacing w:after="0" w:line="257" w:lineRule="auto"/>
        <w:rPr>
          <w:sz w:val="20"/>
          <w:szCs w:val="20"/>
          <w:color w:val="auto"/>
        </w:rPr>
      </w:pPr>
      <w:r>
        <w:rPr>
          <w:rFonts w:ascii="Arial" w:cs="Arial" w:eastAsia="Arial" w:hAnsi="Arial"/>
          <w:sz w:val="18"/>
          <w:szCs w:val="18"/>
          <w:color w:val="auto"/>
        </w:rPr>
        <w:t>a)The Board of Directors is expressly authorized at any time, and from time to time, to provide for the issuance of shares of Preferred Stock in one or more series, with such voting powers, full or limited, or without voting powers and with such designations, preferences and relative, participating, optional or other special rights, and qualifications, limitations or restrictions thereof, as shall be stated and expressed in the resolution or resolutions providing for the issue thereof adopted by the Board of Directors, and as are not stated and expressed in this Certificate of Incorporation, or any amendment thereto, including (but without limiting the generality of the foregoing) the following:</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80" w:name="page81"/>
    <w:bookmarkEnd w:id="80"/>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designation of such series;</w:t>
      </w:r>
    </w:p>
    <w:p>
      <w:pPr>
        <w:spacing w:after="0" w:line="252" w:lineRule="exact"/>
        <w:rPr>
          <w:rFonts w:ascii="Arial" w:cs="Arial" w:eastAsia="Arial" w:hAnsi="Arial"/>
          <w:sz w:val="18"/>
          <w:szCs w:val="18"/>
          <w:color w:val="auto"/>
        </w:rPr>
      </w:pPr>
    </w:p>
    <w:p>
      <w:pPr>
        <w:jc w:val="both"/>
        <w:ind w:left="340" w:right="12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dividend rate of such series, the conditions and dates upon which such dividends shall be payable, the preference or relation which such dividends shall bear to the dividends payable on any other class or classes of any other series of capital stock, and whether such dividends shall be cumulative or non-cumulative;</w:t>
      </w:r>
    </w:p>
    <w:p>
      <w:pPr>
        <w:spacing w:after="0" w:line="20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shares of such series shall be subject to redemption by the Corporation, and, if made subject to such redemption, the times, prices and other terms and conditions of such redemption;</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and amount of any sinking fund provided for the purchase or redemption of the shares of such series;</w:t>
      </w:r>
    </w:p>
    <w:p>
      <w:pPr>
        <w:spacing w:after="0" w:line="252" w:lineRule="exact"/>
        <w:rPr>
          <w:rFonts w:ascii="Arial" w:cs="Arial" w:eastAsia="Arial" w:hAnsi="Arial"/>
          <w:sz w:val="18"/>
          <w:szCs w:val="18"/>
          <w:color w:val="auto"/>
        </w:rPr>
      </w:pPr>
    </w:p>
    <w:p>
      <w:pPr>
        <w:jc w:val="both"/>
        <w:ind w:left="340" w:right="64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or not the shares of such series shall be convertible into or exchangeable for shares or any other class or classes of capital stock of the Corporation, and, if provision be made for conversion or exchange, the times, prices, rates, adjustments, and other terms and conditions of such conversion or exchange;</w:t>
      </w:r>
    </w:p>
    <w:p>
      <w:pPr>
        <w:spacing w:after="0" w:line="208"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if any, to which the holders of the shares of such series shall be entitled to vote as a class or otherwise with respect to the election of the directors or otherwise;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(vii)The restrictions, if any, on the issue or release of any additional Preferred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(viii)The rights of the holders of the shares of such series upon the dissolution of, or upon the distribution of assets of, the Corporation.</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81" w:name="page82"/>
    <w:bookmarkEnd w:id="81"/>
    <w:p>
      <w:pPr>
        <w:ind w:left="180" w:right="360" w:hanging="161"/>
        <w:spacing w:after="0" w:line="342" w:lineRule="auto"/>
        <w:rPr>
          <w:sz w:val="20"/>
          <w:szCs w:val="20"/>
          <w:color w:val="auto"/>
        </w:rPr>
      </w:pPr>
      <w:r>
        <w:rPr>
          <w:rFonts w:ascii="Arial" w:cs="Arial" w:eastAsia="Arial" w:hAnsi="Arial"/>
          <w:sz w:val="16"/>
          <w:szCs w:val="16"/>
          <w:color w:val="auto"/>
        </w:rPr>
        <w:t>b)Except as otherwise required by law and except for such voting powers with respect to the election of directors or other matters as may be stated in the resolutions of the Board of Directors creating any series of Preferred Stock,the holders of any such series shall have no voting power whatsoever.</w:t>
      </w:r>
    </w:p>
    <w:p>
      <w:pPr>
        <w:spacing w:after="0" w:line="151" w:lineRule="exact"/>
        <w:rPr>
          <w:sz w:val="20"/>
          <w:szCs w:val="20"/>
          <w:color w:val="auto"/>
        </w:rPr>
      </w:pPr>
    </w:p>
    <w:p>
      <w:pPr>
        <w:ind w:left="180" w:right="100"/>
        <w:spacing w:after="0" w:line="259" w:lineRule="auto"/>
        <w:rPr>
          <w:sz w:val="20"/>
          <w:szCs w:val="20"/>
          <w:color w:val="auto"/>
        </w:rPr>
      </w:pPr>
      <w:r>
        <w:rPr>
          <w:rFonts w:ascii="Arial" w:cs="Arial" w:eastAsia="Arial" w:hAnsi="Arial"/>
          <w:sz w:val="18"/>
          <w:szCs w:val="18"/>
          <w:color w:val="auto"/>
        </w:rPr>
        <w:t>Subject to the provisions of any applicable law, or except as otherwise provided by the resolution or resolutions providing for the issue of any series of Preferred Stock, the holders of outstanding shares of Common Stock shall exclusively possess voting power for the election of directors and for all other purposes, each holder of record of shares of Common Stock being entitled to one vote for each share of Common Stock standing in his name on the books of the Corporation.</w:t>
      </w:r>
    </w:p>
    <w:p>
      <w:pPr>
        <w:spacing w:after="0" w:line="214" w:lineRule="exact"/>
        <w:rPr>
          <w:sz w:val="20"/>
          <w:szCs w:val="20"/>
          <w:color w:val="auto"/>
        </w:rPr>
      </w:pPr>
    </w:p>
    <w:p>
      <w:pPr>
        <w:ind w:left="180" w:right="140"/>
        <w:spacing w:after="0" w:line="279" w:lineRule="auto"/>
        <w:rPr>
          <w:sz w:val="20"/>
          <w:szCs w:val="20"/>
          <w:color w:val="auto"/>
        </w:rPr>
      </w:pPr>
      <w:r>
        <w:rPr>
          <w:rFonts w:ascii="Arial" w:cs="Arial" w:eastAsia="Arial" w:hAnsi="Arial"/>
          <w:sz w:val="17"/>
          <w:szCs w:val="17"/>
          <w:color w:val="auto"/>
        </w:rPr>
        <w:t>Except as otherwise provided by the resolution or resolutions providing for the issue of any series of Preferred Stock, after payment shall have been made to the holders of Preferred Stock of the full amount of dividends to which they shall be entitled pursuant to the resolution or resolutions providing for the issue of any series of Preferred Stock, the holders of Common Stock shall be entitled, to the exclusion of the holders of Preferred Stock of any and all series, to receive such dividends as from time to time may be declared by the Board of Directors.</w:t>
      </w:r>
    </w:p>
    <w:p>
      <w:pPr>
        <w:spacing w:after="0" w:line="198" w:lineRule="exact"/>
        <w:rPr>
          <w:sz w:val="20"/>
          <w:szCs w:val="20"/>
          <w:color w:val="auto"/>
        </w:rPr>
      </w:pPr>
    </w:p>
    <w:p>
      <w:pPr>
        <w:ind w:left="180" w:right="40"/>
        <w:spacing w:after="0" w:line="276" w:lineRule="auto"/>
        <w:rPr>
          <w:sz w:val="20"/>
          <w:szCs w:val="20"/>
          <w:color w:val="auto"/>
        </w:rPr>
      </w:pPr>
      <w:r>
        <w:rPr>
          <w:rFonts w:ascii="Arial" w:cs="Arial" w:eastAsia="Arial" w:hAnsi="Arial"/>
          <w:sz w:val="17"/>
          <w:szCs w:val="17"/>
          <w:color w:val="auto"/>
        </w:rPr>
        <w:t>Except as otherwise provided by the resolution or resolutions providing for the issue of any series of Preferred Stock, in the event of any liquidation, dissolution or winding up of the Corporation, whether voluntary or involuntary,after payment shall have been made to the holders of Preferred Stock of the full amount to which they shall be entitled pursuant to the resolution or resolutions providing for the issue of any series of Preferred Stock, the holders of Common Stock shall be entitled, to the exclusion of the holders of Preferred Stock of any and all series, to share, ratably according to the number of shares of Common Stock held by them, in all remaining assets of the Corporation available for distribution to its shareholders.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Be it further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RESOLVED, that the Certificate of Incorporation of this Corporation be amended by adding Article EIGHTH in the following form:</w:t>
      </w:r>
    </w:p>
    <w:p>
      <w:pPr>
        <w:spacing w:after="0" w:line="252" w:lineRule="exact"/>
        <w:rPr>
          <w:sz w:val="20"/>
          <w:szCs w:val="20"/>
          <w:color w:val="auto"/>
        </w:rPr>
      </w:pPr>
    </w:p>
    <w:p>
      <w:pPr>
        <w:ind w:left="180" w:right="280" w:hanging="172"/>
        <w:spacing w:after="0" w:line="264"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shareholders of the Corporation shall not have any pre-emptive or preferential rights to subscribe for, purchase or receive any shares of stock of the Corporation (or any obligation convertible into shares of stock,including without limitation, warrants, subscription rights or options to acquire shares) which the Corporation may issue or sell.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 it further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RESOLVED,that the Certificate of Incorporation of this Corporation be amended by adding Article NINTH in the following form:</w:t>
      </w:r>
    </w:p>
    <w:p>
      <w:pPr>
        <w:spacing w:after="0" w:line="252" w:lineRule="exact"/>
        <w:rPr>
          <w:sz w:val="20"/>
          <w:szCs w:val="20"/>
          <w:color w:val="auto"/>
        </w:rPr>
      </w:pPr>
    </w:p>
    <w:p>
      <w:pPr>
        <w:ind w:left="180" w:hanging="172"/>
        <w:spacing w:after="0" w:line="289" w:lineRule="auto"/>
        <w:tabs>
          <w:tab w:leader="none" w:pos="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personal liability of any Director to the Corporation or its shareholders for monetary damages for breach of duty as a Director is hereby limited to the amount of the compensation received by the Director for serving the Corporation during the year of the violation if such breach did not (a) involve a knowing and culpable violation of law by the Director, (b) enable the Director or an associate, as defined in subdivision (3) of Section 33-374d of the Connecticut General Statutes, to receive an improper personal economic gain, (c) show a lack of good faith and a conscious disregard for the duty of the Director to the Corporation under circumstances in which the Director was aware that his conduct or omission created an unjustifiable risk of serious injury to the Corporation, (d) constitute a sustained and unexcused pattern of inattention that amounted to an abdication of the Director's duty to the Corporation, or (e) create liability under Section 33-321 of the Connecticut General Statutes. This Article shall not limit or preclude the liability of any Director for any act or omission occurring prior to the effective date of this Article. Any repeal or modification of this Article by the shareholders of the Corporation shall not adversely affect any right or protection of a Director of the Corporation existing at the time of such repeal or modification.</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2" w:name="page83"/>
    <w:bookmarkEnd w:id="82"/>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above resolutions were adopted by the Shareholders and the Board of Directors.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Number of Recordholders:</w:t>
      </w:r>
    </w:p>
    <w:p>
      <w:pPr>
        <w:spacing w:after="0" w:line="9" w:lineRule="exact"/>
        <w:rPr>
          <w:rFonts w:ascii="Arial" w:cs="Arial" w:eastAsia="Arial" w:hAnsi="Arial"/>
          <w:sz w:val="18"/>
          <w:szCs w:val="18"/>
          <w:color w:val="auto"/>
        </w:rPr>
      </w:pPr>
    </w:p>
    <w:p>
      <w:pPr>
        <w:ind w:left="340" w:right="880"/>
        <w:spacing w:after="0" w:line="250" w:lineRule="auto"/>
        <w:rPr>
          <w:rFonts w:ascii="Arial" w:cs="Arial" w:eastAsia="Arial" w:hAnsi="Arial"/>
          <w:sz w:val="18"/>
          <w:szCs w:val="18"/>
          <w:color w:val="auto"/>
        </w:rPr>
      </w:pPr>
      <w:r>
        <w:rPr>
          <w:rFonts w:ascii="Arial" w:cs="Arial" w:eastAsia="Arial" w:hAnsi="Arial"/>
          <w:sz w:val="18"/>
          <w:szCs w:val="18"/>
          <w:color w:val="auto"/>
        </w:rPr>
        <w:t>At the time of the shareholders vote approving these amendments to the Certificate of Incorporation, the Corporation had at least one hundred recordholders.</w:t>
      </w:r>
    </w:p>
    <w:p>
      <w:pPr>
        <w:spacing w:after="0"/>
        <w:rPr>
          <w:rFonts w:ascii="Arial" w:cs="Arial" w:eastAsia="Arial" w:hAnsi="Arial"/>
          <w:sz w:val="18"/>
          <w:szCs w:val="18"/>
          <w:color w:val="auto"/>
        </w:rPr>
      </w:pPr>
      <w:r>
        <w:rPr>
          <w:rFonts w:ascii="Arial" w:cs="Arial" w:eastAsia="Arial" w:hAnsi="Arial"/>
          <w:sz w:val="18"/>
          <w:szCs w:val="18"/>
          <w:color w:val="auto"/>
        </w:rPr>
        <w:t>IV) Vote of Shareholders: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Total Voting</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740" w:type="dxa"/>
            <w:vAlign w:val="bottom"/>
          </w:tcPr>
          <w:p>
            <w:pPr>
              <w:jc w:val="center"/>
              <w:spacing w:after="0"/>
              <w:rPr>
                <w:sz w:val="20"/>
                <w:szCs w:val="20"/>
                <w:color w:val="auto"/>
              </w:rPr>
            </w:pPr>
            <w:r>
              <w:rPr>
                <w:rFonts w:ascii="Arial" w:cs="Arial" w:eastAsia="Arial" w:hAnsi="Arial"/>
                <w:sz w:val="18"/>
                <w:szCs w:val="18"/>
                <w:color w:val="auto"/>
                <w:w w:val="90"/>
              </w:rPr>
              <w:t>Number of Shares</w:t>
            </w: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Power of Shares</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Vote Required</w:t>
            </w:r>
          </w:p>
        </w:tc>
        <w:tc>
          <w:tcPr>
            <w:tcW w:w="1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Favoring</w:t>
            </w:r>
          </w:p>
        </w:tc>
      </w:tr>
      <w:tr>
        <w:trPr>
          <w:trHeight w:val="237"/>
        </w:trPr>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Entitled to Vote</w:t>
            </w:r>
          </w:p>
        </w:tc>
        <w:tc>
          <w:tcPr>
            <w:tcW w:w="14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Entitled to Vote</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For Adoption</w:t>
            </w:r>
          </w:p>
        </w:tc>
        <w:tc>
          <w:tcPr>
            <w:tcW w:w="12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Adoption</w:t>
            </w:r>
          </w:p>
        </w:tc>
      </w:tr>
      <w:tr>
        <w:trPr>
          <w:trHeight w:val="216"/>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3,191,100</w:t>
            </w:r>
          </w:p>
        </w:tc>
        <w:tc>
          <w:tcPr>
            <w:tcW w:w="1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3,191,100</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1,594,801</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2,507,209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at Brookfield Center, Connecticut the 16th day of March, 1990.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hereby declare under the penalties of false statement that the statements made in the foregoing certificate are true.</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Constantine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14605</wp:posOffset>
            </wp:positionV>
            <wp:extent cx="28727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72740" cy="1714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Constantine Macricostas</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Jeffrey P. Moonan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14605</wp:posOffset>
            </wp:positionV>
            <wp:extent cx="287274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72740" cy="1714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Jeffrey P. Moonan</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CERTIFICATE AMENDING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PHOTRONIC LABS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ACTION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 AND SHAREHOLDERS</w:t>
      </w:r>
    </w:p>
    <w:p>
      <w:pPr>
        <w:spacing w:after="0" w:line="225" w:lineRule="exact"/>
        <w:rPr>
          <w:sz w:val="20"/>
          <w:szCs w:val="20"/>
          <w:color w:val="auto"/>
        </w:rPr>
      </w:pPr>
    </w:p>
    <w:p>
      <w:pPr>
        <w:ind w:left="180" w:right="820" w:hanging="172"/>
        <w:spacing w:after="0" w:line="501" w:lineRule="auto"/>
        <w:tabs>
          <w:tab w:leader="none" w:pos="1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Certificate of Incorporation is amended only by the following resolutions adopted by the Corporations' shareholders and directors: RESOLVED, that the Certificate of Incorporation of the Corporation be amended by striking Article FIRST in its entirety and replacing therefor: 1. The name of the Corporation is Photronic Labs, Inc.;</w:t>
      </w:r>
    </w:p>
    <w:p>
      <w:pPr>
        <w:ind w:left="180"/>
        <w:spacing w:after="0"/>
        <w:rPr>
          <w:sz w:val="20"/>
          <w:szCs w:val="20"/>
          <w:color w:val="auto"/>
        </w:rPr>
      </w:pPr>
      <w:r>
        <w:rPr>
          <w:rFonts w:ascii="Arial" w:cs="Arial" w:eastAsia="Arial" w:hAnsi="Arial"/>
          <w:sz w:val="18"/>
          <w:szCs w:val="18"/>
          <w:color w:val="auto"/>
        </w:rPr>
        <w:t>Be it further</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RESOLVED, that the Certificate of Incorporation of this Corporation be amended by striking Article Third in its entirety and substituting therefor:</w:t>
      </w:r>
    </w:p>
    <w:p>
      <w:pPr>
        <w:spacing w:after="0" w:line="237" w:lineRule="exact"/>
        <w:rPr>
          <w:sz w:val="20"/>
          <w:szCs w:val="20"/>
          <w:color w:val="auto"/>
        </w:rPr>
      </w:pPr>
    </w:p>
    <w:p>
      <w:pPr>
        <w:ind w:left="180" w:right="640" w:hanging="10"/>
        <w:spacing w:after="0" w:line="277"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total number of shares of stock which the Corporation shall have authority to issue is 5,000,000 shares with a par value of $.01 each shall be Common Stock.</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above resolutions were adopted by the Shareholders and the Board of Directors.</w:t>
      </w:r>
    </w:p>
    <w:p>
      <w:pPr>
        <w:spacing w:after="0" w:line="225" w:lineRule="exact"/>
        <w:rPr>
          <w:rFonts w:ascii="Arial" w:cs="Arial" w:eastAsia="Arial" w:hAnsi="Arial"/>
          <w:sz w:val="18"/>
          <w:szCs w:val="18"/>
          <w:color w:val="auto"/>
        </w:rPr>
      </w:pPr>
    </w:p>
    <w:p>
      <w:pPr>
        <w:ind w:left="360" w:hanging="190"/>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Vote of Shareholders: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Total Voting</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880" w:type="dxa"/>
            <w:vAlign w:val="bottom"/>
          </w:tcPr>
          <w:p>
            <w:pPr>
              <w:jc w:val="center"/>
              <w:spacing w:after="0"/>
              <w:rPr>
                <w:sz w:val="20"/>
                <w:szCs w:val="20"/>
                <w:color w:val="auto"/>
              </w:rPr>
            </w:pPr>
            <w:r>
              <w:rPr>
                <w:rFonts w:ascii="Arial" w:cs="Arial" w:eastAsia="Arial" w:hAnsi="Arial"/>
                <w:sz w:val="18"/>
                <w:szCs w:val="18"/>
                <w:color w:val="auto"/>
                <w:w w:val="90"/>
              </w:rPr>
              <w:t>Number of Shares</w:t>
            </w:r>
          </w:p>
        </w:tc>
        <w:tc>
          <w:tcPr>
            <w:tcW w:w="1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Power of Shares</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Vote Required</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Vote Favoring</w:t>
            </w:r>
          </w:p>
        </w:tc>
      </w:tr>
      <w:tr>
        <w:trPr>
          <w:trHeight w:val="237"/>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Entitled to Vote</w:t>
            </w:r>
          </w:p>
        </w:tc>
        <w:tc>
          <w:tcPr>
            <w:tcW w:w="12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Entitled to Vote</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For Adoption</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Adoption</w:t>
            </w:r>
          </w:p>
        </w:tc>
      </w:tr>
      <w:tr>
        <w:trPr>
          <w:trHeight w:val="216"/>
        </w:trPr>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4200</w:t>
            </w: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4200</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2101</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at Brookfield Center, Connecticut the 20th day of June,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We hereby declare under the penalties of false statement that the statements made in the foregoing certificate are true.</w:t>
      </w:r>
    </w:p>
    <w:p>
      <w:pPr>
        <w:spacing w:after="0" w:line="225" w:lineRule="exact"/>
        <w:rPr>
          <w:sz w:val="20"/>
          <w:szCs w:val="20"/>
          <w:color w:val="auto"/>
        </w:rPr>
      </w:pPr>
    </w:p>
    <w:p>
      <w:pPr>
        <w:jc w:val="right"/>
        <w:ind w:right="2400"/>
        <w:spacing w:after="0"/>
        <w:tabs>
          <w:tab w:leader="none" w:pos="4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Constantine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16"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Constantine Macricostas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jc w:val="right"/>
        <w:ind w:right="2700"/>
        <w:spacing w:after="0"/>
        <w:tabs>
          <w:tab w:leader="none" w:pos="4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J. Yomazzo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16" w:lineRule="exact"/>
        <w:rPr>
          <w:sz w:val="20"/>
          <w:szCs w:val="20"/>
          <w:color w:val="auto"/>
        </w:rPr>
      </w:pPr>
    </w:p>
    <w:p>
      <w:pPr>
        <w:jc w:val="right"/>
        <w:ind w:right="2700"/>
        <w:spacing w:after="0"/>
        <w:rPr>
          <w:sz w:val="20"/>
          <w:szCs w:val="20"/>
          <w:color w:val="auto"/>
        </w:rPr>
      </w:pPr>
      <w:r>
        <w:rPr>
          <w:rFonts w:ascii="Arial" w:cs="Arial" w:eastAsia="Arial" w:hAnsi="Arial"/>
          <w:sz w:val="18"/>
          <w:szCs w:val="18"/>
          <w:color w:val="auto"/>
        </w:rPr>
        <w:t>Michael J. Yomazzo</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 Rev. 9-65</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STATE OF CONNECTICUT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SECRETARY OF THE STATE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the incorporators, certify that we hereby associate ourselves as a body politic and corporate under the Stock Corporation Act of the State of Connecticut.</w:t>
      </w:r>
    </w:p>
    <w:p>
      <w:pPr>
        <w:spacing w:after="0" w:line="248"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of the corporation is Photronic Labs Incorparated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nature of the business to be transacted, or the purpose to be promoted or carried out by the corporation,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a)To engage and participate in the business of precision scientific photography and related processes.</w:t>
      </w:r>
    </w:p>
    <w:p>
      <w:pPr>
        <w:spacing w:after="0" w:line="23" w:lineRule="exact"/>
        <w:rPr>
          <w:sz w:val="20"/>
          <w:szCs w:val="20"/>
          <w:color w:val="auto"/>
        </w:rPr>
      </w:pPr>
    </w:p>
    <w:p>
      <w:pPr>
        <w:ind w:left="180" w:right="420" w:hanging="161"/>
        <w:spacing w:after="0" w:line="250" w:lineRule="auto"/>
        <w:rPr>
          <w:sz w:val="20"/>
          <w:szCs w:val="20"/>
          <w:color w:val="auto"/>
        </w:rPr>
      </w:pPr>
      <w:r>
        <w:rPr>
          <w:rFonts w:ascii="Arial" w:cs="Arial" w:eastAsia="Arial" w:hAnsi="Arial"/>
          <w:sz w:val="18"/>
          <w:szCs w:val="18"/>
          <w:color w:val="auto"/>
        </w:rPr>
        <w:t>b)To purchase or otherwise acquire, own, mortgage, lease, sell, convey or otherwise dispose of or utilize or deal in and with real property, goods, wares, merchandise and personal property of every kind and description and wherever located.</w:t>
      </w:r>
    </w:p>
    <w:p>
      <w:pPr>
        <w:spacing w:after="0" w:line="1" w:lineRule="exact"/>
        <w:rPr>
          <w:sz w:val="20"/>
          <w:szCs w:val="20"/>
          <w:color w:val="auto"/>
        </w:rPr>
      </w:pPr>
    </w:p>
    <w:p>
      <w:pPr>
        <w:ind w:left="180" w:hanging="161"/>
        <w:spacing w:after="0" w:line="265" w:lineRule="auto"/>
        <w:rPr>
          <w:sz w:val="20"/>
          <w:szCs w:val="20"/>
          <w:color w:val="auto"/>
        </w:rPr>
      </w:pPr>
      <w:r>
        <w:rPr>
          <w:rFonts w:ascii="Arial" w:cs="Arial" w:eastAsia="Arial" w:hAnsi="Arial"/>
          <w:sz w:val="17"/>
          <w:szCs w:val="17"/>
          <w:color w:val="auto"/>
        </w:rPr>
        <w:t>c)To carry on any other lawful business whatever in connection with the foregoing, or calculated directly or indirectly, to promote the interests of this corporation, or to enhance the value of its properties; to have, enjoy, and exercise all rights, powers and privileges which are now or may hereafter be conferred upon business corporations organized under the general corporation laws of Connecticut; to do any and all things necessary or proper for the accomplishment of any of the purposes or the attainment of any objects hereinbefore set forth, and in general to do every other act or thing pertaining to the foregoing purposes or powers to the same extent that a natural person might lawfully do in any part of the world.</w:t>
      </w:r>
    </w:p>
    <w:p>
      <w:pPr>
        <w:spacing w:after="0" w:line="1" w:lineRule="exact"/>
        <w:rPr>
          <w:sz w:val="20"/>
          <w:szCs w:val="20"/>
          <w:color w:val="auto"/>
        </w:rPr>
      </w:pPr>
    </w:p>
    <w:p>
      <w:pPr>
        <w:ind w:left="180" w:right="220" w:hanging="161"/>
        <w:spacing w:after="0" w:line="302" w:lineRule="auto"/>
        <w:rPr>
          <w:sz w:val="20"/>
          <w:szCs w:val="20"/>
          <w:color w:val="auto"/>
        </w:rPr>
      </w:pPr>
      <w:r>
        <w:rPr>
          <w:rFonts w:ascii="Arial" w:cs="Arial" w:eastAsia="Arial" w:hAnsi="Arial"/>
          <w:sz w:val="16"/>
          <w:szCs w:val="16"/>
          <w:color w:val="auto"/>
        </w:rPr>
        <w:t>d)The foregoing clauses shall be construed as both objects and powers and the enumeration of specific objects or powers shall not be deemed to limit or restrict in any manner the objects and powers of this corporation. All such objects and powers shall be deemed to be furtherance of and in addition to the general powers conferred by the laws of the State of Connecticut upon business corporations organized under the general corporation laws of the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5" w:name="page86"/>
    <w:bookmarkEnd w:id="85"/>
    <w:p>
      <w:pPr>
        <w:jc w:val="center"/>
        <w:spacing w:after="0"/>
        <w:rPr>
          <w:sz w:val="20"/>
          <w:szCs w:val="20"/>
          <w:color w:val="auto"/>
        </w:rPr>
      </w:pPr>
      <w:r>
        <w:rPr>
          <w:rFonts w:ascii="Arial" w:cs="Arial" w:eastAsia="Arial" w:hAnsi="Arial"/>
          <w:sz w:val="16"/>
          <w:szCs w:val="16"/>
          <w:color w:val="auto"/>
        </w:rPr>
        <w:t>3. The designation of each class of shares, the authorized number of shares of each such class, and the par value (if any) of each share thereof, are as follows: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Common Stock</w:t>
      </w:r>
    </w:p>
    <w:p>
      <w:pPr>
        <w:sectPr>
          <w:pgSz w:w="11900" w:h="16838" w:orient="portrait"/>
          <w:cols w:equalWidth="0" w:num="1">
            <w:col w:w="11320"/>
          </w:cols>
          <w:pgMar w:left="240" w:top="125" w:right="339" w:bottom="1440" w:gutter="0" w:footer="0" w:header="0"/>
        </w:sectPr>
      </w:pPr>
    </w:p>
    <w:p>
      <w:pPr>
        <w:spacing w:after="0" w:line="23"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5,000 Shares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$10.00 par value</w:t>
      </w:r>
    </w:p>
    <w:p>
      <w:pPr>
        <w:spacing w:after="0" w:line="200" w:lineRule="exact"/>
        <w:rPr>
          <w:sz w:val="20"/>
          <w:szCs w:val="20"/>
          <w:color w:val="auto"/>
        </w:rPr>
      </w:pPr>
    </w:p>
    <w:p>
      <w:pPr>
        <w:sectPr>
          <w:pgSz w:w="11900" w:h="16838" w:orient="portrait"/>
          <w:cols w:equalWidth="0" w:num="2">
            <w:col w:w="3280" w:space="720"/>
            <w:col w:w="7320"/>
          </w:cols>
          <w:pgMar w:left="240" w:top="125" w:right="339" w:bottom="1440" w:gutter="0" w:footer="0" w:header="0"/>
          <w:type w:val="continuous"/>
        </w:sectPr>
      </w:pPr>
    </w:p>
    <w:p>
      <w:pPr>
        <w:spacing w:after="0" w:line="61" w:lineRule="exact"/>
        <w:rPr>
          <w:sz w:val="20"/>
          <w:szCs w:val="20"/>
          <w:color w:val="auto"/>
        </w:rPr>
      </w:pPr>
    </w:p>
    <w:p>
      <w:pPr>
        <w:ind w:right="40" w:firstLine="8"/>
        <w:spacing w:after="0" w:line="277"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limitations and relative rights and preferences of each class of shares and series thereof (if any), or an express grant of authority to the board of directors pursuant to Section 33-341, 1959 Supp. Conn. G.S., are as follows: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Common Stock with equal rights and preferences and no series or special authority.</w:t>
      </w:r>
    </w:p>
    <w:p>
      <w:pPr>
        <w:spacing w:after="0" w:line="225" w:lineRule="exact"/>
        <w:rPr>
          <w:sz w:val="20"/>
          <w:szCs w:val="20"/>
          <w:color w:val="auto"/>
        </w:rPr>
      </w:pPr>
    </w:p>
    <w:p>
      <w:pPr>
        <w:ind w:right="20" w:firstLine="8"/>
        <w:spacing w:after="0" w:line="277"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minimum amount of stated capital with which the corporation shall commence business is $9,000.00 NINE THOUSAND AND NO/100 dollars. (Not less than one thousand dollars)</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(x) Other provisions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address of the corporation is 20 Ta'Agan Point Road, Danbury, Connecticut.</w:t>
      </w:r>
    </w:p>
    <w:p>
      <w:pPr>
        <w:spacing w:after="0" w:line="225" w:lineRule="exact"/>
        <w:rPr>
          <w:sz w:val="20"/>
          <w:szCs w:val="20"/>
          <w:color w:val="auto"/>
        </w:rPr>
      </w:pPr>
    </w:p>
    <w:p>
      <w:pPr>
        <w:ind w:right="4920" w:firstLine="8"/>
        <w:spacing w:after="0" w:line="501"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Said corporation is to commence operations immediately and its duration is unlimited. Dated at Danbury this 24th day of Feburary, 1969</w:t>
      </w:r>
    </w:p>
    <w:p>
      <w:pPr>
        <w:spacing w:after="0"/>
        <w:rPr>
          <w:rFonts w:ascii="Arial" w:cs="Arial" w:eastAsia="Arial" w:hAnsi="Arial"/>
          <w:sz w:val="18"/>
          <w:szCs w:val="18"/>
          <w:color w:val="auto"/>
        </w:rPr>
      </w:pPr>
      <w:r>
        <w:rPr>
          <w:rFonts w:ascii="Arial" w:cs="Arial" w:eastAsia="Arial" w:hAnsi="Arial"/>
          <w:sz w:val="18"/>
          <w:szCs w:val="18"/>
          <w:color w:val="auto"/>
        </w:rPr>
        <w:t>We hereby declare, under the penalties of perjury, that the statements made in the foregoing certificate are true.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w w:val="97"/>
              </w:rPr>
              <w:t>NAME OF INCORPORATOR (Print or Type)</w:t>
            </w: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w w:val="97"/>
              </w:rPr>
              <w:t>NAME OF INCORPORATOR(Print or Type)</w:t>
            </w: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w w:val="93"/>
              </w:rPr>
              <w:t>NAME OF INCORPORATOR (Print or Type)</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3320" w:type="dxa"/>
            <w:vAlign w:val="bottom"/>
          </w:tcPr>
          <w:p>
            <w:pPr>
              <w:ind w:left="20"/>
              <w:spacing w:after="0"/>
              <w:rPr>
                <w:sz w:val="20"/>
                <w:szCs w:val="20"/>
                <w:color w:val="auto"/>
              </w:rPr>
            </w:pPr>
            <w:r>
              <w:rPr>
                <w:rFonts w:ascii="Arial" w:cs="Arial" w:eastAsia="Arial" w:hAnsi="Arial"/>
                <w:sz w:val="18"/>
                <w:szCs w:val="18"/>
                <w:color w:val="auto"/>
              </w:rPr>
              <w:t>Armindo J. Rebeiro</w:t>
            </w:r>
          </w:p>
        </w:tc>
        <w:tc>
          <w:tcPr>
            <w:tcW w:w="300" w:type="dxa"/>
            <w:vAlign w:val="bottom"/>
          </w:tcPr>
          <w:p>
            <w:pPr>
              <w:ind w:left="140"/>
              <w:spacing w:after="0"/>
              <w:rPr>
                <w:sz w:val="20"/>
                <w:szCs w:val="20"/>
                <w:color w:val="auto"/>
              </w:rPr>
            </w:pPr>
            <w:r>
              <w:rPr>
                <w:rFonts w:ascii="Arial" w:cs="Arial" w:eastAsia="Arial" w:hAnsi="Arial"/>
                <w:sz w:val="18"/>
                <w:szCs w:val="18"/>
                <w:color w:val="auto"/>
                <w:w w:val="92"/>
              </w:rPr>
              <w:t>2.</w:t>
            </w:r>
          </w:p>
        </w:tc>
        <w:tc>
          <w:tcPr>
            <w:tcW w:w="3260" w:type="dxa"/>
            <w:vAlign w:val="bottom"/>
          </w:tcPr>
          <w:p>
            <w:pPr>
              <w:ind w:left="20"/>
              <w:spacing w:after="0"/>
              <w:rPr>
                <w:sz w:val="20"/>
                <w:szCs w:val="20"/>
                <w:color w:val="auto"/>
              </w:rPr>
            </w:pPr>
            <w:r>
              <w:rPr>
                <w:rFonts w:ascii="Arial" w:cs="Arial" w:eastAsia="Arial" w:hAnsi="Arial"/>
                <w:sz w:val="18"/>
                <w:szCs w:val="18"/>
                <w:color w:val="auto"/>
              </w:rPr>
              <w:t>Gerard P. Keehan</w:t>
            </w:r>
          </w:p>
        </w:tc>
        <w:tc>
          <w:tcPr>
            <w:tcW w:w="260" w:type="dxa"/>
            <w:vAlign w:val="bottom"/>
          </w:tcPr>
          <w:p>
            <w:pPr>
              <w:ind w:left="100"/>
              <w:spacing w:after="0"/>
              <w:rPr>
                <w:sz w:val="20"/>
                <w:szCs w:val="20"/>
                <w:color w:val="auto"/>
              </w:rPr>
            </w:pPr>
            <w:r>
              <w:rPr>
                <w:rFonts w:ascii="Arial" w:cs="Arial" w:eastAsia="Arial" w:hAnsi="Arial"/>
                <w:sz w:val="18"/>
                <w:szCs w:val="18"/>
                <w:color w:val="auto"/>
                <w:w w:val="92"/>
              </w:rPr>
              <w:t>3.</w:t>
            </w:r>
          </w:p>
        </w:tc>
        <w:tc>
          <w:tcPr>
            <w:tcW w:w="3180" w:type="dxa"/>
            <w:vAlign w:val="bottom"/>
          </w:tcPr>
          <w:p>
            <w:pPr>
              <w:ind w:left="20"/>
              <w:spacing w:after="0"/>
              <w:rPr>
                <w:sz w:val="20"/>
                <w:szCs w:val="20"/>
                <w:color w:val="auto"/>
              </w:rPr>
            </w:pPr>
            <w:r>
              <w:rPr>
                <w:rFonts w:ascii="Arial" w:cs="Arial" w:eastAsia="Arial" w:hAnsi="Arial"/>
                <w:sz w:val="18"/>
                <w:szCs w:val="18"/>
                <w:color w:val="auto"/>
              </w:rPr>
              <w:t>Edward O. Law</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SIGNED (Incorporator)</w:t>
            </w: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SIGNED (Incorporator)</w:t>
            </w: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SIGNED(Incorporator)</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3320" w:type="dxa"/>
            <w:vAlign w:val="bottom"/>
          </w:tcPr>
          <w:p>
            <w:pPr>
              <w:ind w:left="20"/>
              <w:spacing w:after="0"/>
              <w:rPr>
                <w:sz w:val="20"/>
                <w:szCs w:val="20"/>
                <w:color w:val="auto"/>
              </w:rPr>
            </w:pPr>
            <w:r>
              <w:rPr>
                <w:rFonts w:ascii="Arial" w:cs="Arial" w:eastAsia="Arial" w:hAnsi="Arial"/>
                <w:sz w:val="18"/>
                <w:szCs w:val="18"/>
                <w:color w:val="auto"/>
              </w:rPr>
              <w:t>/s/ Armindo J. Rebeiro</w:t>
            </w:r>
          </w:p>
        </w:tc>
        <w:tc>
          <w:tcPr>
            <w:tcW w:w="300" w:type="dxa"/>
            <w:vAlign w:val="bottom"/>
          </w:tcPr>
          <w:p>
            <w:pPr>
              <w:ind w:left="140"/>
              <w:spacing w:after="0"/>
              <w:rPr>
                <w:sz w:val="20"/>
                <w:szCs w:val="20"/>
                <w:color w:val="auto"/>
              </w:rPr>
            </w:pPr>
            <w:r>
              <w:rPr>
                <w:rFonts w:ascii="Arial" w:cs="Arial" w:eastAsia="Arial" w:hAnsi="Arial"/>
                <w:sz w:val="18"/>
                <w:szCs w:val="18"/>
                <w:color w:val="auto"/>
                <w:w w:val="92"/>
              </w:rPr>
              <w:t>2.</w:t>
            </w:r>
          </w:p>
        </w:tc>
        <w:tc>
          <w:tcPr>
            <w:tcW w:w="3260" w:type="dxa"/>
            <w:vAlign w:val="bottom"/>
          </w:tcPr>
          <w:p>
            <w:pPr>
              <w:ind w:left="20"/>
              <w:spacing w:after="0"/>
              <w:rPr>
                <w:sz w:val="20"/>
                <w:szCs w:val="20"/>
                <w:color w:val="auto"/>
              </w:rPr>
            </w:pPr>
            <w:r>
              <w:rPr>
                <w:rFonts w:ascii="Arial" w:cs="Arial" w:eastAsia="Arial" w:hAnsi="Arial"/>
                <w:sz w:val="18"/>
                <w:szCs w:val="18"/>
                <w:color w:val="auto"/>
              </w:rPr>
              <w:t>/s/ Gerard P. Keehan</w:t>
            </w:r>
          </w:p>
        </w:tc>
        <w:tc>
          <w:tcPr>
            <w:tcW w:w="260" w:type="dxa"/>
            <w:vAlign w:val="bottom"/>
          </w:tcPr>
          <w:p>
            <w:pPr>
              <w:ind w:left="100"/>
              <w:spacing w:after="0"/>
              <w:rPr>
                <w:sz w:val="20"/>
                <w:szCs w:val="20"/>
                <w:color w:val="auto"/>
              </w:rPr>
            </w:pPr>
            <w:r>
              <w:rPr>
                <w:rFonts w:ascii="Arial" w:cs="Arial" w:eastAsia="Arial" w:hAnsi="Arial"/>
                <w:sz w:val="18"/>
                <w:szCs w:val="18"/>
                <w:color w:val="auto"/>
                <w:w w:val="92"/>
              </w:rPr>
              <w:t>3.</w:t>
            </w:r>
          </w:p>
        </w:tc>
        <w:tc>
          <w:tcPr>
            <w:tcW w:w="3180" w:type="dxa"/>
            <w:vAlign w:val="bottom"/>
          </w:tcPr>
          <w:p>
            <w:pPr>
              <w:ind w:left="20"/>
              <w:spacing w:after="0"/>
              <w:rPr>
                <w:sz w:val="20"/>
                <w:szCs w:val="20"/>
                <w:color w:val="auto"/>
              </w:rPr>
            </w:pPr>
            <w:r>
              <w:rPr>
                <w:rFonts w:ascii="Arial" w:cs="Arial" w:eastAsia="Arial" w:hAnsi="Arial"/>
                <w:sz w:val="18"/>
                <w:szCs w:val="18"/>
                <w:color w:val="auto"/>
              </w:rPr>
              <w:t>/s/Edward O. Law</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w w:val="97"/>
              </w:rPr>
              <w:t>NAME OF INCORPORATOR (Print or Type)</w:t>
            </w: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w w:val="97"/>
              </w:rPr>
              <w:t>NAME OF INCORPORATOR(Print or Type)</w:t>
            </w: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w w:val="95"/>
              </w:rPr>
              <w:t>NAME OF INCORPORATOR(Print or Type)</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3320" w:type="dxa"/>
            <w:vAlign w:val="bottom"/>
          </w:tcPr>
          <w:p>
            <w:pPr>
              <w:ind w:left="20"/>
              <w:spacing w:after="0"/>
              <w:rPr>
                <w:sz w:val="20"/>
                <w:szCs w:val="20"/>
                <w:color w:val="auto"/>
              </w:rPr>
            </w:pPr>
            <w:r>
              <w:rPr>
                <w:rFonts w:ascii="Arial" w:cs="Arial" w:eastAsia="Arial" w:hAnsi="Arial"/>
                <w:sz w:val="18"/>
                <w:szCs w:val="18"/>
                <w:color w:val="auto"/>
              </w:rPr>
              <w:t>Larry L. Sharp</w:t>
            </w:r>
          </w:p>
        </w:tc>
        <w:tc>
          <w:tcPr>
            <w:tcW w:w="300" w:type="dxa"/>
            <w:vAlign w:val="bottom"/>
          </w:tcPr>
          <w:p>
            <w:pPr>
              <w:ind w:left="140"/>
              <w:spacing w:after="0"/>
              <w:rPr>
                <w:sz w:val="20"/>
                <w:szCs w:val="20"/>
                <w:color w:val="auto"/>
              </w:rPr>
            </w:pPr>
            <w:r>
              <w:rPr>
                <w:rFonts w:ascii="Arial" w:cs="Arial" w:eastAsia="Arial" w:hAnsi="Arial"/>
                <w:sz w:val="18"/>
                <w:szCs w:val="18"/>
                <w:color w:val="auto"/>
                <w:w w:val="92"/>
              </w:rPr>
              <w:t>5.</w:t>
            </w:r>
          </w:p>
        </w:tc>
        <w:tc>
          <w:tcPr>
            <w:tcW w:w="3260" w:type="dxa"/>
            <w:vAlign w:val="bottom"/>
          </w:tcPr>
          <w:p>
            <w:pPr>
              <w:ind w:left="20"/>
              <w:spacing w:after="0"/>
              <w:rPr>
                <w:sz w:val="20"/>
                <w:szCs w:val="20"/>
                <w:color w:val="auto"/>
              </w:rPr>
            </w:pPr>
            <w:r>
              <w:rPr>
                <w:rFonts w:ascii="Arial" w:cs="Arial" w:eastAsia="Arial" w:hAnsi="Arial"/>
                <w:sz w:val="18"/>
                <w:szCs w:val="18"/>
                <w:color w:val="auto"/>
              </w:rPr>
              <w:t>Edward G. Keehan</w:t>
            </w:r>
          </w:p>
        </w:tc>
        <w:tc>
          <w:tcPr>
            <w:tcW w:w="260" w:type="dxa"/>
            <w:vAlign w:val="bottom"/>
          </w:tcPr>
          <w:p>
            <w:pPr>
              <w:ind w:left="100"/>
              <w:spacing w:after="0"/>
              <w:rPr>
                <w:sz w:val="20"/>
                <w:szCs w:val="20"/>
                <w:color w:val="auto"/>
              </w:rPr>
            </w:pPr>
            <w:r>
              <w:rPr>
                <w:rFonts w:ascii="Arial" w:cs="Arial" w:eastAsia="Arial" w:hAnsi="Arial"/>
                <w:sz w:val="18"/>
                <w:szCs w:val="18"/>
                <w:color w:val="auto"/>
                <w:w w:val="92"/>
              </w:rPr>
              <w:t>6.</w:t>
            </w:r>
          </w:p>
        </w:tc>
        <w:tc>
          <w:tcPr>
            <w:tcW w:w="3180" w:type="dxa"/>
            <w:vAlign w:val="bottom"/>
          </w:tcPr>
          <w:p>
            <w:pPr>
              <w:ind w:left="20"/>
              <w:spacing w:after="0"/>
              <w:rPr>
                <w:sz w:val="20"/>
                <w:szCs w:val="20"/>
                <w:color w:val="auto"/>
              </w:rPr>
            </w:pPr>
            <w:r>
              <w:rPr>
                <w:rFonts w:ascii="Arial" w:cs="Arial" w:eastAsia="Arial" w:hAnsi="Arial"/>
                <w:sz w:val="18"/>
                <w:szCs w:val="18"/>
                <w:color w:val="auto"/>
              </w:rPr>
              <w:t>Constantine S. Macricostas</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SIGNED (Incorporator)</w:t>
            </w: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SIGNED (Incorporator)</w:t>
            </w: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SIGNED(Incorporator)</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3320" w:type="dxa"/>
            <w:vAlign w:val="bottom"/>
          </w:tcPr>
          <w:p>
            <w:pPr>
              <w:ind w:left="20"/>
              <w:spacing w:after="0"/>
              <w:rPr>
                <w:sz w:val="20"/>
                <w:szCs w:val="20"/>
                <w:color w:val="auto"/>
              </w:rPr>
            </w:pPr>
            <w:r>
              <w:rPr>
                <w:rFonts w:ascii="Arial" w:cs="Arial" w:eastAsia="Arial" w:hAnsi="Arial"/>
                <w:sz w:val="18"/>
                <w:szCs w:val="18"/>
                <w:color w:val="auto"/>
              </w:rPr>
              <w:t>/s/ Larry L. Sharp</w:t>
            </w:r>
          </w:p>
        </w:tc>
        <w:tc>
          <w:tcPr>
            <w:tcW w:w="300" w:type="dxa"/>
            <w:vAlign w:val="bottom"/>
          </w:tcPr>
          <w:p>
            <w:pPr>
              <w:ind w:left="140"/>
              <w:spacing w:after="0"/>
              <w:rPr>
                <w:sz w:val="20"/>
                <w:szCs w:val="20"/>
                <w:color w:val="auto"/>
              </w:rPr>
            </w:pPr>
            <w:r>
              <w:rPr>
                <w:rFonts w:ascii="Arial" w:cs="Arial" w:eastAsia="Arial" w:hAnsi="Arial"/>
                <w:sz w:val="18"/>
                <w:szCs w:val="18"/>
                <w:color w:val="auto"/>
                <w:w w:val="92"/>
              </w:rPr>
              <w:t>5.</w:t>
            </w:r>
          </w:p>
        </w:tc>
        <w:tc>
          <w:tcPr>
            <w:tcW w:w="3260" w:type="dxa"/>
            <w:vAlign w:val="bottom"/>
          </w:tcPr>
          <w:p>
            <w:pPr>
              <w:ind w:left="20"/>
              <w:spacing w:after="0"/>
              <w:rPr>
                <w:sz w:val="20"/>
                <w:szCs w:val="20"/>
                <w:color w:val="auto"/>
              </w:rPr>
            </w:pPr>
            <w:r>
              <w:rPr>
                <w:rFonts w:ascii="Arial" w:cs="Arial" w:eastAsia="Arial" w:hAnsi="Arial"/>
                <w:sz w:val="18"/>
                <w:szCs w:val="18"/>
                <w:color w:val="auto"/>
              </w:rPr>
              <w:t>/s/ Edward G. Keehan</w:t>
            </w:r>
          </w:p>
        </w:tc>
        <w:tc>
          <w:tcPr>
            <w:tcW w:w="260" w:type="dxa"/>
            <w:vAlign w:val="bottom"/>
          </w:tcPr>
          <w:p>
            <w:pPr>
              <w:ind w:left="100"/>
              <w:spacing w:after="0"/>
              <w:rPr>
                <w:sz w:val="20"/>
                <w:szCs w:val="20"/>
                <w:color w:val="auto"/>
              </w:rPr>
            </w:pPr>
            <w:r>
              <w:rPr>
                <w:rFonts w:ascii="Arial" w:cs="Arial" w:eastAsia="Arial" w:hAnsi="Arial"/>
                <w:sz w:val="18"/>
                <w:szCs w:val="18"/>
                <w:color w:val="auto"/>
                <w:w w:val="92"/>
              </w:rPr>
              <w:t>6.</w:t>
            </w:r>
          </w:p>
        </w:tc>
        <w:tc>
          <w:tcPr>
            <w:tcW w:w="3180" w:type="dxa"/>
            <w:vAlign w:val="bottom"/>
          </w:tcPr>
          <w:p>
            <w:pPr>
              <w:ind w:left="20"/>
              <w:spacing w:after="0"/>
              <w:rPr>
                <w:sz w:val="20"/>
                <w:szCs w:val="20"/>
                <w:color w:val="auto"/>
              </w:rPr>
            </w:pPr>
            <w:r>
              <w:rPr>
                <w:rFonts w:ascii="Arial" w:cs="Arial" w:eastAsia="Arial" w:hAnsi="Arial"/>
                <w:sz w:val="18"/>
                <w:szCs w:val="18"/>
                <w:color w:val="auto"/>
              </w:rPr>
              <w:t>/s/Constantine S. Macricostas</w:t>
            </w:r>
          </w:p>
        </w:tc>
      </w:tr>
      <w:tr>
        <w:trPr>
          <w:trHeight w:val="445"/>
        </w:trPr>
        <w:tc>
          <w:tcPr>
            <w:tcW w:w="7040" w:type="dxa"/>
            <w:vAlign w:val="bottom"/>
            <w:gridSpan w:val="4"/>
          </w:tcPr>
          <w:p>
            <w:pPr>
              <w:spacing w:after="0"/>
              <w:rPr>
                <w:sz w:val="20"/>
                <w:szCs w:val="20"/>
                <w:color w:val="auto"/>
              </w:rPr>
            </w:pPr>
            <w:r>
              <w:rPr>
                <w:rFonts w:ascii="Arial" w:cs="Arial" w:eastAsia="Arial" w:hAnsi="Arial"/>
                <w:sz w:val="18"/>
                <w:szCs w:val="18"/>
                <w:color w:val="auto"/>
              </w:rPr>
              <w:t>APPOINTMENT OF STATUTORY AGENT FOR SERVICE</w:t>
            </w:r>
          </w:p>
        </w:tc>
        <w:tc>
          <w:tcPr>
            <w:tcW w:w="260" w:type="dxa"/>
            <w:vAlign w:val="bottom"/>
          </w:tcPr>
          <w:p>
            <w:pPr>
              <w:spacing w:after="0"/>
              <w:rPr>
                <w:sz w:val="24"/>
                <w:szCs w:val="24"/>
                <w:color w:val="auto"/>
              </w:rPr>
            </w:pPr>
          </w:p>
        </w:tc>
        <w:tc>
          <w:tcPr>
            <w:tcW w:w="3180" w:type="dxa"/>
            <w:vAlign w:val="bottom"/>
          </w:tcPr>
          <w:p>
            <w:pPr>
              <w:ind w:left="1240"/>
              <w:spacing w:after="0"/>
              <w:rPr>
                <w:sz w:val="20"/>
                <w:szCs w:val="20"/>
                <w:color w:val="auto"/>
              </w:rPr>
            </w:pPr>
            <w:r>
              <w:rPr>
                <w:rFonts w:ascii="Arial" w:cs="Arial" w:eastAsia="Arial" w:hAnsi="Arial"/>
                <w:sz w:val="18"/>
                <w:szCs w:val="18"/>
                <w:color w:val="auto"/>
              </w:rPr>
              <w:t>ACCOUNT NO.</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DOMESTIC CORPORATION</w:t>
            </w:r>
          </w:p>
        </w:tc>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ind w:left="1240"/>
              <w:spacing w:after="0"/>
              <w:rPr>
                <w:sz w:val="20"/>
                <w:szCs w:val="20"/>
                <w:color w:val="auto"/>
              </w:rPr>
            </w:pPr>
            <w:r>
              <w:rPr>
                <w:rFonts w:ascii="Arial" w:cs="Arial" w:eastAsia="Arial" w:hAnsi="Arial"/>
                <w:sz w:val="18"/>
                <w:szCs w:val="18"/>
                <w:color w:val="auto"/>
              </w:rPr>
              <w:t>P 52357</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61-6 Rev. 6-66</w:t>
            </w:r>
          </w:p>
        </w:tc>
        <w:tc>
          <w:tcPr>
            <w:tcW w:w="3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Secretary of the State of Connecticut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Photronic Labs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APPOINTMENT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above corporation appoints as its statutory agent for service, one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NATURAL PERSON WHO IS RESIDENT OF CONNECTICUT BUSINESS ADDRESS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Armindo J. Rebeiro</w:t>
            </w:r>
          </w:p>
        </w:tc>
        <w:tc>
          <w:tcPr>
            <w:tcW w:w="6100" w:type="dxa"/>
            <w:vAlign w:val="bottom"/>
          </w:tcPr>
          <w:p>
            <w:pPr>
              <w:ind w:left="400"/>
              <w:spacing w:after="0"/>
              <w:rPr>
                <w:sz w:val="20"/>
                <w:szCs w:val="20"/>
                <w:color w:val="auto"/>
              </w:rPr>
            </w:pPr>
            <w:r>
              <w:rPr>
                <w:rFonts w:ascii="Arial" w:cs="Arial" w:eastAsia="Arial" w:hAnsi="Arial"/>
                <w:sz w:val="18"/>
                <w:szCs w:val="18"/>
                <w:color w:val="auto"/>
              </w:rPr>
              <w:t>20 Ta'Agan Point Road, Danbury</w:t>
            </w:r>
          </w:p>
        </w:tc>
      </w:tr>
      <w:tr>
        <w:trPr>
          <w:trHeight w:val="209"/>
        </w:trPr>
        <w:tc>
          <w:tcPr>
            <w:tcW w:w="20" w:type="dxa"/>
            <w:vAlign w:val="bottom"/>
          </w:tcPr>
          <w:p>
            <w:pPr>
              <w:spacing w:after="0"/>
              <w:rPr>
                <w:sz w:val="18"/>
                <w:szCs w:val="18"/>
                <w:color w:val="auto"/>
              </w:rPr>
            </w:pPr>
          </w:p>
        </w:tc>
        <w:tc>
          <w:tcPr>
            <w:tcW w:w="5300" w:type="dxa"/>
            <w:vAlign w:val="bottom"/>
            <w:tcBorders>
              <w:bottom w:val="single" w:sz="8" w:color="auto"/>
            </w:tcBorders>
          </w:tcPr>
          <w:p>
            <w:pPr>
              <w:spacing w:after="0"/>
              <w:rPr>
                <w:sz w:val="18"/>
                <w:szCs w:val="18"/>
                <w:color w:val="auto"/>
              </w:rPr>
            </w:pPr>
          </w:p>
        </w:tc>
        <w:tc>
          <w:tcPr>
            <w:tcW w:w="6100" w:type="dxa"/>
            <w:vAlign w:val="bottom"/>
            <w:tcBorders>
              <w:bottom w:val="single" w:sz="8" w:color="auto"/>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6100" w:type="dxa"/>
            <w:vAlign w:val="bottom"/>
          </w:tcPr>
          <w:p>
            <w:pPr>
              <w:ind w:left="400"/>
              <w:spacing w:after="0" w:line="201" w:lineRule="exact"/>
              <w:rPr>
                <w:sz w:val="20"/>
                <w:szCs w:val="20"/>
                <w:color w:val="auto"/>
              </w:rPr>
            </w:pPr>
            <w:r>
              <w:rPr>
                <w:rFonts w:ascii="Arial" w:cs="Arial" w:eastAsia="Arial" w:hAnsi="Arial"/>
                <w:sz w:val="18"/>
                <w:szCs w:val="18"/>
                <w:color w:val="auto"/>
              </w:rPr>
              <w:t>RESIDENCE ADDRESS</w:t>
            </w: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Ta'Agan Point Road, Danbury</w:t>
            </w:r>
          </w:p>
        </w:tc>
      </w:tr>
      <w:tr>
        <w:trPr>
          <w:trHeight w:val="223"/>
        </w:trPr>
        <w:tc>
          <w:tcPr>
            <w:tcW w:w="5320" w:type="dxa"/>
            <w:vAlign w:val="bottom"/>
            <w:gridSpan w:val="2"/>
          </w:tcPr>
          <w:p>
            <w:pPr>
              <w:spacing w:after="0"/>
              <w:rPr>
                <w:sz w:val="19"/>
                <w:szCs w:val="19"/>
                <w:color w:val="auto"/>
              </w:rPr>
            </w:pPr>
          </w:p>
        </w:tc>
        <w:tc>
          <w:tcPr>
            <w:tcW w:w="6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OF CONNECTICUT CORPORATION</w:t>
            </w:r>
          </w:p>
        </w:tc>
        <w:tc>
          <w:tcPr>
            <w:tcW w:w="6100" w:type="dxa"/>
            <w:vAlign w:val="bottom"/>
            <w:tcBorders>
              <w:top w:val="single" w:sz="8" w:color="auto"/>
            </w:tcBorders>
          </w:tcPr>
          <w:p>
            <w:pPr>
              <w:ind w:left="400"/>
              <w:spacing w:after="0" w:line="201" w:lineRule="exact"/>
              <w:rPr>
                <w:sz w:val="20"/>
                <w:szCs w:val="20"/>
                <w:color w:val="auto"/>
              </w:rPr>
            </w:pPr>
            <w:r>
              <w:rPr>
                <w:rFonts w:ascii="Arial" w:cs="Arial" w:eastAsia="Arial" w:hAnsi="Arial"/>
                <w:sz w:val="18"/>
                <w:szCs w:val="18"/>
                <w:color w:val="auto"/>
              </w:rPr>
              <w:t>ADDRESS OF PRINCIPAL OFFICE IN CONN. (if none,</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enter address of appointee' statutory agent</w:t>
            </w: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for services)</w:t>
            </w:r>
          </w:p>
        </w:tc>
      </w:tr>
      <w:tr>
        <w:trPr>
          <w:trHeight w:val="223"/>
        </w:trPr>
        <w:tc>
          <w:tcPr>
            <w:tcW w:w="5320" w:type="dxa"/>
            <w:vAlign w:val="bottom"/>
            <w:gridSpan w:val="2"/>
          </w:tcPr>
          <w:p>
            <w:pPr>
              <w:spacing w:after="0"/>
              <w:rPr>
                <w:sz w:val="19"/>
                <w:szCs w:val="19"/>
                <w:color w:val="auto"/>
              </w:rPr>
            </w:pPr>
          </w:p>
        </w:tc>
        <w:tc>
          <w:tcPr>
            <w:tcW w:w="6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OF CORPORATION not Original Under the Laws of Conn.</w:t>
            </w:r>
          </w:p>
        </w:tc>
        <w:tc>
          <w:tcPr>
            <w:tcW w:w="6100" w:type="dxa"/>
            <w:vAlign w:val="bottom"/>
            <w:tcBorders>
              <w:top w:val="single" w:sz="8" w:color="auto"/>
            </w:tcBorders>
          </w:tcPr>
          <w:p>
            <w:pPr>
              <w:ind w:left="400"/>
              <w:spacing w:after="0" w:line="201" w:lineRule="exact"/>
              <w:rPr>
                <w:sz w:val="20"/>
                <w:szCs w:val="20"/>
                <w:color w:val="auto"/>
              </w:rPr>
            </w:pPr>
            <w:r>
              <w:rPr>
                <w:rFonts w:ascii="Arial" w:cs="Arial" w:eastAsia="Arial" w:hAnsi="Arial"/>
                <w:sz w:val="18"/>
                <w:szCs w:val="18"/>
                <w:color w:val="auto"/>
              </w:rPr>
              <w:t>ADDRESS OF PRINCIPAL OFFICE IN CONN.</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(if none, enter "Secretary</w:t>
            </w: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or the State Connecticut")</w:t>
            </w:r>
          </w:p>
        </w:tc>
      </w:tr>
      <w:tr>
        <w:trPr>
          <w:trHeight w:val="223"/>
        </w:trPr>
        <w:tc>
          <w:tcPr>
            <w:tcW w:w="20" w:type="dxa"/>
            <w:vAlign w:val="bottom"/>
          </w:tcPr>
          <w:p>
            <w:pPr>
              <w:spacing w:after="0"/>
              <w:rPr>
                <w:sz w:val="19"/>
                <w:szCs w:val="19"/>
                <w:color w:val="auto"/>
              </w:rPr>
            </w:pPr>
          </w:p>
        </w:tc>
        <w:tc>
          <w:tcPr>
            <w:tcW w:w="5300" w:type="dxa"/>
            <w:vAlign w:val="bottom"/>
            <w:tcBorders>
              <w:bottom w:val="single" w:sz="8" w:color="auto"/>
            </w:tcBorders>
          </w:tcPr>
          <w:p>
            <w:pPr>
              <w:spacing w:after="0"/>
              <w:rPr>
                <w:sz w:val="19"/>
                <w:szCs w:val="19"/>
                <w:color w:val="auto"/>
              </w:rPr>
            </w:pPr>
          </w:p>
        </w:tc>
        <w:tc>
          <w:tcPr>
            <w:tcW w:w="6100" w:type="dxa"/>
            <w:vAlign w:val="bottom"/>
            <w:tcBorders>
              <w:bottom w:val="single" w:sz="8" w:color="auto"/>
            </w:tcBorders>
          </w:tcPr>
          <w:p>
            <w:pPr>
              <w:spacing w:after="0"/>
              <w:rPr>
                <w:sz w:val="19"/>
                <w:szCs w:val="19"/>
                <w:color w:val="auto"/>
              </w:rPr>
            </w:pPr>
          </w:p>
        </w:tc>
      </w:tr>
      <w:tr>
        <w:trPr>
          <w:trHeight w:val="439"/>
        </w:trPr>
        <w:tc>
          <w:tcPr>
            <w:tcW w:w="20" w:type="dxa"/>
            <w:vAlign w:val="bottom"/>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Which has procured a Certificate of Authority to transact business or conduct affairs in this state.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64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AUTHORIZATION</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00" w:type="dxa"/>
            <w:vAlign w:val="bottom"/>
            <w:gridSpan w:val="2"/>
          </w:tcPr>
          <w:p>
            <w:pPr>
              <w:ind w:left="1480"/>
              <w:spacing w:after="0"/>
              <w:rPr>
                <w:sz w:val="20"/>
                <w:szCs w:val="20"/>
                <w:color w:val="auto"/>
              </w:rPr>
            </w:pPr>
            <w:r>
              <w:rPr>
                <w:rFonts w:ascii="Arial" w:cs="Arial" w:eastAsia="Arial" w:hAnsi="Arial"/>
                <w:sz w:val="18"/>
                <w:szCs w:val="18"/>
                <w:color w:val="auto"/>
              </w:rPr>
              <w:t>NAME OF INCORPORATOR (Print or type)</w:t>
            </w:r>
          </w:p>
        </w:tc>
        <w:tc>
          <w:tcPr>
            <w:tcW w:w="2980" w:type="dxa"/>
            <w:vAlign w:val="bottom"/>
          </w:tcPr>
          <w:p>
            <w:pPr>
              <w:ind w:left="440"/>
              <w:spacing w:after="0"/>
              <w:rPr>
                <w:sz w:val="20"/>
                <w:szCs w:val="20"/>
                <w:color w:val="auto"/>
              </w:rPr>
            </w:pPr>
            <w:r>
              <w:rPr>
                <w:rFonts w:ascii="Arial" w:cs="Arial" w:eastAsia="Arial" w:hAnsi="Arial"/>
                <w:sz w:val="18"/>
                <w:szCs w:val="18"/>
                <w:color w:val="auto"/>
              </w:rPr>
              <w:t>SIGNED(Incorporator)</w:t>
            </w:r>
          </w:p>
        </w:tc>
        <w:tc>
          <w:tcPr>
            <w:tcW w:w="2640" w:type="dxa"/>
            <w:vAlign w:val="bottom"/>
          </w:tcPr>
          <w:p>
            <w:pPr>
              <w:ind w:left="26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18"/>
        </w:trPr>
        <w:tc>
          <w:tcPr>
            <w:tcW w:w="2360" w:type="dxa"/>
            <w:vAlign w:val="bottom"/>
          </w:tcPr>
          <w:p>
            <w:pPr>
              <w:spacing w:after="0"/>
              <w:rPr>
                <w:sz w:val="20"/>
                <w:szCs w:val="20"/>
                <w:color w:val="auto"/>
              </w:rPr>
            </w:pPr>
            <w:r>
              <w:rPr>
                <w:rFonts w:ascii="Arial" w:cs="Arial" w:eastAsia="Arial" w:hAnsi="Arial"/>
                <w:sz w:val="18"/>
                <w:szCs w:val="18"/>
                <w:color w:val="auto"/>
              </w:rPr>
              <w:t>ORIGINAL APPOINTMENT</w:t>
            </w:r>
          </w:p>
        </w:tc>
        <w:tc>
          <w:tcPr>
            <w:tcW w:w="3440" w:type="dxa"/>
            <w:vAlign w:val="bottom"/>
          </w:tcPr>
          <w:p>
            <w:pPr>
              <w:ind w:left="1640"/>
              <w:spacing w:after="0"/>
              <w:rPr>
                <w:sz w:val="20"/>
                <w:szCs w:val="20"/>
                <w:color w:val="auto"/>
              </w:rPr>
            </w:pPr>
            <w:r>
              <w:rPr>
                <w:rFonts w:ascii="Arial" w:cs="Arial" w:eastAsia="Arial" w:hAnsi="Arial"/>
                <w:sz w:val="18"/>
                <w:szCs w:val="18"/>
                <w:color w:val="auto"/>
              </w:rPr>
              <w:t>Gerard P. Keehan</w:t>
            </w:r>
          </w:p>
        </w:tc>
        <w:tc>
          <w:tcPr>
            <w:tcW w:w="2980" w:type="dxa"/>
            <w:vAlign w:val="bottom"/>
          </w:tcPr>
          <w:p>
            <w:pPr>
              <w:ind w:left="440"/>
              <w:spacing w:after="0"/>
              <w:rPr>
                <w:sz w:val="20"/>
                <w:szCs w:val="20"/>
                <w:color w:val="auto"/>
              </w:rPr>
            </w:pPr>
            <w:r>
              <w:rPr>
                <w:rFonts w:ascii="Arial" w:cs="Arial" w:eastAsia="Arial" w:hAnsi="Arial"/>
                <w:sz w:val="18"/>
                <w:szCs w:val="18"/>
                <w:color w:val="auto"/>
              </w:rPr>
              <w:t>/s/ Gerard P. Keehan</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w w:val="99"/>
              </w:rPr>
              <w:t>(Must be signed by a majority</w:t>
            </w:r>
          </w:p>
        </w:tc>
        <w:tc>
          <w:tcPr>
            <w:tcW w:w="3440" w:type="dxa"/>
            <w:vAlign w:val="bottom"/>
          </w:tcPr>
          <w:p>
            <w:pPr>
              <w:ind w:left="1640"/>
              <w:spacing w:after="0"/>
              <w:rPr>
                <w:sz w:val="20"/>
                <w:szCs w:val="20"/>
                <w:color w:val="auto"/>
              </w:rPr>
            </w:pPr>
            <w:r>
              <w:rPr>
                <w:rFonts w:ascii="Arial" w:cs="Arial" w:eastAsia="Arial" w:hAnsi="Arial"/>
                <w:sz w:val="18"/>
                <w:szCs w:val="18"/>
                <w:color w:val="auto"/>
              </w:rPr>
              <w:t>Edward O. Law</w:t>
            </w:r>
          </w:p>
        </w:tc>
        <w:tc>
          <w:tcPr>
            <w:tcW w:w="2980" w:type="dxa"/>
            <w:vAlign w:val="bottom"/>
          </w:tcPr>
          <w:p>
            <w:pPr>
              <w:ind w:left="440"/>
              <w:spacing w:after="0"/>
              <w:rPr>
                <w:sz w:val="20"/>
                <w:szCs w:val="20"/>
                <w:color w:val="auto"/>
              </w:rPr>
            </w:pPr>
            <w:r>
              <w:rPr>
                <w:rFonts w:ascii="Arial" w:cs="Arial" w:eastAsia="Arial" w:hAnsi="Arial"/>
                <w:sz w:val="18"/>
                <w:szCs w:val="18"/>
                <w:color w:val="auto"/>
              </w:rPr>
              <w:t>/s/ Edward O. Law</w:t>
            </w:r>
          </w:p>
        </w:tc>
        <w:tc>
          <w:tcPr>
            <w:tcW w:w="2640" w:type="dxa"/>
            <w:vAlign w:val="bottom"/>
          </w:tcPr>
          <w:p>
            <w:pPr>
              <w:ind w:left="260"/>
              <w:spacing w:after="0"/>
              <w:rPr>
                <w:sz w:val="20"/>
                <w:szCs w:val="20"/>
                <w:color w:val="auto"/>
              </w:rPr>
            </w:pPr>
            <w:r>
              <w:rPr>
                <w:rFonts w:ascii="Arial" w:cs="Arial" w:eastAsia="Arial" w:hAnsi="Arial"/>
                <w:sz w:val="18"/>
                <w:szCs w:val="18"/>
                <w:color w:val="auto"/>
              </w:rPr>
              <w:t>February 24, 1969</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3440" w:type="dxa"/>
            <w:vAlign w:val="bottom"/>
          </w:tcPr>
          <w:p>
            <w:pPr>
              <w:ind w:left="1640"/>
              <w:spacing w:after="0"/>
              <w:rPr>
                <w:sz w:val="20"/>
                <w:szCs w:val="20"/>
                <w:color w:val="auto"/>
              </w:rPr>
            </w:pPr>
            <w:r>
              <w:rPr>
                <w:rFonts w:ascii="Arial" w:cs="Arial" w:eastAsia="Arial" w:hAnsi="Arial"/>
                <w:sz w:val="18"/>
                <w:szCs w:val="18"/>
                <w:color w:val="auto"/>
              </w:rPr>
              <w:t>Edward G. Keehan</w:t>
            </w:r>
          </w:p>
        </w:tc>
        <w:tc>
          <w:tcPr>
            <w:tcW w:w="2980" w:type="dxa"/>
            <w:vAlign w:val="bottom"/>
          </w:tcPr>
          <w:p>
            <w:pPr>
              <w:ind w:left="440"/>
              <w:spacing w:after="0"/>
              <w:rPr>
                <w:sz w:val="20"/>
                <w:szCs w:val="20"/>
                <w:color w:val="auto"/>
              </w:rPr>
            </w:pPr>
            <w:r>
              <w:rPr>
                <w:rFonts w:ascii="Arial" w:cs="Arial" w:eastAsia="Arial" w:hAnsi="Arial"/>
                <w:sz w:val="18"/>
                <w:szCs w:val="18"/>
                <w:color w:val="auto"/>
              </w:rPr>
              <w:t>/s/ Edward G. Keehan</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00" w:type="dxa"/>
            <w:vAlign w:val="bottom"/>
            <w:gridSpan w:val="2"/>
          </w:tcPr>
          <w:p>
            <w:pPr>
              <w:spacing w:after="0"/>
              <w:rPr>
                <w:sz w:val="20"/>
                <w:szCs w:val="20"/>
                <w:color w:val="auto"/>
              </w:rPr>
            </w:pPr>
            <w:r>
              <w:rPr>
                <w:rFonts w:ascii="Arial" w:cs="Arial" w:eastAsia="Arial" w:hAnsi="Arial"/>
                <w:sz w:val="18"/>
                <w:szCs w:val="18"/>
                <w:color w:val="auto"/>
              </w:rPr>
              <w:t>NAME OF PRESIDENT, VICE PRESIDENT, OR SEC.</w:t>
            </w:r>
          </w:p>
        </w:tc>
        <w:tc>
          <w:tcPr>
            <w:tcW w:w="2980" w:type="dxa"/>
            <w:vAlign w:val="bottom"/>
          </w:tcPr>
          <w:p>
            <w:pPr>
              <w:ind w:left="440"/>
              <w:spacing w:after="0"/>
              <w:rPr>
                <w:sz w:val="20"/>
                <w:szCs w:val="20"/>
                <w:color w:val="auto"/>
              </w:rPr>
            </w:pPr>
            <w:r>
              <w:rPr>
                <w:rFonts w:ascii="Arial" w:cs="Arial" w:eastAsia="Arial" w:hAnsi="Arial"/>
                <w:sz w:val="18"/>
                <w:szCs w:val="18"/>
                <w:color w:val="auto"/>
              </w:rPr>
              <w:t>SIGNED(President or Vice</w:t>
            </w:r>
          </w:p>
        </w:tc>
        <w:tc>
          <w:tcPr>
            <w:tcW w:w="2640" w:type="dxa"/>
            <w:vAlign w:val="bottom"/>
          </w:tcPr>
          <w:p>
            <w:pPr>
              <w:ind w:left="150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30"/>
        </w:trPr>
        <w:tc>
          <w:tcPr>
            <w:tcW w:w="2360" w:type="dxa"/>
            <w:vAlign w:val="bottom"/>
            <w:vMerge w:val="restart"/>
          </w:tcPr>
          <w:p>
            <w:pPr>
              <w:spacing w:after="0"/>
              <w:rPr>
                <w:sz w:val="20"/>
                <w:szCs w:val="20"/>
                <w:color w:val="auto"/>
              </w:rPr>
            </w:pPr>
            <w:r>
              <w:rPr>
                <w:rFonts w:ascii="Arial" w:cs="Arial" w:eastAsia="Arial" w:hAnsi="Arial"/>
                <w:sz w:val="18"/>
                <w:szCs w:val="18"/>
                <w:color w:val="auto"/>
              </w:rPr>
              <w:t>SUBSEQUENT</w:t>
            </w:r>
          </w:p>
        </w:tc>
        <w:tc>
          <w:tcPr>
            <w:tcW w:w="3440" w:type="dxa"/>
            <w:vAlign w:val="bottom"/>
          </w:tcPr>
          <w:p>
            <w:pPr>
              <w:spacing w:after="0"/>
              <w:rPr>
                <w:sz w:val="20"/>
                <w:szCs w:val="20"/>
                <w:color w:val="auto"/>
              </w:rPr>
            </w:pPr>
          </w:p>
        </w:tc>
        <w:tc>
          <w:tcPr>
            <w:tcW w:w="2980" w:type="dxa"/>
            <w:vAlign w:val="bottom"/>
          </w:tcPr>
          <w:p>
            <w:pPr>
              <w:ind w:left="440"/>
              <w:spacing w:after="0"/>
              <w:rPr>
                <w:sz w:val="20"/>
                <w:szCs w:val="20"/>
                <w:color w:val="auto"/>
              </w:rPr>
            </w:pPr>
            <w:r>
              <w:rPr>
                <w:rFonts w:ascii="Arial" w:cs="Arial" w:eastAsia="Arial" w:hAnsi="Arial"/>
                <w:sz w:val="18"/>
                <w:szCs w:val="18"/>
                <w:color w:val="auto"/>
              </w:rPr>
              <w:t>President, or Secretary)</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60" w:type="dxa"/>
            <w:vAlign w:val="bottom"/>
            <w:vMerge w:val="continue"/>
          </w:tcPr>
          <w:p>
            <w:pPr>
              <w:spacing w:after="0"/>
              <w:rPr>
                <w:sz w:val="17"/>
                <w:szCs w:val="17"/>
                <w:color w:val="auto"/>
              </w:rPr>
            </w:pPr>
          </w:p>
        </w:tc>
        <w:tc>
          <w:tcPr>
            <w:tcW w:w="34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APPOINTMENT</w:t>
            </w:r>
          </w:p>
        </w:tc>
        <w:tc>
          <w:tcPr>
            <w:tcW w:w="34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360" w:type="dxa"/>
            <w:vAlign w:val="bottom"/>
          </w:tcPr>
          <w:p>
            <w:pPr>
              <w:spacing w:after="0"/>
              <w:rPr>
                <w:sz w:val="24"/>
                <w:szCs w:val="24"/>
                <w:color w:val="auto"/>
              </w:rPr>
            </w:pPr>
          </w:p>
        </w:tc>
        <w:tc>
          <w:tcPr>
            <w:tcW w:w="6420" w:type="dxa"/>
            <w:vAlign w:val="bottom"/>
            <w:gridSpan w:val="2"/>
          </w:tcPr>
          <w:p>
            <w:pPr>
              <w:jc w:val="center"/>
              <w:ind w:left="210"/>
              <w:spacing w:after="0"/>
              <w:rPr>
                <w:sz w:val="20"/>
                <w:szCs w:val="20"/>
                <w:color w:val="auto"/>
              </w:rPr>
            </w:pPr>
            <w:r>
              <w:rPr>
                <w:rFonts w:ascii="Arial" w:cs="Arial" w:eastAsia="Arial" w:hAnsi="Arial"/>
                <w:sz w:val="18"/>
                <w:szCs w:val="18"/>
                <w:color w:val="auto"/>
                <w:w w:val="94"/>
              </w:rPr>
              <w:t>ACCEPTANCE</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0" w:type="dxa"/>
            <w:vAlign w:val="bottom"/>
            <w:gridSpan w:val="2"/>
          </w:tcPr>
          <w:p>
            <w:pPr>
              <w:spacing w:after="0"/>
              <w:rPr>
                <w:sz w:val="20"/>
                <w:szCs w:val="20"/>
                <w:color w:val="auto"/>
              </w:rPr>
            </w:pPr>
            <w:r>
              <w:rPr>
                <w:rFonts w:ascii="Arial" w:cs="Arial" w:eastAsia="Arial" w:hAnsi="Arial"/>
                <w:sz w:val="18"/>
                <w:szCs w:val="18"/>
                <w:color w:val="auto"/>
              </w:rPr>
              <w:t>NAME OF STATUTORY AGENT FOR SERVICE (Print or Type)</w:t>
            </w:r>
          </w:p>
        </w:tc>
        <w:tc>
          <w:tcPr>
            <w:tcW w:w="5620" w:type="dxa"/>
            <w:vAlign w:val="bottom"/>
            <w:gridSpan w:val="2"/>
          </w:tcPr>
          <w:p>
            <w:pPr>
              <w:ind w:left="1100"/>
              <w:spacing w:after="0"/>
              <w:rPr>
                <w:sz w:val="20"/>
                <w:szCs w:val="20"/>
                <w:color w:val="auto"/>
              </w:rPr>
            </w:pPr>
            <w:r>
              <w:rPr>
                <w:rFonts w:ascii="Arial" w:cs="Arial" w:eastAsia="Arial" w:hAnsi="Arial"/>
                <w:sz w:val="18"/>
                <w:szCs w:val="18"/>
                <w:color w:val="auto"/>
              </w:rPr>
              <w:t>SIGNED (Statutory Agent for service)</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Accepted:</w:t>
            </w:r>
          </w:p>
        </w:tc>
        <w:tc>
          <w:tcPr>
            <w:tcW w:w="3440" w:type="dxa"/>
            <w:vAlign w:val="bottom"/>
          </w:tcPr>
          <w:p>
            <w:pPr>
              <w:ind w:left="160"/>
              <w:spacing w:after="0"/>
              <w:rPr>
                <w:sz w:val="20"/>
                <w:szCs w:val="20"/>
                <w:color w:val="auto"/>
              </w:rPr>
            </w:pPr>
            <w:r>
              <w:rPr>
                <w:rFonts w:ascii="Arial" w:cs="Arial" w:eastAsia="Arial" w:hAnsi="Arial"/>
                <w:sz w:val="18"/>
                <w:szCs w:val="18"/>
                <w:color w:val="auto"/>
              </w:rPr>
              <w:t>Armindo J. Rebeiro</w:t>
            </w:r>
          </w:p>
        </w:tc>
        <w:tc>
          <w:tcPr>
            <w:tcW w:w="2980" w:type="dxa"/>
            <w:vAlign w:val="bottom"/>
          </w:tcPr>
          <w:p>
            <w:pPr>
              <w:ind w:left="1100"/>
              <w:spacing w:after="0"/>
              <w:rPr>
                <w:sz w:val="20"/>
                <w:szCs w:val="20"/>
                <w:color w:val="auto"/>
              </w:rPr>
            </w:pPr>
            <w:r>
              <w:rPr>
                <w:rFonts w:ascii="Arial" w:cs="Arial" w:eastAsia="Arial" w:hAnsi="Arial"/>
                <w:sz w:val="18"/>
                <w:szCs w:val="18"/>
                <w:color w:val="auto"/>
              </w:rPr>
              <w:t>/s/ Armindo J. Rebeiro</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1"/>
        </w:trPr>
        <w:tc>
          <w:tcPr>
            <w:tcW w:w="2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36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c>
          <w:tcPr>
            <w:tcW w:w="2980" w:type="dxa"/>
            <w:vAlign w:val="bottom"/>
            <w:shd w:val="clear" w:color="auto" w:fill="808080"/>
          </w:tcPr>
          <w:p>
            <w:pPr>
              <w:spacing w:after="0"/>
              <w:rPr>
                <w:sz w:val="5"/>
                <w:szCs w:val="5"/>
                <w:color w:val="auto"/>
              </w:rPr>
            </w:pPr>
          </w:p>
        </w:tc>
        <w:tc>
          <w:tcPr>
            <w:tcW w:w="26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5509 Pennock Point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Jupiter, Florida 33458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Macricostas: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Reference is made to the Consulting Agreement between you and Photronics, Inc. (“Photronics”) dated July 11, 2005 (the “Consulting Agreement”). When you became an employee of Photronics on November 10, 2008, it was agreed that your Consulting Agreement would be suspended for the period of time that you are an employee of Photronics. The Consulting Agreement will re-instate in the event you are no longer an employee of Photronics. Furthermore, the term of your Consulting Agreement will be extended for the period of time that were Interim Chief Executive Officer and an employee of Photronics. Except as set forth above, all other terms of the Consulting Agreement will be the same once the Consulting Agreement is re-instated.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If the foregoing accurately sets forth your understanding, please so indicate by signing in the space provided below.</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Richelle Burr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Vice President, Associate General Counsel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Constantine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301" w:right="29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EXECUTION COPY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181610</wp:posOffset>
            </wp:positionV>
            <wp:extent cx="72720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520065</wp:posOffset>
            </wp:positionV>
            <wp:extent cx="2015490" cy="4629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1549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THIRD AMENDED AND RESTATED CREDIT AGREEMENT</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December 5, 2013</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PHOTRONICS,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Foreign Subsidiary Borrowers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 and Collateral Agent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RBS CITIZENS, NATIONAL ASSOCIATION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200660</wp:posOffset>
            </wp:positionV>
            <wp:extent cx="219075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9075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190500</wp:posOffset>
            </wp:positionV>
            <wp:extent cx="72720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443230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297"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20" w:type="dxa"/>
            <w:vAlign w:val="bottom"/>
          </w:tcPr>
          <w:p>
            <w:pPr>
              <w:ind w:left="4780"/>
              <w:spacing w:after="0"/>
              <w:rPr>
                <w:sz w:val="20"/>
                <w:szCs w:val="20"/>
                <w:color w:val="auto"/>
              </w:rPr>
            </w:pPr>
            <w:r>
              <w:rPr>
                <w:rFonts w:ascii="Arial" w:cs="Arial" w:eastAsia="Arial" w:hAnsi="Arial"/>
                <w:sz w:val="18"/>
                <w:szCs w:val="18"/>
                <w:color w:val="auto"/>
              </w:rPr>
              <w:t>TABLE OF CONTENTS</w:t>
            </w: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600" w:type="dxa"/>
            <w:vAlign w:val="bottom"/>
            <w:gridSpan w:val="3"/>
          </w:tcPr>
          <w:p>
            <w:pPr>
              <w:ind w:left="224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8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1.01. Defined Terms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1.02. Classification of Loans and Borrowings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1.03. Terms Generally</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1.04. Accounting Terms; GAAP</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1.05. Status of Secured Obligations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1.06. Amendment and Restatement of the Existing Agreement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ARTICLE II The Credits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2.01. Commitments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2.02. Loans and Borrowings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2.03. Requests for Revolving Borrowings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2.04. Determination of Dollar Amounts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2.05. Swingline Loans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2.06. Letters of Credit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2.07. Funding of Borrowings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2.08. Interest Elections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2.09. Termination and Reduction of Commitments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2.10. Repayment of Loans; Evidence of Debt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2.11. Prepayment of Loans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2.12. Fees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2.13. Interest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2.14. Alternate Rate of Interest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2.15. Increased Costs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2.16. Break Funding Payments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2.17. Taxes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2.18. Payments Generally; Pro Rata Treatment; Sharing of Set-offs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2.19. Mitigation Obligations; Replacement of Lenders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2.20. Expansion Option</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2.21. Market Disruption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2.22. Judgment Currency</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2.23. Designation of Foreign Subsidiary Borrowers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2.24. Defaulting Lenders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ARTICLE III Representations and Warranties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3.01. Organization; Powers; Subsidiaries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3.02. Authorization; Enforceability</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3.03. Governmental Approvals; No Conflicts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3.04. Financial Condition; No Material Adverse Change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3.05. Properties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3.06. Litigation and Environmental Matters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SECTION 3.07. Compliance with Laws and Agreements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SECTION 3.08. Investment Company Status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SECTION 3.09. Taxes</w:t>
            </w:r>
          </w:p>
        </w:tc>
        <w:tc>
          <w:tcPr>
            <w:tcW w:w="2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20" w:type="dxa"/>
            <w:vAlign w:val="bottom"/>
            <w:gridSpan w:val="3"/>
          </w:tcPr>
          <w:p>
            <w:pPr>
              <w:jc w:val="center"/>
              <w:ind w:left="2490"/>
              <w:spacing w:after="0"/>
              <w:rPr>
                <w:sz w:val="20"/>
                <w:szCs w:val="20"/>
                <w:color w:val="auto"/>
              </w:rPr>
            </w:pPr>
            <w:r>
              <w:rPr>
                <w:rFonts w:ascii="Arial" w:cs="Arial" w:eastAsia="Arial" w:hAnsi="Arial"/>
                <w:sz w:val="18"/>
                <w:szCs w:val="18"/>
                <w:color w:val="auto"/>
                <w:w w:val="90"/>
              </w:rPr>
              <w:t>Table of Contents</w:t>
            </w:r>
          </w:p>
        </w:tc>
        <w:tc>
          <w:tcPr>
            <w:tcW w:w="2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24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3.10. ERISA</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SECTION 3.11. Disclosure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3.12. Federal Reserve Regulations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SECTION 3.13. Liens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3.14. No Default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SECTION 3.15. Security Interest in Collateral</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3.16. Anti-Corruption Laws and Sanctions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IV Conditions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4.01. Effective Date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SECTION 4.02. Each Credit Event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4.03. Designation of a Foreign Subsidiary Borrower</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V Affirmative Covenants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5.01. Financial Statements and Other Information</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SECTION 5.02. Notices of Material Events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5.03. Existence; Conduct of Business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SECTION 5.04. Payment of Obligations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5.05. Maintenance of Properties; Insurance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SECTION 5.06. Books and Records; Inspection Rights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5.07. Compliance with Laws and Material Contractual Obligations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SECTION 5.08. Use of Proceeds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5.09. Subsidiary Guarantors; Pledges; Additional Collateral; Further Assurances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SECTION 5.10. Depository Banks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ARTICLE VI Negative Covenants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SECTION 6.01. Indebtedness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6.02. Liens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SECTION 6.03. Fundamental Changes and Asset Sales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6.04. Investments, Loans, Advances, Guarantees and Acquisitions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SECTION 6.05. Swap Agreements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6.06. Restricted Payments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SECTION 6.07. Transactions with Affiliates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6.08. Restrictive Agreements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SECTION 6.09. Issuances of Equity Interests by Subsidiaries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6.10. Amendment of Material Documents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SECTION 6.11. Financial Covenants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6.12. Anti-Corruption Laws and Sanctions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700" w:type="dxa"/>
            <w:vAlign w:val="bottom"/>
            <w:gridSpan w:val="3"/>
          </w:tcPr>
          <w:p>
            <w:pPr>
              <w:jc w:val="center"/>
              <w:ind w:left="2610"/>
              <w:spacing w:after="0"/>
              <w:rPr>
                <w:sz w:val="20"/>
                <w:szCs w:val="20"/>
                <w:color w:val="auto"/>
              </w:rPr>
            </w:pPr>
            <w:r>
              <w:rPr>
                <w:rFonts w:ascii="Arial" w:cs="Arial" w:eastAsia="Arial" w:hAnsi="Arial"/>
                <w:sz w:val="18"/>
                <w:szCs w:val="18"/>
                <w:color w:val="auto"/>
                <w:w w:val="90"/>
              </w:rPr>
              <w:t>Table of Contents</w:t>
            </w:r>
          </w:p>
        </w:tc>
        <w:tc>
          <w:tcPr>
            <w:tcW w:w="2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2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72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VII Events of Default</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VIII The Administrative Agent and the Collateral Agent</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IX Miscellaneous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9.01. Notices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SECTION 9.02. Waivers; Amendments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9.03. Expenses; Indemnity; Damage Waiver</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SECTION 9.04. Successors and Assigns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9.05. Survival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SECTION 9.06. Counterparts; Integration; Effectiveness; Electronic Execution</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9.07. Severability</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SECTION 9.08. Right of Setoff</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9.09. Governing Law; Jurisdiction; Consent to Service of Process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SECTION 9.10. WAIVER OF JURY TRIAL</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9.11. Headings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SECTION 9.12. Confidentiality</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9.13. USA PATRIOT Act</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SECTION 9.14. Appointment for Perfection</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9.15. Interest Rate Limitation</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SECTION 9.16. No Advisory or Fiduciary Responsibility</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9.17. Releases of Subsidiary Guarantors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X Company Guarantee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40" w:type="dxa"/>
            <w:vAlign w:val="bottom"/>
            <w:gridSpan w:val="3"/>
          </w:tcPr>
          <w:p>
            <w:pPr>
              <w:jc w:val="center"/>
              <w:ind w:right="1360"/>
              <w:spacing w:after="0"/>
              <w:rPr>
                <w:sz w:val="20"/>
                <w:szCs w:val="20"/>
                <w:color w:val="auto"/>
              </w:rPr>
            </w:pPr>
            <w:r>
              <w:rPr>
                <w:rFonts w:ascii="Arial" w:cs="Arial" w:eastAsia="Arial" w:hAnsi="Arial"/>
                <w:sz w:val="18"/>
                <w:szCs w:val="18"/>
                <w:color w:val="auto"/>
                <w:w w:val="90"/>
              </w:rPr>
              <w:t>Table of Contents</w:t>
            </w:r>
          </w:p>
        </w:tc>
        <w:tc>
          <w:tcPr>
            <w:tcW w:w="0" w:type="dxa"/>
            <w:vAlign w:val="bottom"/>
          </w:tcPr>
          <w:p>
            <w:pPr>
              <w:spacing w:after="0"/>
              <w:rPr>
                <w:sz w:val="1"/>
                <w:szCs w:val="1"/>
                <w:color w:val="auto"/>
              </w:rPr>
            </w:pPr>
          </w:p>
        </w:tc>
      </w:tr>
      <w:tr>
        <w:trPr>
          <w:trHeight w:val="237"/>
        </w:trPr>
        <w:tc>
          <w:tcPr>
            <w:tcW w:w="1180" w:type="dxa"/>
            <w:vAlign w:val="bottom"/>
            <w:gridSpan w:val="5"/>
            <w:vMerge w:val="restart"/>
          </w:tcPr>
          <w:p>
            <w:pPr>
              <w:spacing w:after="0"/>
              <w:rPr>
                <w:sz w:val="20"/>
                <w:szCs w:val="20"/>
                <w:color w:val="auto"/>
              </w:rPr>
            </w:pPr>
            <w:r>
              <w:rPr>
                <w:rFonts w:ascii="Arial" w:cs="Arial" w:eastAsia="Arial" w:hAnsi="Arial"/>
                <w:sz w:val="18"/>
                <w:szCs w:val="18"/>
                <w:color w:val="auto"/>
              </w:rPr>
              <w:t>SCHEDULES:</w:t>
            </w:r>
          </w:p>
        </w:tc>
        <w:tc>
          <w:tcPr>
            <w:tcW w:w="2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5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8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Schedule 2.01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Commitments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w w:val="86"/>
              </w:rPr>
              <w:t>Schedule 2.06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40" w:type="dxa"/>
            <w:vAlign w:val="bottom"/>
            <w:gridSpan w:val="4"/>
          </w:tcPr>
          <w:p>
            <w:pPr>
              <w:ind w:left="20"/>
              <w:spacing w:after="0"/>
              <w:rPr>
                <w:sz w:val="20"/>
                <w:szCs w:val="20"/>
                <w:color w:val="auto"/>
              </w:rPr>
            </w:pPr>
            <w:r>
              <w:rPr>
                <w:rFonts w:ascii="Arial" w:cs="Arial" w:eastAsia="Arial" w:hAnsi="Arial"/>
                <w:sz w:val="18"/>
                <w:szCs w:val="18"/>
                <w:color w:val="auto"/>
              </w:rPr>
              <w:t>-- Existing Letters of Credit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Schedule 3.01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Subsidiaries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w w:val="86"/>
              </w:rPr>
              <w:t>Schedule 6.01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40"/>
              <w:spacing w:after="0"/>
              <w:rPr>
                <w:sz w:val="20"/>
                <w:szCs w:val="20"/>
                <w:color w:val="auto"/>
              </w:rPr>
            </w:pPr>
            <w:r>
              <w:rPr>
                <w:rFonts w:ascii="Arial" w:cs="Arial" w:eastAsia="Arial" w:hAnsi="Arial"/>
                <w:sz w:val="18"/>
                <w:szCs w:val="18"/>
                <w:color w:val="auto"/>
              </w:rPr>
              <w:t>Existing Indebtedness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Schedule 6.02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Existing Liens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w w:val="86"/>
              </w:rPr>
              <w:t>Schedule 6.04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40" w:type="dxa"/>
            <w:vAlign w:val="bottom"/>
            <w:gridSpan w:val="4"/>
          </w:tcPr>
          <w:p>
            <w:pPr>
              <w:ind w:left="20"/>
              <w:spacing w:after="0"/>
              <w:rPr>
                <w:sz w:val="20"/>
                <w:szCs w:val="20"/>
                <w:color w:val="auto"/>
              </w:rPr>
            </w:pPr>
            <w:r>
              <w:rPr>
                <w:rFonts w:ascii="Arial" w:cs="Arial" w:eastAsia="Arial" w:hAnsi="Arial"/>
                <w:sz w:val="18"/>
                <w:szCs w:val="18"/>
                <w:color w:val="auto"/>
              </w:rPr>
              <w:t>-- Existing Investments, Loans and Advances; Taiwan JV Transactions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Schedule 6.07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Affiliate Transactions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w w:val="86"/>
              </w:rPr>
              <w:t>Schedule 6.08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40"/>
              <w:spacing w:after="0"/>
              <w:rPr>
                <w:sz w:val="20"/>
                <w:szCs w:val="20"/>
                <w:color w:val="auto"/>
              </w:rPr>
            </w:pPr>
            <w:r>
              <w:rPr>
                <w:rFonts w:ascii="Arial" w:cs="Arial" w:eastAsia="Arial" w:hAnsi="Arial"/>
                <w:sz w:val="18"/>
                <w:szCs w:val="18"/>
                <w:color w:val="auto"/>
              </w:rPr>
              <w:t>Existing Restrictions</w:t>
            </w:r>
          </w:p>
        </w:tc>
        <w:tc>
          <w:tcPr>
            <w:tcW w:w="0" w:type="dxa"/>
            <w:vAlign w:val="bottom"/>
          </w:tcPr>
          <w:p>
            <w:pPr>
              <w:spacing w:after="0"/>
              <w:rPr>
                <w:sz w:val="1"/>
                <w:szCs w:val="1"/>
                <w:color w:val="auto"/>
              </w:rPr>
            </w:pPr>
          </w:p>
        </w:tc>
      </w:tr>
      <w:tr>
        <w:trPr>
          <w:trHeight w:val="377"/>
        </w:trPr>
        <w:tc>
          <w:tcPr>
            <w:tcW w:w="104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Exhibit A</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w:t>
            </w:r>
          </w:p>
        </w:tc>
        <w:tc>
          <w:tcPr>
            <w:tcW w:w="102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Form of Assignment and Assumption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w:t>
            </w:r>
          </w:p>
        </w:tc>
        <w:tc>
          <w:tcPr>
            <w:tcW w:w="10240" w:type="dxa"/>
            <w:vAlign w:val="bottom"/>
            <w:gridSpan w:val="4"/>
          </w:tcPr>
          <w:p>
            <w:pPr>
              <w:ind w:left="80"/>
              <w:spacing w:after="0"/>
              <w:rPr>
                <w:sz w:val="20"/>
                <w:szCs w:val="20"/>
                <w:color w:val="auto"/>
              </w:rPr>
            </w:pPr>
            <w:r>
              <w:rPr>
                <w:rFonts w:ascii="Arial" w:cs="Arial" w:eastAsia="Arial" w:hAnsi="Arial"/>
                <w:sz w:val="18"/>
                <w:szCs w:val="18"/>
                <w:color w:val="auto"/>
              </w:rPr>
              <w:t>Form of Opinion of Loan Parties’ Counsel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Exhibit C</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w:t>
            </w:r>
          </w:p>
        </w:tc>
        <w:tc>
          <w:tcPr>
            <w:tcW w:w="102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Form of Increasing Lender Supplement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w:t>
            </w:r>
          </w:p>
        </w:tc>
        <w:tc>
          <w:tcPr>
            <w:tcW w:w="10240" w:type="dxa"/>
            <w:vAlign w:val="bottom"/>
            <w:gridSpan w:val="4"/>
          </w:tcPr>
          <w:p>
            <w:pPr>
              <w:ind w:left="80"/>
              <w:spacing w:after="0"/>
              <w:rPr>
                <w:sz w:val="20"/>
                <w:szCs w:val="20"/>
                <w:color w:val="auto"/>
              </w:rPr>
            </w:pPr>
            <w:r>
              <w:rPr>
                <w:rFonts w:ascii="Arial" w:cs="Arial" w:eastAsia="Arial" w:hAnsi="Arial"/>
                <w:sz w:val="18"/>
                <w:szCs w:val="18"/>
                <w:color w:val="auto"/>
              </w:rPr>
              <w:t>Form of Augmenting Lender Supplement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Exhibit E</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w:t>
            </w:r>
          </w:p>
        </w:tc>
        <w:tc>
          <w:tcPr>
            <w:tcW w:w="102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List of Closing Documents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Exhibit F-1</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w:t>
            </w:r>
          </w:p>
        </w:tc>
        <w:tc>
          <w:tcPr>
            <w:tcW w:w="10240" w:type="dxa"/>
            <w:vAlign w:val="bottom"/>
            <w:gridSpan w:val="4"/>
          </w:tcPr>
          <w:p>
            <w:pPr>
              <w:ind w:left="80"/>
              <w:spacing w:after="0"/>
              <w:rPr>
                <w:sz w:val="20"/>
                <w:szCs w:val="20"/>
                <w:color w:val="auto"/>
              </w:rPr>
            </w:pPr>
            <w:r>
              <w:rPr>
                <w:rFonts w:ascii="Arial" w:cs="Arial" w:eastAsia="Arial" w:hAnsi="Arial"/>
                <w:sz w:val="18"/>
                <w:szCs w:val="18"/>
                <w:color w:val="auto"/>
              </w:rPr>
              <w:t>Form of Borrowing Subsidiary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Exhibit F-2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w:t>
            </w:r>
          </w:p>
        </w:tc>
        <w:tc>
          <w:tcPr>
            <w:tcW w:w="102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Form of Borrowing Subsidiary Termination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Exhibit G</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w:t>
            </w:r>
          </w:p>
        </w:tc>
        <w:tc>
          <w:tcPr>
            <w:tcW w:w="10240" w:type="dxa"/>
            <w:vAlign w:val="bottom"/>
            <w:gridSpan w:val="4"/>
          </w:tcPr>
          <w:p>
            <w:pPr>
              <w:ind w:left="80"/>
              <w:spacing w:after="0"/>
              <w:rPr>
                <w:sz w:val="20"/>
                <w:szCs w:val="20"/>
                <w:color w:val="auto"/>
              </w:rPr>
            </w:pPr>
            <w:r>
              <w:rPr>
                <w:rFonts w:ascii="Arial" w:cs="Arial" w:eastAsia="Arial" w:hAnsi="Arial"/>
                <w:sz w:val="18"/>
                <w:szCs w:val="18"/>
                <w:color w:val="auto"/>
              </w:rPr>
              <w:t>Form of Subsidiary Guaranty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Exhibit H</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w:t>
            </w:r>
          </w:p>
        </w:tc>
        <w:tc>
          <w:tcPr>
            <w:tcW w:w="102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Form of Pledge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Exhibit I-1</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w:t>
            </w:r>
          </w:p>
        </w:tc>
        <w:tc>
          <w:tcPr>
            <w:tcW w:w="10240" w:type="dxa"/>
            <w:vAlign w:val="bottom"/>
            <w:gridSpan w:val="4"/>
          </w:tcPr>
          <w:p>
            <w:pPr>
              <w:ind w:left="80"/>
              <w:spacing w:after="0"/>
              <w:rPr>
                <w:sz w:val="20"/>
                <w:szCs w:val="20"/>
                <w:color w:val="auto"/>
              </w:rPr>
            </w:pPr>
            <w:r>
              <w:rPr>
                <w:rFonts w:ascii="Arial" w:cs="Arial" w:eastAsia="Arial" w:hAnsi="Arial"/>
                <w:sz w:val="18"/>
                <w:szCs w:val="18"/>
                <w:color w:val="auto"/>
              </w:rPr>
              <w:t>Form of Borrowing Request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Exhibit I-2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w:t>
            </w:r>
          </w:p>
        </w:tc>
        <w:tc>
          <w:tcPr>
            <w:tcW w:w="102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Form of Interest Election Request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20" w:type="dxa"/>
            <w:vAlign w:val="bottom"/>
            <w:gridSpan w:val="2"/>
          </w:tcPr>
          <w:p>
            <w:pPr>
              <w:spacing w:after="0" w:line="197" w:lineRule="exact"/>
              <w:rPr>
                <w:sz w:val="20"/>
                <w:szCs w:val="20"/>
                <w:color w:val="auto"/>
              </w:rPr>
            </w:pPr>
            <w:r>
              <w:rPr>
                <w:rFonts w:ascii="Arial" w:cs="Arial" w:eastAsia="Arial" w:hAnsi="Arial"/>
                <w:sz w:val="18"/>
                <w:szCs w:val="18"/>
                <w:color w:val="auto"/>
              </w:rPr>
              <w:t>Exhibit J</w:t>
            </w:r>
          </w:p>
        </w:tc>
        <w:tc>
          <w:tcPr>
            <w:tcW w:w="140" w:type="dxa"/>
            <w:vAlign w:val="bottom"/>
            <w:gridSpan w:val="2"/>
          </w:tcPr>
          <w:p>
            <w:pPr>
              <w:jc w:val="right"/>
              <w:ind w:right="20"/>
              <w:spacing w:after="0" w:line="197" w:lineRule="exact"/>
              <w:rPr>
                <w:sz w:val="20"/>
                <w:szCs w:val="20"/>
                <w:color w:val="auto"/>
              </w:rPr>
            </w:pPr>
            <w:r>
              <w:rPr>
                <w:rFonts w:ascii="Arial" w:cs="Arial" w:eastAsia="Arial" w:hAnsi="Arial"/>
                <w:sz w:val="18"/>
                <w:szCs w:val="18"/>
                <w:color w:val="auto"/>
                <w:w w:val="82"/>
              </w:rPr>
              <w:t>--</w:t>
            </w:r>
          </w:p>
        </w:tc>
        <w:tc>
          <w:tcPr>
            <w:tcW w:w="10240" w:type="dxa"/>
            <w:vAlign w:val="bottom"/>
            <w:gridSpan w:val="4"/>
          </w:tcPr>
          <w:p>
            <w:pPr>
              <w:ind w:left="80"/>
              <w:spacing w:after="0" w:line="197" w:lineRule="exact"/>
              <w:rPr>
                <w:sz w:val="20"/>
                <w:szCs w:val="20"/>
                <w:color w:val="auto"/>
              </w:rPr>
            </w:pPr>
            <w:r>
              <w:rPr>
                <w:rFonts w:ascii="Arial" w:cs="Arial" w:eastAsia="Arial" w:hAnsi="Arial"/>
                <w:sz w:val="18"/>
                <w:szCs w:val="18"/>
                <w:color w:val="auto"/>
              </w:rPr>
              <w:t>Form of Promissory Note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6340" w:type="dxa"/>
            <w:vAlign w:val="bottom"/>
            <w:gridSpan w:val="2"/>
          </w:tcPr>
          <w:p>
            <w:pPr>
              <w:jc w:val="center"/>
              <w:ind w:right="5060"/>
              <w:spacing w:after="0"/>
              <w:rPr>
                <w:sz w:val="20"/>
                <w:szCs w:val="20"/>
                <w:color w:val="auto"/>
              </w:rPr>
            </w:pPr>
            <w:r>
              <w:rPr>
                <w:rFonts w:ascii="Arial" w:cs="Arial" w:eastAsia="Arial" w:hAnsi="Arial"/>
                <w:sz w:val="14"/>
                <w:szCs w:val="14"/>
                <w:color w:val="auto"/>
              </w:rPr>
              <w:t>iv</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94" w:name="page95"/>
    <w:bookmarkEnd w:id="94"/>
    <w:p>
      <w:pPr>
        <w:jc w:val="both"/>
        <w:ind w:firstLine="1297"/>
        <w:spacing w:after="0" w:line="286" w:lineRule="auto"/>
        <w:rPr>
          <w:sz w:val="20"/>
          <w:szCs w:val="20"/>
          <w:color w:val="auto"/>
        </w:rPr>
      </w:pPr>
      <w:r>
        <w:rPr>
          <w:rFonts w:ascii="Arial" w:cs="Arial" w:eastAsia="Arial" w:hAnsi="Arial"/>
          <w:sz w:val="17"/>
          <w:szCs w:val="17"/>
          <w:color w:val="auto"/>
        </w:rPr>
        <w:t>THIRD AMENDED AND RESTATED CREDIT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December 5, 2013 among PHOTRONICS, INC., the FOREIGN SUBSIDIARY BORROWERS from time to time party hereto, the LENDERS from time to time party hereto, RBS CITIZENS, NATIONAL ASSOCIATION, as Syndication Agent, and JPMORGAN CHASE BANK, N.A., as Administrative Agent and Collateral Agent.</w:t>
      </w:r>
    </w:p>
    <w:p>
      <w:pPr>
        <w:spacing w:after="0" w:line="16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Company, the lenders party thereto and JPMorgan Chase Bank, N.A., as administrative agent and collateral agent thereunder, are currently party to the Second Amended and Restated Credit Agreement, dated as of March 2, 2012 (as amended, supplemented or otherwise modified prior to the date hereof, the “</w:t>
      </w:r>
      <w:r>
        <w:rPr>
          <w:rFonts w:ascii="Arial" w:cs="Arial" w:eastAsia="Arial" w:hAnsi="Arial"/>
          <w:sz w:val="18"/>
          <w:szCs w:val="18"/>
          <w:u w:val="single" w:color="auto"/>
          <w:color w:val="auto"/>
        </w:rPr>
        <w:t>Existing Agreement</w:t>
      </w:r>
      <w:r>
        <w:rPr>
          <w:rFonts w:ascii="Arial" w:cs="Arial" w:eastAsia="Arial" w:hAnsi="Arial"/>
          <w:sz w:val="18"/>
          <w:szCs w:val="18"/>
          <w:color w:val="auto"/>
        </w:rPr>
        <w:t>”).</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WHEREAS, the Company, the Lenders, the Administrative Agent and the Collateral Agent have agreed to enter into this Agreement in order to (i) amend and restate the Existing Agreement in its entirety; (ii) re-evidence the “Obligations” under, and as defined in, the Existing Agreement, which shall be repayable in accordance with the terms of this Agreement; and (iii) set forth the terms and conditions under which the Lenders will, from time to time, make loans and extend other financial accommodations to or for the benefit of the Borrowers.</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WHEREAS, it is the intent of the parties hereto that this Agreement not constitute a novation of the obligations and liabilities of the parties under the Existing Agreement or be deemed to evidence or constitute full repayment of such obligations and liabilities, but that this Agreement amend and restate in its entirety the Existing Agreement and re-evidence the obligations and liabilities of the Company and the Subsidiaries outstanding thereunder, which shall be payable in accordance with the terms hereof.</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WHEREAS, it is also the intent of the Company and the Subsidiary Guarantors to confirm that all obligations under the applicable “Loan Documents” (as referred to and defined the Existing Agreement) shall continue in full force and effect as modified or restated by the Loan Documents (as referred to and defined herein) and that, from and after the Effective Date, all references to the “Credit Agreement” contained in any such existing “Loan Documents” shall be deemed to refer to this Agreement.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NOW, THEREFORE, in consideration of the premises and the mutual covenants contained herein, the parties hereto hereby agree that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Existing Agreement is hereby amended and restated as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a Loan, or the Loans comprising such Borrowing, bearing interest at a rate determined by reference to the Alternate Base Rate.</w:t>
      </w:r>
    </w:p>
    <w:p>
      <w:pPr>
        <w:spacing w:after="0" w:line="170"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LIBO Rate</w:t>
      </w:r>
      <w:r>
        <w:rPr>
          <w:rFonts w:ascii="Arial" w:cs="Arial" w:eastAsia="Arial" w:hAnsi="Arial"/>
          <w:sz w:val="17"/>
          <w:szCs w:val="17"/>
          <w:color w:val="auto"/>
        </w:rPr>
        <w:t>” means, with respect to any Eurocurrency Borrowing for any Interest Period, an interest rate per annum (rounded upwards, if necessary, to the next 1/16 of 1%) equal to (a) the LIBO Rate for such Interest Period multiplied by (b) the Statutory Reserve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(including its branches and affiliates), in its capacity as administrative agent for the Lenders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Foreign Subsidiary</w:t>
      </w:r>
      <w:r>
        <w:rPr>
          <w:rFonts w:ascii="Arial" w:cs="Arial" w:eastAsia="Arial" w:hAnsi="Arial"/>
          <w:sz w:val="18"/>
          <w:szCs w:val="18"/>
          <w:color w:val="auto"/>
        </w:rPr>
        <w:t>” means any Foreign Subsidiary to the extent such Foreign Subsidiary acting as a Subsidiary Guarantor would cause a Deemed Dividend Problem.</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Party</w:t>
      </w:r>
      <w:r>
        <w:rPr>
          <w:rFonts w:ascii="Arial" w:cs="Arial" w:eastAsia="Arial" w:hAnsi="Arial"/>
          <w:sz w:val="18"/>
          <w:szCs w:val="18"/>
          <w:color w:val="auto"/>
        </w:rPr>
        <w:t>” has the meaning assigned to such term in Section 9.01(d).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the Administrative Agent and the Collateral Agent.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w:t>
      </w:r>
      <w:r>
        <w:rPr>
          <w:rFonts w:ascii="Arial" w:cs="Arial" w:eastAsia="Arial" w:hAnsi="Arial"/>
          <w:sz w:val="18"/>
          <w:szCs w:val="18"/>
          <w:color w:val="auto"/>
        </w:rPr>
        <w:t>” means the aggregate of the Commitments of all of the Lenders, as reduced or increased from time to time pursuant to the terms and conditions hereof. As of the Effective Date, the Aggregate Commitment is $50,000,000.</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Currencies</w:t>
      </w:r>
      <w:r>
        <w:rPr>
          <w:rFonts w:ascii="Arial" w:cs="Arial" w:eastAsia="Arial" w:hAnsi="Arial"/>
          <w:sz w:val="18"/>
          <w:szCs w:val="18"/>
          <w:color w:val="auto"/>
        </w:rPr>
        <w:t>” means (i) Dollars and (ii) any other currency (x) that is a lawful currency (other than Dollars) that is readily available and freely transferable and convertible into Dollars, (y) for which a LIBOR Screen Rate is available in the Administrative Agent’s determination and (z) that is agreed to by the Administrative Agent and each of the Lenders.</w:t>
      </w:r>
    </w:p>
    <w:p>
      <w:pPr>
        <w:spacing w:after="0" w:line="181"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Federal Funds Effective Rate in effect on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½ of 1% and (c) the Adjusted LIBO Rate for a one month Interest Period on such day (or if such day is not a Business Day, the immediately preceding Business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Adjusted LIBO Rate for any day shall be based on the rate appearing on Reuters Screen LIBOR01 Page (or on any successor or substitute page of such page) at approximately 11:00 a.m. London time on such day.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w:t>
      </w:r>
    </w:p>
    <w:p>
      <w:pPr>
        <w:spacing w:after="0" w:line="16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Company or its Subsidiaries from time to time concerning or relating to bribery or corruption.</w:t>
      </w:r>
    </w:p>
    <w:p>
      <w:pPr>
        <w:spacing w:after="0" w:line="170"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with respect to any Lender, the percentage equal to a fraction the numerator of which is such Lender’s Commitment and the denominator of which is the Aggregate Commitment (if the Commitments have terminated or expired, the Applicable Percentages shall be determined based upon the Commitments most recently in effect, giving effect to any assignments);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Section 2.24 when a Defaulting Lender shall exist, any such Defaulting Lender’s Commitment shall be disregarded in the calculation.</w:t>
      </w:r>
    </w:p>
    <w:p>
      <w:pPr>
        <w:spacing w:after="0" w:line="17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Pledge Percentage</w:t>
      </w:r>
      <w:r>
        <w:rPr>
          <w:rFonts w:ascii="Arial" w:cs="Arial" w:eastAsia="Arial" w:hAnsi="Arial"/>
          <w:sz w:val="18"/>
          <w:szCs w:val="18"/>
          <w:color w:val="auto"/>
        </w:rPr>
        <w:t>” means 100% but 65% in the case of a pledge by the Company or any Domestic Subsidiary of its Equity Interests in an Affected Foreign Subsidiary.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 with respect to any Eurocurrency Loan, or any ABR Loan or with respect to the commitment fees payable hereunder, as the case may be, the applicable rate per annum set forth below under the caption “Eurocurrency Spread”, “ABR Spread” or “Commitment Fee Rate”, as the case may be, based upon the Total Leverage Ratio applicable on such date:</w:t>
      </w:r>
    </w:p>
    <w:p>
      <w:pPr>
        <w:spacing w:after="0" w:line="176" w:lineRule="exact"/>
        <w:rPr>
          <w:sz w:val="20"/>
          <w:szCs w:val="20"/>
          <w:color w:val="auto"/>
        </w:rPr>
      </w:pPr>
    </w:p>
    <w:tbl>
      <w:tblPr>
        <w:tblLayout w:type="fixed"/>
        <w:tblInd w:w="1170" w:type="dxa"/>
        <w:tblCellMar>
          <w:top w:w="0" w:type="dxa"/>
          <w:left w:w="0" w:type="dxa"/>
          <w:bottom w:w="0" w:type="dxa"/>
          <w:right w:w="0" w:type="dxa"/>
        </w:tblCellMar>
      </w:tblPr>
      <w:tr>
        <w:trPr>
          <w:trHeight w:val="41"/>
        </w:trPr>
        <w:tc>
          <w:tcPr>
            <w:tcW w:w="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right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right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right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auto"/>
              <w:bottom w:val="single" w:sz="8" w:color="auto"/>
              <w:right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right w:val="single" w:sz="8" w:color="auto"/>
            </w:tcBorders>
          </w:tcPr>
          <w:p>
            <w:pPr>
              <w:spacing w:after="0"/>
              <w:rPr>
                <w:sz w:val="3"/>
                <w:szCs w:val="3"/>
                <w:color w:val="auto"/>
              </w:rPr>
            </w:pPr>
          </w:p>
        </w:tc>
      </w:tr>
      <w:tr>
        <w:trPr>
          <w:trHeight w:val="169"/>
        </w:trPr>
        <w:tc>
          <w:tcPr>
            <w:tcW w:w="60" w:type="dxa"/>
            <w:vAlign w:val="bottom"/>
            <w:tcBorders>
              <w:left w:val="single" w:sz="8" w:color="auto"/>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tcBorders>
              <w:right w:val="single" w:sz="8" w:color="auto"/>
            </w:tcBorders>
            <w:gridSpan w:val="6"/>
          </w:tcPr>
          <w:p>
            <w:pPr>
              <w:jc w:val="center"/>
              <w:ind w:right="580"/>
              <w:spacing w:after="0" w:line="170" w:lineRule="exact"/>
              <w:rPr>
                <w:sz w:val="20"/>
                <w:szCs w:val="20"/>
                <w:color w:val="auto"/>
              </w:rPr>
            </w:pPr>
            <w:r>
              <w:rPr>
                <w:rFonts w:ascii="Arial" w:cs="Arial" w:eastAsia="Arial" w:hAnsi="Arial"/>
                <w:sz w:val="18"/>
                <w:szCs w:val="18"/>
                <w:color w:val="auto"/>
                <w:w w:val="90"/>
              </w:rPr>
              <w:t>Total Leverage Ratio:</w:t>
            </w:r>
          </w:p>
        </w:tc>
        <w:tc>
          <w:tcPr>
            <w:tcW w:w="100" w:type="dxa"/>
            <w:vAlign w:val="bottom"/>
          </w:tcPr>
          <w:p>
            <w:pPr>
              <w:spacing w:after="0"/>
              <w:rPr>
                <w:sz w:val="14"/>
                <w:szCs w:val="14"/>
                <w:color w:val="auto"/>
              </w:rPr>
            </w:pPr>
          </w:p>
        </w:tc>
        <w:tc>
          <w:tcPr>
            <w:tcW w:w="1140" w:type="dxa"/>
            <w:vAlign w:val="bottom"/>
            <w:tcBorders>
              <w:right w:val="single" w:sz="8" w:color="auto"/>
            </w:tcBorders>
            <w:gridSpan w:val="4"/>
          </w:tcPr>
          <w:p>
            <w:pPr>
              <w:jc w:val="center"/>
              <w:ind w:right="200"/>
              <w:spacing w:after="0" w:line="170" w:lineRule="exact"/>
              <w:rPr>
                <w:sz w:val="20"/>
                <w:szCs w:val="20"/>
                <w:color w:val="auto"/>
              </w:rPr>
            </w:pPr>
            <w:r>
              <w:rPr>
                <w:rFonts w:ascii="Arial" w:cs="Arial" w:eastAsia="Arial" w:hAnsi="Arial"/>
                <w:sz w:val="18"/>
                <w:szCs w:val="18"/>
                <w:color w:val="auto"/>
                <w:w w:val="92"/>
              </w:rPr>
              <w:t>Commitment</w:t>
            </w:r>
          </w:p>
        </w:tc>
        <w:tc>
          <w:tcPr>
            <w:tcW w:w="200" w:type="dxa"/>
            <w:vAlign w:val="bottom"/>
          </w:tcPr>
          <w:p>
            <w:pPr>
              <w:spacing w:after="0"/>
              <w:rPr>
                <w:sz w:val="14"/>
                <w:szCs w:val="14"/>
                <w:color w:val="auto"/>
              </w:rPr>
            </w:pPr>
          </w:p>
        </w:tc>
        <w:tc>
          <w:tcPr>
            <w:tcW w:w="120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color w:val="auto"/>
              </w:rPr>
              <w:t>Eurocurrency</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right w:val="single" w:sz="8" w:color="auto"/>
            </w:tcBorders>
            <w:gridSpan w:val="3"/>
          </w:tcPr>
          <w:p>
            <w:pPr>
              <w:spacing w:after="0" w:line="170" w:lineRule="exact"/>
              <w:rPr>
                <w:sz w:val="20"/>
                <w:szCs w:val="20"/>
                <w:color w:val="auto"/>
              </w:rPr>
            </w:pPr>
            <w:r>
              <w:rPr>
                <w:rFonts w:ascii="Arial" w:cs="Arial" w:eastAsia="Arial" w:hAnsi="Arial"/>
                <w:sz w:val="18"/>
                <w:szCs w:val="18"/>
                <w:color w:val="auto"/>
              </w:rPr>
              <w:t>ABR</w:t>
            </w:r>
          </w:p>
        </w:tc>
      </w:tr>
      <w:tr>
        <w:trPr>
          <w:trHeight w:val="20"/>
        </w:trPr>
        <w:tc>
          <w:tcPr>
            <w:tcW w:w="60" w:type="dxa"/>
            <w:vAlign w:val="bottom"/>
            <w:tcBorders>
              <w:left w:val="single" w:sz="8" w:color="auto"/>
              <w:righ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196"/>
        </w:trPr>
        <w:tc>
          <w:tcPr>
            <w:tcW w:w="60" w:type="dxa"/>
            <w:vAlign w:val="bottom"/>
            <w:tcBorders>
              <w:left w:val="single" w:sz="8" w:color="auto"/>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83"/>
              </w:rPr>
              <w:t>Fee Rate</w:t>
            </w: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tcPr>
          <w:p>
            <w:pPr>
              <w:jc w:val="right"/>
              <w:ind w:right="240"/>
              <w:spacing w:after="0" w:line="196" w:lineRule="exact"/>
              <w:rPr>
                <w:sz w:val="20"/>
                <w:szCs w:val="20"/>
                <w:color w:val="auto"/>
              </w:rPr>
            </w:pPr>
            <w:r>
              <w:rPr>
                <w:rFonts w:ascii="Arial" w:cs="Arial" w:eastAsia="Arial" w:hAnsi="Arial"/>
                <w:sz w:val="18"/>
                <w:szCs w:val="18"/>
                <w:color w:val="auto"/>
              </w:rPr>
              <w:t>Spread</w:t>
            </w: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rPr>
              <w:t>Spread</w:t>
            </w:r>
          </w:p>
        </w:tc>
      </w:tr>
      <w:tr>
        <w:trPr>
          <w:trHeight w:val="28"/>
        </w:trPr>
        <w:tc>
          <w:tcPr>
            <w:tcW w:w="6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23"/>
        </w:trPr>
        <w:tc>
          <w:tcPr>
            <w:tcW w:w="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420" w:type="dxa"/>
            <w:vAlign w:val="bottom"/>
            <w:tcBorders>
              <w:bottom w:val="single" w:sz="8" w:color="auto"/>
              <w:right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1:</w:t>
            </w:r>
          </w:p>
        </w:tc>
        <w:tc>
          <w:tcPr>
            <w:tcW w:w="4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right w:val="single" w:sz="8" w:color="auto"/>
            </w:tcBorders>
            <w:gridSpan w:val="4"/>
            <w:shd w:val="clear" w:color="auto" w:fill="CCEEFF"/>
          </w:tcPr>
          <w:p>
            <w:pPr>
              <w:jc w:val="center"/>
              <w:ind w:right="880"/>
              <w:spacing w:after="0" w:line="176" w:lineRule="exact"/>
              <w:rPr>
                <w:sz w:val="20"/>
                <w:szCs w:val="20"/>
                <w:color w:val="auto"/>
              </w:rPr>
            </w:pPr>
            <w:r>
              <w:rPr>
                <w:rFonts w:ascii="Arial" w:cs="Arial" w:eastAsia="Arial" w:hAnsi="Arial"/>
                <w:sz w:val="18"/>
                <w:szCs w:val="18"/>
                <w:color w:val="auto"/>
                <w:w w:val="90"/>
              </w:rPr>
              <w:t>&lt; 1.00 to1.00</w:t>
            </w:r>
          </w:p>
        </w:tc>
        <w:tc>
          <w:tcPr>
            <w:tcW w:w="8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0.20%</w:t>
            </w:r>
          </w:p>
        </w:tc>
        <w:tc>
          <w:tcPr>
            <w:tcW w:w="1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4"/>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1.25%</w:t>
            </w:r>
          </w:p>
        </w:tc>
        <w:tc>
          <w:tcPr>
            <w:tcW w:w="220" w:type="dxa"/>
            <w:vAlign w:val="bottom"/>
            <w:tcBorders>
              <w:bottom w:val="single" w:sz="8" w:color="auto"/>
              <w:right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gridSpan w:val="5"/>
            <w:shd w:val="clear" w:color="auto" w:fill="CCEEFF"/>
          </w:tcPr>
          <w:p>
            <w:pPr>
              <w:ind w:left="500"/>
              <w:spacing w:after="0" w:line="176" w:lineRule="exact"/>
              <w:rPr>
                <w:sz w:val="20"/>
                <w:szCs w:val="20"/>
                <w:color w:val="auto"/>
              </w:rPr>
            </w:pPr>
            <w:r>
              <w:rPr>
                <w:rFonts w:ascii="Arial" w:cs="Arial" w:eastAsia="Arial" w:hAnsi="Arial"/>
                <w:sz w:val="18"/>
                <w:szCs w:val="18"/>
                <w:color w:val="auto"/>
              </w:rPr>
              <w:t>0.25%</w:t>
            </w:r>
          </w:p>
        </w:tc>
      </w:tr>
      <w:tr>
        <w:trPr>
          <w:trHeight w:val="176"/>
        </w:trPr>
        <w:tc>
          <w:tcPr>
            <w:tcW w:w="60" w:type="dxa"/>
            <w:vAlign w:val="bottom"/>
            <w:tcBorders>
              <w:left w:val="single" w:sz="8" w:color="auto"/>
              <w:right w:val="single" w:sz="8" w:color="auto"/>
            </w:tcBorders>
          </w:tcPr>
          <w:p>
            <w:pPr>
              <w:spacing w:after="0"/>
              <w:rPr>
                <w:sz w:val="15"/>
                <w:szCs w:val="15"/>
                <w:color w:val="auto"/>
              </w:rPr>
            </w:pPr>
          </w:p>
        </w:tc>
        <w:tc>
          <w:tcPr>
            <w:tcW w:w="242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8"/>
                <w:szCs w:val="18"/>
                <w:color w:val="auto"/>
              </w:rPr>
              <w:t>Category 2:</w:t>
            </w:r>
          </w:p>
        </w:tc>
        <w:tc>
          <w:tcPr>
            <w:tcW w:w="460" w:type="dxa"/>
            <w:vAlign w:val="bottom"/>
          </w:tcPr>
          <w:p>
            <w:pPr>
              <w:spacing w:after="0"/>
              <w:rPr>
                <w:sz w:val="15"/>
                <w:szCs w:val="15"/>
                <w:color w:val="auto"/>
              </w:rPr>
            </w:pPr>
          </w:p>
        </w:tc>
        <w:tc>
          <w:tcPr>
            <w:tcW w:w="2140" w:type="dxa"/>
            <w:vAlign w:val="bottom"/>
            <w:tcBorders>
              <w:right w:val="single" w:sz="8" w:color="auto"/>
            </w:tcBorders>
            <w:gridSpan w:val="6"/>
          </w:tcPr>
          <w:p>
            <w:pPr>
              <w:jc w:val="center"/>
              <w:ind w:right="580"/>
              <w:spacing w:after="0" w:line="176" w:lineRule="exact"/>
              <w:rPr>
                <w:sz w:val="20"/>
                <w:szCs w:val="20"/>
                <w:color w:val="auto"/>
              </w:rPr>
            </w:pPr>
            <w:r>
              <w:rPr>
                <w:rFonts w:ascii="Arial" w:cs="Arial" w:eastAsia="Arial" w:hAnsi="Arial"/>
                <w:sz w:val="18"/>
                <w:szCs w:val="18"/>
                <w:color w:val="auto"/>
                <w:w w:val="90"/>
              </w:rPr>
              <w:t>&gt; 1.00 to 1.00 but</w:t>
            </w:r>
          </w:p>
        </w:tc>
        <w:tc>
          <w:tcPr>
            <w:tcW w:w="88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0.25%</w:t>
            </w: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180" w:type="dxa"/>
            <w:vAlign w:val="bottom"/>
            <w:gridSpan w:val="4"/>
          </w:tcPr>
          <w:p>
            <w:pPr>
              <w:jc w:val="right"/>
              <w:ind w:right="200"/>
              <w:spacing w:after="0" w:line="176" w:lineRule="exact"/>
              <w:rPr>
                <w:sz w:val="20"/>
                <w:szCs w:val="20"/>
                <w:color w:val="auto"/>
              </w:rPr>
            </w:pPr>
            <w:r>
              <w:rPr>
                <w:rFonts w:ascii="Arial" w:cs="Arial" w:eastAsia="Arial" w:hAnsi="Arial"/>
                <w:sz w:val="18"/>
                <w:szCs w:val="18"/>
                <w:color w:val="auto"/>
              </w:rPr>
              <w:t>1.50%</w:t>
            </w:r>
          </w:p>
        </w:tc>
        <w:tc>
          <w:tcPr>
            <w:tcW w:w="22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gridSpan w:val="5"/>
          </w:tcPr>
          <w:p>
            <w:pPr>
              <w:ind w:left="500"/>
              <w:spacing w:after="0" w:line="176" w:lineRule="exact"/>
              <w:rPr>
                <w:sz w:val="20"/>
                <w:szCs w:val="20"/>
                <w:color w:val="auto"/>
              </w:rPr>
            </w:pPr>
            <w:r>
              <w:rPr>
                <w:rFonts w:ascii="Arial" w:cs="Arial" w:eastAsia="Arial" w:hAnsi="Arial"/>
                <w:sz w:val="18"/>
                <w:szCs w:val="18"/>
                <w:color w:val="auto"/>
              </w:rPr>
              <w:t>0.50%</w:t>
            </w:r>
          </w:p>
        </w:tc>
      </w:tr>
      <w:tr>
        <w:trPr>
          <w:trHeight w:val="196"/>
        </w:trPr>
        <w:tc>
          <w:tcPr>
            <w:tcW w:w="60" w:type="dxa"/>
            <w:vAlign w:val="bottom"/>
            <w:tcBorders>
              <w:left w:val="single" w:sz="8" w:color="auto"/>
              <w:right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Borders>
              <w:right w:val="single" w:sz="8" w:color="auto"/>
            </w:tcBorders>
            <w:gridSpan w:val="5"/>
          </w:tcPr>
          <w:p>
            <w:pPr>
              <w:jc w:val="center"/>
              <w:ind w:right="860"/>
              <w:spacing w:after="0" w:line="196" w:lineRule="exact"/>
              <w:rPr>
                <w:sz w:val="20"/>
                <w:szCs w:val="20"/>
                <w:color w:val="auto"/>
              </w:rPr>
            </w:pPr>
            <w:r>
              <w:rPr>
                <w:rFonts w:ascii="Arial" w:cs="Arial" w:eastAsia="Arial" w:hAnsi="Arial"/>
                <w:sz w:val="18"/>
                <w:szCs w:val="18"/>
                <w:color w:val="auto"/>
                <w:w w:val="90"/>
              </w:rPr>
              <w:t>&lt; 1.50 to 1.00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r>
      <w:tr>
        <w:trPr>
          <w:trHeight w:val="28"/>
        </w:trPr>
        <w:tc>
          <w:tcPr>
            <w:tcW w:w="6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176"/>
        </w:trPr>
        <w:tc>
          <w:tcPr>
            <w:tcW w:w="60" w:type="dxa"/>
            <w:vAlign w:val="bottom"/>
            <w:tcBorders>
              <w:left w:val="single" w:sz="8" w:color="auto"/>
              <w:right w:val="single" w:sz="8" w:color="auto"/>
            </w:tcBorders>
            <w:shd w:val="clear" w:color="auto" w:fill="CCEEFF"/>
          </w:tcPr>
          <w:p>
            <w:pPr>
              <w:spacing w:after="0"/>
              <w:rPr>
                <w:sz w:val="15"/>
                <w:szCs w:val="15"/>
                <w:color w:val="auto"/>
              </w:rPr>
            </w:pPr>
          </w:p>
        </w:tc>
        <w:tc>
          <w:tcPr>
            <w:tcW w:w="2420" w:type="dxa"/>
            <w:vAlign w:val="bottom"/>
            <w:tcBorders>
              <w:right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3:</w:t>
            </w:r>
          </w:p>
        </w:tc>
        <w:tc>
          <w:tcPr>
            <w:tcW w:w="460" w:type="dxa"/>
            <w:vAlign w:val="bottom"/>
            <w:shd w:val="clear" w:color="auto" w:fill="CCEEFF"/>
          </w:tcPr>
          <w:p>
            <w:pPr>
              <w:spacing w:after="0"/>
              <w:rPr>
                <w:sz w:val="15"/>
                <w:szCs w:val="15"/>
                <w:color w:val="auto"/>
              </w:rPr>
            </w:pPr>
          </w:p>
        </w:tc>
        <w:tc>
          <w:tcPr>
            <w:tcW w:w="2140" w:type="dxa"/>
            <w:vAlign w:val="bottom"/>
            <w:tcBorders>
              <w:right w:val="single" w:sz="8" w:color="auto"/>
            </w:tcBorders>
            <w:gridSpan w:val="6"/>
            <w:shd w:val="clear" w:color="auto" w:fill="CCEEFF"/>
          </w:tcPr>
          <w:p>
            <w:pPr>
              <w:jc w:val="center"/>
              <w:ind w:right="580"/>
              <w:spacing w:after="0" w:line="176" w:lineRule="exact"/>
              <w:rPr>
                <w:sz w:val="20"/>
                <w:szCs w:val="20"/>
                <w:color w:val="auto"/>
              </w:rPr>
            </w:pPr>
            <w:r>
              <w:rPr>
                <w:rFonts w:ascii="Arial" w:cs="Arial" w:eastAsia="Arial" w:hAnsi="Arial"/>
                <w:sz w:val="18"/>
                <w:szCs w:val="18"/>
                <w:color w:val="auto"/>
                <w:w w:val="90"/>
              </w:rPr>
              <w:t>&gt; 1.50 to 1.00 but</w:t>
            </w:r>
          </w:p>
        </w:tc>
        <w:tc>
          <w:tcPr>
            <w:tcW w:w="88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1180" w:type="dxa"/>
            <w:vAlign w:val="bottom"/>
            <w:gridSpan w:val="4"/>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1.75%</w:t>
            </w:r>
          </w:p>
        </w:tc>
        <w:tc>
          <w:tcPr>
            <w:tcW w:w="220" w:type="dxa"/>
            <w:vAlign w:val="bottom"/>
            <w:tcBorders>
              <w:right w:val="single" w:sz="8" w:color="auto"/>
            </w:tcBorders>
            <w:shd w:val="clear" w:color="auto" w:fill="CCEEFF"/>
          </w:tcPr>
          <w:p>
            <w:pPr>
              <w:spacing w:after="0"/>
              <w:rPr>
                <w:sz w:val="15"/>
                <w:szCs w:val="15"/>
                <w:color w:val="auto"/>
              </w:rPr>
            </w:pPr>
          </w:p>
        </w:tc>
        <w:tc>
          <w:tcPr>
            <w:tcW w:w="1400" w:type="dxa"/>
            <w:vAlign w:val="bottom"/>
            <w:tcBorders>
              <w:right w:val="single" w:sz="8" w:color="auto"/>
            </w:tcBorders>
            <w:gridSpan w:val="5"/>
            <w:shd w:val="clear" w:color="auto" w:fill="CCEEFF"/>
          </w:tcPr>
          <w:p>
            <w:pPr>
              <w:ind w:left="500"/>
              <w:spacing w:after="0" w:line="176" w:lineRule="exact"/>
              <w:rPr>
                <w:sz w:val="20"/>
                <w:szCs w:val="20"/>
                <w:color w:val="auto"/>
              </w:rPr>
            </w:pPr>
            <w:r>
              <w:rPr>
                <w:rFonts w:ascii="Arial" w:cs="Arial" w:eastAsia="Arial" w:hAnsi="Arial"/>
                <w:sz w:val="18"/>
                <w:szCs w:val="18"/>
                <w:color w:val="auto"/>
              </w:rPr>
              <w:t>0.75%</w:t>
            </w:r>
          </w:p>
        </w:tc>
      </w:tr>
      <w:tr>
        <w:trPr>
          <w:trHeight w:val="244"/>
        </w:trPr>
        <w:tc>
          <w:tcPr>
            <w:tcW w:w="6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16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460" w:type="dxa"/>
            <w:vAlign w:val="bottom"/>
            <w:tcBorders>
              <w:top w:val="single" w:sz="8" w:color="CCEEFF"/>
              <w:bottom w:val="single" w:sz="8" w:color="auto"/>
            </w:tcBorders>
            <w:shd w:val="clear" w:color="auto" w:fill="CCEEFF"/>
          </w:tcPr>
          <w:p>
            <w:pPr>
              <w:spacing w:after="0"/>
              <w:rPr>
                <w:sz w:val="21"/>
                <w:szCs w:val="21"/>
                <w:color w:val="auto"/>
              </w:rPr>
            </w:pPr>
          </w:p>
        </w:tc>
        <w:tc>
          <w:tcPr>
            <w:tcW w:w="280" w:type="dxa"/>
            <w:vAlign w:val="bottom"/>
            <w:tcBorders>
              <w:top w:val="single" w:sz="8" w:color="CCEEFF"/>
              <w:bottom w:val="single" w:sz="8" w:color="auto"/>
            </w:tcBorders>
            <w:shd w:val="clear" w:color="auto" w:fill="CCEEFF"/>
          </w:tcPr>
          <w:p>
            <w:pPr>
              <w:spacing w:after="0"/>
              <w:rPr>
                <w:sz w:val="21"/>
                <w:szCs w:val="21"/>
                <w:color w:val="auto"/>
              </w:rPr>
            </w:pPr>
          </w:p>
        </w:tc>
        <w:tc>
          <w:tcPr>
            <w:tcW w:w="1860" w:type="dxa"/>
            <w:vAlign w:val="bottom"/>
            <w:tcBorders>
              <w:top w:val="single" w:sz="8" w:color="CCEEFF"/>
              <w:bottom w:val="single" w:sz="8" w:color="auto"/>
              <w:right w:val="single" w:sz="8" w:color="auto"/>
            </w:tcBorders>
            <w:gridSpan w:val="5"/>
            <w:shd w:val="clear" w:color="auto" w:fill="CCEEFF"/>
          </w:tcPr>
          <w:p>
            <w:pPr>
              <w:jc w:val="center"/>
              <w:ind w:right="860"/>
              <w:spacing w:after="0" w:line="196" w:lineRule="exact"/>
              <w:rPr>
                <w:sz w:val="20"/>
                <w:szCs w:val="20"/>
                <w:color w:val="auto"/>
              </w:rPr>
            </w:pPr>
            <w:r>
              <w:rPr>
                <w:rFonts w:ascii="Arial" w:cs="Arial" w:eastAsia="Arial" w:hAnsi="Arial"/>
                <w:sz w:val="18"/>
                <w:szCs w:val="18"/>
                <w:color w:val="auto"/>
                <w:w w:val="90"/>
              </w:rPr>
              <w:t>&lt; 2.00 to 1.00</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spacing w:after="0"/>
              <w:rPr>
                <w:sz w:val="21"/>
                <w:szCs w:val="21"/>
                <w:color w:val="auto"/>
              </w:rPr>
            </w:pPr>
          </w:p>
        </w:tc>
        <w:tc>
          <w:tcPr>
            <w:tcW w:w="620" w:type="dxa"/>
            <w:vAlign w:val="bottom"/>
            <w:tcBorders>
              <w:top w:val="single" w:sz="8" w:color="CCEEFF"/>
              <w:bottom w:val="single" w:sz="8" w:color="auto"/>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spacing w:after="0"/>
              <w:rPr>
                <w:sz w:val="21"/>
                <w:szCs w:val="21"/>
                <w:color w:val="auto"/>
              </w:rPr>
            </w:pPr>
          </w:p>
        </w:tc>
        <w:tc>
          <w:tcPr>
            <w:tcW w:w="2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spacing w:after="0"/>
              <w:rPr>
                <w:sz w:val="21"/>
                <w:szCs w:val="21"/>
                <w:color w:val="auto"/>
              </w:rPr>
            </w:pPr>
          </w:p>
        </w:tc>
        <w:tc>
          <w:tcPr>
            <w:tcW w:w="240" w:type="dxa"/>
            <w:vAlign w:val="bottom"/>
            <w:tcBorders>
              <w:top w:val="single" w:sz="8" w:color="CCEEFF"/>
              <w:bottom w:val="single" w:sz="8" w:color="auto"/>
            </w:tcBorders>
            <w:shd w:val="clear" w:color="auto" w:fill="CCEEFF"/>
          </w:tcPr>
          <w:p>
            <w:pPr>
              <w:spacing w:after="0"/>
              <w:rPr>
                <w:sz w:val="21"/>
                <w:szCs w:val="21"/>
                <w:color w:val="auto"/>
              </w:rPr>
            </w:pPr>
          </w:p>
        </w:tc>
        <w:tc>
          <w:tcPr>
            <w:tcW w:w="500" w:type="dxa"/>
            <w:vAlign w:val="bottom"/>
            <w:tcBorders>
              <w:top w:val="single" w:sz="8" w:color="CCEEFF"/>
              <w:bottom w:val="single" w:sz="8" w:color="auto"/>
            </w:tcBorders>
            <w:shd w:val="clear" w:color="auto" w:fill="CCEEFF"/>
          </w:tcPr>
          <w:p>
            <w:pPr>
              <w:spacing w:after="0"/>
              <w:rPr>
                <w:sz w:val="21"/>
                <w:szCs w:val="21"/>
                <w:color w:val="auto"/>
              </w:rPr>
            </w:pPr>
          </w:p>
        </w:tc>
        <w:tc>
          <w:tcPr>
            <w:tcW w:w="240" w:type="dxa"/>
            <w:vAlign w:val="bottom"/>
            <w:tcBorders>
              <w:top w:val="single" w:sz="8" w:color="CCEEFF"/>
              <w:bottom w:val="single" w:sz="8" w:color="auto"/>
            </w:tcBorders>
            <w:shd w:val="clear" w:color="auto" w:fill="CCEEFF"/>
          </w:tcPr>
          <w:p>
            <w:pPr>
              <w:spacing w:after="0"/>
              <w:rPr>
                <w:sz w:val="21"/>
                <w:szCs w:val="21"/>
                <w:color w:val="auto"/>
              </w:rPr>
            </w:pPr>
          </w:p>
        </w:tc>
        <w:tc>
          <w:tcPr>
            <w:tcW w:w="2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440" w:type="dxa"/>
            <w:vAlign w:val="bottom"/>
            <w:tcBorders>
              <w:top w:val="single" w:sz="8" w:color="CCEEFF"/>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auto"/>
            </w:tcBorders>
            <w:shd w:val="clear" w:color="auto" w:fill="CCEEFF"/>
          </w:tcPr>
          <w:p>
            <w:pPr>
              <w:spacing w:after="0"/>
              <w:rPr>
                <w:sz w:val="21"/>
                <w:szCs w:val="21"/>
                <w:color w:val="auto"/>
              </w:rPr>
            </w:pPr>
          </w:p>
        </w:tc>
        <w:tc>
          <w:tcPr>
            <w:tcW w:w="360" w:type="dxa"/>
            <w:vAlign w:val="bottom"/>
            <w:tcBorders>
              <w:top w:val="single" w:sz="8" w:color="CCEEFF"/>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4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76"/>
        </w:trPr>
        <w:tc>
          <w:tcPr>
            <w:tcW w:w="60" w:type="dxa"/>
            <w:vAlign w:val="bottom"/>
            <w:tcBorders>
              <w:left w:val="single" w:sz="8" w:color="auto"/>
              <w:right w:val="single" w:sz="8" w:color="auto"/>
            </w:tcBorders>
          </w:tcPr>
          <w:p>
            <w:pPr>
              <w:spacing w:after="0"/>
              <w:rPr>
                <w:sz w:val="15"/>
                <w:szCs w:val="15"/>
                <w:color w:val="auto"/>
              </w:rPr>
            </w:pPr>
          </w:p>
        </w:tc>
        <w:tc>
          <w:tcPr>
            <w:tcW w:w="242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8"/>
                <w:szCs w:val="18"/>
                <w:color w:val="auto"/>
              </w:rPr>
              <w:t>Category 4:</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Borders>
              <w:right w:val="single" w:sz="8" w:color="auto"/>
            </w:tcBorders>
            <w:gridSpan w:val="5"/>
          </w:tcPr>
          <w:p>
            <w:pPr>
              <w:jc w:val="center"/>
              <w:ind w:right="860"/>
              <w:spacing w:after="0" w:line="176" w:lineRule="exact"/>
              <w:rPr>
                <w:sz w:val="20"/>
                <w:szCs w:val="20"/>
                <w:color w:val="auto"/>
              </w:rPr>
            </w:pPr>
            <w:r>
              <w:rPr>
                <w:rFonts w:ascii="Arial" w:cs="Arial" w:eastAsia="Arial" w:hAnsi="Arial"/>
                <w:sz w:val="18"/>
                <w:szCs w:val="18"/>
                <w:color w:val="auto"/>
                <w:w w:val="90"/>
              </w:rPr>
              <w:t>&gt; 2.00 to 1.00</w:t>
            </w:r>
          </w:p>
        </w:tc>
        <w:tc>
          <w:tcPr>
            <w:tcW w:w="88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0.35%</w:t>
            </w: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180" w:type="dxa"/>
            <w:vAlign w:val="bottom"/>
            <w:gridSpan w:val="4"/>
          </w:tcPr>
          <w:p>
            <w:pPr>
              <w:jc w:val="right"/>
              <w:ind w:right="200"/>
              <w:spacing w:after="0" w:line="176" w:lineRule="exact"/>
              <w:rPr>
                <w:sz w:val="20"/>
                <w:szCs w:val="20"/>
                <w:color w:val="auto"/>
              </w:rPr>
            </w:pPr>
            <w:r>
              <w:rPr>
                <w:rFonts w:ascii="Arial" w:cs="Arial" w:eastAsia="Arial" w:hAnsi="Arial"/>
                <w:sz w:val="18"/>
                <w:szCs w:val="18"/>
                <w:color w:val="auto"/>
              </w:rPr>
              <w:t>2.00%</w:t>
            </w:r>
          </w:p>
        </w:tc>
        <w:tc>
          <w:tcPr>
            <w:tcW w:w="22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gridSpan w:val="5"/>
          </w:tcPr>
          <w:p>
            <w:pPr>
              <w:ind w:left="500"/>
              <w:spacing w:after="0" w:line="176" w:lineRule="exact"/>
              <w:rPr>
                <w:sz w:val="20"/>
                <w:szCs w:val="20"/>
                <w:color w:val="auto"/>
              </w:rPr>
            </w:pPr>
            <w:r>
              <w:rPr>
                <w:rFonts w:ascii="Arial" w:cs="Arial" w:eastAsia="Arial" w:hAnsi="Arial"/>
                <w:sz w:val="18"/>
                <w:szCs w:val="18"/>
                <w:color w:val="auto"/>
              </w:rPr>
              <w:t>1.00%</w:t>
            </w:r>
          </w:p>
        </w:tc>
      </w:tr>
      <w:tr>
        <w:trPr>
          <w:trHeight w:val="75"/>
        </w:trPr>
        <w:tc>
          <w:tcPr>
            <w:tcW w:w="60" w:type="dxa"/>
            <w:vAlign w:val="bottom"/>
            <w:tcBorders>
              <w:left w:val="single" w:sz="8" w:color="auto"/>
              <w:bottom w:val="single" w:sz="8" w:color="auto"/>
              <w:right w:val="single" w:sz="8" w:color="auto"/>
            </w:tcBorders>
          </w:tcPr>
          <w:p>
            <w:pPr>
              <w:spacing w:after="0"/>
              <w:rPr>
                <w:sz w:val="6"/>
                <w:szCs w:val="6"/>
                <w:color w:val="auto"/>
              </w:rPr>
            </w:pPr>
          </w:p>
        </w:tc>
        <w:tc>
          <w:tcPr>
            <w:tcW w:w="820" w:type="dxa"/>
            <w:vAlign w:val="bottom"/>
            <w:tcBorders>
              <w:top w:val="single" w:sz="8" w:color="auto"/>
              <w:bottom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w:t>
      </w:r>
    </w:p>
    <w:p>
      <w:pPr>
        <w:spacing w:after="0" w:line="225" w:lineRule="exact"/>
        <w:rPr>
          <w:sz w:val="20"/>
          <w:szCs w:val="20"/>
          <w:color w:val="auto"/>
        </w:rPr>
      </w:pPr>
    </w:p>
    <w:p>
      <w:pPr>
        <w:jc w:val="both"/>
        <w:ind w:firstLine="1305"/>
        <w:spacing w:after="0" w:line="312" w:lineRule="auto"/>
        <w:tabs>
          <w:tab w:leader="none" w:pos="151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at any time the Company fails to deliver the Financials on or before the date the Financials are due pursuant to Section 5.01, Category 4 shall be deemed applicable for the period commencing five (5) Business Days after the required date of delivery and ending on the date which is five (5) Business Days after the Financials are actually delivered, after which the Category shall be determined in accordance with the table above as applicable;</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15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adjustments, if any, to the Category then in effect shall be effective five (5) Business Days after the Administrative Agent has received the applicable Financials (it being understood and agreed that each change in Category shall apply during the period commencing on the effective date of such change and ending on the date immediately preceding the effective date of the next such change); and</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6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notwithstanding the foregoing, Category 3 shall be deemed to be applicable until the Administrative Agent’s receipt of the applicable Financials for the Company’s first fiscal quarter ending after the Effective Date (unless such Financials demonstrate that Category 4 should have been applicable during such period, in which case such other Category shall be deemed to be applicable during such period) and adjustments to the Category then in effect shall thereafter be effected in accordance with the preceding paragraphs.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Approximate Equivalent Amount</w:t>
      </w:r>
      <w:r>
        <w:rPr>
          <w:rFonts w:ascii="Arial" w:cs="Arial" w:eastAsia="Arial" w:hAnsi="Arial"/>
          <w:sz w:val="18"/>
          <w:szCs w:val="18"/>
          <w:color w:val="auto"/>
        </w:rPr>
        <w:t>” of any currency with respect to any amount of Dollars shall mean the Equivalent Amount of such currency with respect to such amount of Dollars on or as of such date, rounded up to the nearest amount of such currency as determined by the Administrative Agent from time to time.</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agreement entered into by a Lender and an assignee (with the consent of any party whose consent is required by Section 9.04), and accepted by the Administrative Agent, in the form of Exhibit A or any other form approved by the Administrative Agent.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Augmenting Lender</w:t>
      </w:r>
      <w:r>
        <w:rPr>
          <w:rFonts w:ascii="Arial" w:cs="Arial" w:eastAsia="Arial" w:hAnsi="Arial"/>
          <w:sz w:val="18"/>
          <w:szCs w:val="18"/>
          <w:color w:val="auto"/>
        </w:rPr>
        <w:t>” has the meaning assigned to such term in Section 2.20.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Revolving Commitment</w:t>
      </w:r>
      <w:r>
        <w:rPr>
          <w:rFonts w:ascii="Arial" w:cs="Arial" w:eastAsia="Arial" w:hAnsi="Arial"/>
          <w:sz w:val="18"/>
          <w:szCs w:val="18"/>
          <w:color w:val="auto"/>
        </w:rPr>
        <w:t xml:space="preserve">” means, at any time with respect to any Lender, the Commitment of such Lender then in effect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the Revolving Credit Exposure of such Lender at such time (excluding, for the purpose of calculating the commitment fee under Section 2.12, any Lender’s Swingline Exposure).</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bank services provided to the Company or any Subsidiary by any Lender or any of its Affiliates: (a) credit cards for commercial customers (including, without limitation, commercial credit cards and purchasing cards), (b) stored value cards and (c) treasury management services (including, without limitation, controlled disbursement, automated clearinghouse transactions, return items, overdrafts and interstate depository network services).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Services Agreement</w:t>
      </w:r>
      <w:r>
        <w:rPr>
          <w:rFonts w:ascii="Arial" w:cs="Arial" w:eastAsia="Arial" w:hAnsi="Arial"/>
          <w:sz w:val="16"/>
          <w:szCs w:val="16"/>
          <w:color w:val="auto"/>
        </w:rPr>
        <w:t>” means any agreement entered into by the Company or any Subsidiary in connection with Banking Services.</w:t>
      </w:r>
    </w:p>
    <w:p>
      <w:pPr>
        <w:spacing w:after="0" w:line="24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means any and all obligations of the Company or any Subsidiary, whether absolute or contingent and howsoever and whensoever created, arising, evidenced or acquired (including all renewals, extensions and modifications thereof and substitutions therefor) in connection with Banking Services.</w:t>
      </w:r>
    </w:p>
    <w:p>
      <w:pPr>
        <w:spacing w:after="0" w:line="18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the Company or any Foreign Subsidiary Borrower.</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Loans of the same Type, made, converted or continued on the same date and, in the case of Eurocurrency Loans, as to which a single Interest Period is in effect or (b) a Swingline Loan.</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any Borrower for a Revolving Borrowing in accordance with Section 2.03 in the form attached hereto as Exhibit I-1.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Subsidiary Agreement</w:t>
      </w:r>
      <w:r>
        <w:rPr>
          <w:rFonts w:ascii="Arial" w:cs="Arial" w:eastAsia="Arial" w:hAnsi="Arial"/>
          <w:sz w:val="18"/>
          <w:szCs w:val="18"/>
          <w:color w:val="auto"/>
        </w:rPr>
        <w:t>” means a Borrowing Subsidiary Agreement substantially in the form of Exhibit F-1.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Subsidiary Termination</w:t>
      </w:r>
      <w:r>
        <w:rPr>
          <w:rFonts w:ascii="Arial" w:cs="Arial" w:eastAsia="Arial" w:hAnsi="Arial"/>
          <w:sz w:val="18"/>
          <w:szCs w:val="18"/>
          <w:color w:val="auto"/>
        </w:rPr>
        <w:t>” means a Borrowing Subsidiary Termination substantially in the form of Exhibit F-2.</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Eurocurrency Loan,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banks are not open for dealings in the relevant Agreed Currency in the London interbank market or the principal financial center of such Agreed Currency (and, if the Borrowings or LC Disbursements which are the subject of a borrowing, drawing, payment, reimbursement or rate selection are denominated in euro, the term “Business Day” shall also exclude any day on which the TARGET2 payment system is not open for the settlement of payments in euro).</w:t>
      </w:r>
    </w:p>
    <w:p>
      <w:pPr>
        <w:spacing w:after="0" w:line="193"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means, without duplication, any cash expenditures for any purchase or other acquisition of any asset which would be classified as a fixed or capital asset on a consolidated balance sheet of the Company and its Subsidiaries prepared in accordance with GAAP.</w:t>
      </w:r>
    </w:p>
    <w:p>
      <w:pPr>
        <w:spacing w:after="0" w:line="14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obligations for payment of rent under operating leases if and to the extent such leases are or would be classified as operating leases under applicable Accounting Standards Codification recognized by the Financial Accounting Standards Board as in effect as of the date of this Agreement but are required to be reclassified as capital leases as a result of amendments to such Accounting Standards Codification made in accordance with those accounting standards proposed in the Proposed Accounting Standards Update (Revised), Leases (Topic 842), exposure draft issued on May 16, 2013 (a revision of the Proposed Accounting Standards Update, Leases (Topic 840), issued August 17, 2010) shall not constitute Capital Lease Obligations hereunder.</w:t>
      </w:r>
    </w:p>
    <w:p>
      <w:pPr>
        <w:spacing w:after="0" w:line="19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Company; (b) occupation of a majority of the seats (other than vacant seats) on the board of directors of the Company by Persons who were neither (i) nominated by the board of directors of the Company nor (ii) appointed by directors so nominated; (c) the acquisition of direct or indirect Control of the Company by any Person or group; (d) the occurrence of a change in control, or other similar provision, as defined in any agreement or instrument evidencing any Material Indebtedness (triggering a default or mandatory prepayment, which default or mandatory prepayment has not been waived in writing); or (e) the Company ceases to own, directly or indirectly, and Control 100% (other than directors’ qualifying shares) of the ordinary voting and economic power of any Foreign Subsidiary Borrower, other than, to the extent such Subsidiaries are Foreign Subsidiary Borrowers, PKL, PKLT and, at any time prior to the consummation of the PSMC Acquisition, PSMC, in respect of which the Company will continue to own and Control more than 50%.</w:t>
      </w:r>
    </w:p>
    <w:p>
      <w:pPr>
        <w:spacing w:after="0" w:line="17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or Swingline Loans.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COF Rate</w:t>
      </w:r>
      <w:r>
        <w:rPr>
          <w:rFonts w:ascii="Arial" w:cs="Arial" w:eastAsia="Arial" w:hAnsi="Arial"/>
          <w:sz w:val="18"/>
          <w:szCs w:val="18"/>
          <w:color w:val="auto"/>
        </w:rPr>
        <w:t>” has the meaning assigned to such term in Section 2.14(a).</w:t>
      </w:r>
    </w:p>
    <w:p>
      <w:pPr>
        <w:spacing w:after="0" w:line="2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means all Pledged Equity, all “Collateral” as defined in the Security Agreement and all other property pledged in favor of the Collateral Agent, on behalf of itself and the Holders of Secured Obligations, pursuant to the Mortgages and any other Collateral Document from time to time.</w:t>
      </w:r>
    </w:p>
    <w:p>
      <w:pPr>
        <w:spacing w:after="0" w:line="12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JPMorgan Chase Bank, N.A. in its capacity as Collateral Agent for the Holders of Secured Obligations and any successor Collateral Agent appointed pursuant to the terms of this Agreement.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collectively, the Security Agreement, the Pledge Agreements, the Mortgages and all other agreements, instruments and documents executed in connection with this Agreement that are intended to create, evidence or perfect Liens to secure the Secured Obligations.</w:t>
      </w:r>
    </w:p>
    <w:p>
      <w:pPr>
        <w:spacing w:after="0" w:line="181"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(a) reduced or terminated from time to time pursuant to Section 2.09, (b) increased from time to time pursuant to Section 2.20 and (c) reduced or increased from time to time pursuant to assignments by or to such Lender pursuant to Section 9.04. The initial amount of each Lender’s Commitment is set forth on Schedule 2.01, or in the Assignment and Assumption or other documentation contemplated hereby pursuant to which such Lender shall have assumed its Commitment, as applicable.</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 as amended from time to time, and any successor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has the meaning assigned to such term in Section 9.01(d).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Photronics, Inc., a Connecticut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Date</w:t>
      </w:r>
      <w:r>
        <w:rPr>
          <w:rFonts w:ascii="Arial" w:cs="Arial" w:eastAsia="Arial" w:hAnsi="Arial"/>
          <w:sz w:val="18"/>
          <w:szCs w:val="18"/>
          <w:color w:val="auto"/>
        </w:rPr>
        <w:t>” is defined in Section 2.04.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jc w:val="both"/>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for any period, Consolidated Net Income for such period, minus the aggregate amount of extraordinary, unusual or non-recurring income or gains for such period to the extent required to be separately stated in the Company’s financial statements in accordance with GAAP, minus any unrealized non-cash gains or income attributable to the application of “mark to market” accounting rules in accordance with GAAP for such period, plus, without duplication and to the extent deducted from revenues in determining Consolidated Net Income for such period, the sum of (a) the aggregate amount of Consolidated Interest Expense for such period, plus (b) the aggregate amount of income tax expense for such period, plus (c) the aggregate amount of depreciation and amortization for such period, plus (d) non-cash expenses related to stock-based compensation, plus (e) any extraordinary or non-recurring non-cash expenses, write-downs, write-offs, or losses including impairment or restructuring charges or any unrealized non-cash losses attributable to the application of “mark to market” accounting rules in accordance with GAAP for such period, plus (f) any write-downs, write-offs, or losses incurred in connection with the repayment of the Existing Convertible Notes described in clause (i) of the definition thereof, plus (g) the aggregate amount of attorney, accounting and investment banking fees, costs and expenses and other out-of-pocket one-time expenses incurred in connection with the negotiation and creation of the Taiwan JV during such period, plus (h) the aggregate amount of fees, costs and expenses paid on the Effective Date to the Administrative Agent and the Lenders, including for reimbursement of costs, fees or expenses of the Administrative Agent or any Lender, in connection with the Loan Documents and/or the transactions contemplated thereby, all as determined on a consolidated basis with respect to the Company and its consolidated Subsidiaries in accordance with GAAP, minus, to the extent included in determining Consolidated Net Income for such period, any cash payments made during such period in respect of items described in clauses (d) and (e) above subsequent to the fiscal quarter in which the relevant non-cash expense or loss was reflected in a statement of Consolidated Net Income. For the purposes of calculating Consolidated EBITDA for any period of four consecutive fiscal quarters (each, a “</w:t>
      </w:r>
      <w:r>
        <w:rPr>
          <w:rFonts w:ascii="Arial" w:cs="Arial" w:eastAsia="Arial" w:hAnsi="Arial"/>
          <w:sz w:val="16"/>
          <w:szCs w:val="16"/>
          <w:u w:val="single" w:color="auto"/>
          <w:color w:val="auto"/>
        </w:rPr>
        <w:t>Reference Period</w:t>
      </w:r>
      <w:r>
        <w:rPr>
          <w:rFonts w:ascii="Arial" w:cs="Arial" w:eastAsia="Arial" w:hAnsi="Arial"/>
          <w:sz w:val="16"/>
          <w:szCs w:val="16"/>
          <w:color w:val="auto"/>
        </w:rPr>
        <w:t>”), (i) if at any time during such Reference Period the Company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Company or any Subsidiary shall have made a Material Acquisition, Consolidated EBITDA for such Reference Period shall be calculated after giving pro forma effect thereto as if such Material Acquisition occurred on the first day of such Reference Period. As used in this definition, “</w:t>
      </w:r>
      <w:r>
        <w:rPr>
          <w:rFonts w:ascii="Arial" w:cs="Arial" w:eastAsia="Arial" w:hAnsi="Arial"/>
          <w:sz w:val="16"/>
          <w:szCs w:val="16"/>
          <w:u w:val="single" w:color="auto"/>
          <w:color w:val="auto"/>
        </w:rPr>
        <w:t>Material Acquisition</w:t>
      </w:r>
      <w:r>
        <w:rPr>
          <w:rFonts w:ascii="Arial" w:cs="Arial" w:eastAsia="Arial" w:hAnsi="Arial"/>
          <w:sz w:val="16"/>
          <w:szCs w:val="16"/>
          <w:color w:val="auto"/>
        </w:rPr>
        <w:t>” means any acquisition of property or series of related acquisitions of property (excluding, for the avoidance of doubt, the acquisition of property pursuant to the Taiwan JV Transactions) that (a) constitutes (i) assets comprising all or substantially all or any significant portion of a business or operating unit of a business, or (ii) all or substantially all of the common stock or other Equity Interests of a Person, and (b) involves the payment of consideration by the Company and its Subsidiaries in excess of $10,000,000; and “</w:t>
      </w:r>
      <w:r>
        <w:rPr>
          <w:rFonts w:ascii="Arial" w:cs="Arial" w:eastAsia="Arial" w:hAnsi="Arial"/>
          <w:sz w:val="16"/>
          <w:szCs w:val="16"/>
          <w:u w:val="single" w:color="auto"/>
          <w:color w:val="auto"/>
        </w:rPr>
        <w:t>Material Disposition</w:t>
      </w:r>
      <w:r>
        <w:rPr>
          <w:rFonts w:ascii="Arial" w:cs="Arial" w:eastAsia="Arial" w:hAnsi="Arial"/>
          <w:sz w:val="16"/>
          <w:szCs w:val="16"/>
          <w:color w:val="auto"/>
        </w:rPr>
        <w:t>” means any sale, transfer or disposition of property or series of related sales, transfers, or dispositions of property that yields gross proceeds to the Company or any of its Subsidiaries in excess of $10,000,000.</w:t>
      </w:r>
    </w:p>
    <w:p>
      <w:pPr>
        <w:spacing w:after="0" w:line="39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with reference to any period, the interest expense (including without limitation interest expense under Capital Lease Obligations that is treated as interest in accordance with GAAP but excluding the amortization of deferred financing costs or fees) of the Company and its Subsidiaries calculated on a consolidated basis for such period with respect to (a) all outstanding Indebtedness of the Company and its Subsidiaries allocable to such period in accordance with GAAP and (b) Swap Agreements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with reference to any period, the net income (or loss) of the Company and its Subsidiaries calculated in accordance with GAAP on a consolidated basis (without duplication) for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(a) the income (or deficit) of any Person (other than a Subsidiary of the Company) in which the Company or any of its Subsidiaries has an ownership interest, except to the extent that any such income is actually received by the Company or such Subsidiary in the form of dividends or similar distributions and (b) the undistributed earnings of any Subsidiary of the Company to the extent that the declaration or payment of dividends or similar distributions by such Subsidiary is not at the time permitted by the terms of any contractual obligation (other than under any Loan Document) or any organizational or governing documents, any law, treaty, rule or regulation or any determination of an arbitrator or other Governmental Authority, in each case applicable to such Subsidiary.</w:t>
      </w:r>
    </w:p>
    <w:p>
      <w:pPr>
        <w:spacing w:after="0" w:line="16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as of the date of any determination thereof, total assets of the Company and its Subsidiaries calculated in accordance with GAAP on a consolidated basis as of such date.</w:t>
      </w:r>
    </w:p>
    <w:p>
      <w:pPr>
        <w:spacing w:after="0" w:line="170"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Indebtedness</w:t>
      </w:r>
      <w:r>
        <w:rPr>
          <w:rFonts w:ascii="Arial" w:cs="Arial" w:eastAsia="Arial" w:hAnsi="Arial"/>
          <w:sz w:val="17"/>
          <w:szCs w:val="17"/>
          <w:color w:val="auto"/>
        </w:rPr>
        <w:t>” means at any time the sum, without duplication, of (a) the aggregate Indebtedness of the Company and its Subsidiaries calculated on a consolidated basis as of such time in accordance with GAAP, (b) the aggregate amount of Indebtedness of the Company and its Subsidiaries relating to the maximum drawing amount of all letters of credit outstanding and bankers acceptances and (c) Indebtedness of the type referred to in clauses (a) or (b) hereof of another Person guaranteed by the Company or any of its Subsidiaries.</w:t>
      </w:r>
    </w:p>
    <w:p>
      <w:pPr>
        <w:spacing w:after="0" w:line="17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Country Risk Event</w:t>
      </w:r>
      <w:r>
        <w:rPr>
          <w:rFonts w:ascii="Arial" w:cs="Arial" w:eastAsia="Arial" w:hAnsi="Arial"/>
          <w:sz w:val="18"/>
          <w:szCs w:val="18"/>
          <w:color w:val="auto"/>
        </w:rPr>
        <w:t>” means:</w:t>
      </w:r>
    </w:p>
    <w:p>
      <w:pPr>
        <w:spacing w:after="0" w:line="225" w:lineRule="exact"/>
        <w:rPr>
          <w:sz w:val="20"/>
          <w:szCs w:val="20"/>
          <w:color w:val="auto"/>
        </w:rPr>
      </w:pPr>
    </w:p>
    <w:p>
      <w:pPr>
        <w:ind w:left="1980" w:hanging="675"/>
        <w:spacing w:after="0"/>
        <w:tabs>
          <w:tab w:leader="none" w:pos="1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law, action or failure to act by any Governmental Authority in any Borrower’s or Letter of Credit beneficiary’s country which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has the effect of:</w:t>
      </w:r>
    </w:p>
    <w:p>
      <w:pPr>
        <w:spacing w:after="0" w:line="238" w:lineRule="exact"/>
        <w:rPr>
          <w:sz w:val="20"/>
          <w:szCs w:val="20"/>
          <w:color w:val="auto"/>
        </w:rPr>
      </w:pPr>
    </w:p>
    <w:p>
      <w:pPr>
        <w:jc w:val="both"/>
        <w:ind w:left="1300" w:firstLine="653"/>
        <w:spacing w:after="0" w:line="264" w:lineRule="auto"/>
        <w:tabs>
          <w:tab w:leader="none" w:pos="27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changing the obligations under the relevant Letter of Credit, this Agreement or any of the other Loan Documents as originally agreed or otherwise creating any additional liability, cost or expense to the Issuing Banks, the Lenders or the Administrative Agent,</w:t>
      </w:r>
    </w:p>
    <w:p>
      <w:pPr>
        <w:spacing w:after="0" w:line="208" w:lineRule="exact"/>
        <w:rPr>
          <w:rFonts w:ascii="Arial" w:cs="Arial" w:eastAsia="Arial" w:hAnsi="Arial"/>
          <w:sz w:val="18"/>
          <w:szCs w:val="18"/>
          <w:color w:val="auto"/>
        </w:rPr>
      </w:pPr>
    </w:p>
    <w:p>
      <w:pPr>
        <w:ind w:left="2440" w:hanging="487"/>
        <w:spacing w:after="0"/>
        <w:tabs>
          <w:tab w:leader="none" w:pos="24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changing the ownership or control by such Borrower or Letter of Credit beneficiary of its business, or</w:t>
      </w:r>
    </w:p>
    <w:p>
      <w:pPr>
        <w:spacing w:after="0" w:line="252" w:lineRule="exact"/>
        <w:rPr>
          <w:rFonts w:ascii="Arial" w:cs="Arial" w:eastAsia="Arial" w:hAnsi="Arial"/>
          <w:sz w:val="18"/>
          <w:szCs w:val="18"/>
          <w:color w:val="auto"/>
        </w:rPr>
      </w:pPr>
    </w:p>
    <w:p>
      <w:pPr>
        <w:ind w:left="2460" w:hanging="507"/>
        <w:spacing w:after="0"/>
        <w:tabs>
          <w:tab w:leader="none" w:pos="2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preventing or restricting the conversion into or transfer of the applicable Agreed Currency;</w:t>
      </w:r>
    </w:p>
    <w:p>
      <w:pPr>
        <w:spacing w:after="0" w:line="252" w:lineRule="exact"/>
        <w:rPr>
          <w:rFonts w:ascii="Arial" w:cs="Arial" w:eastAsia="Arial" w:hAnsi="Arial"/>
          <w:sz w:val="18"/>
          <w:szCs w:val="18"/>
          <w:color w:val="auto"/>
        </w:rPr>
      </w:pPr>
    </w:p>
    <w:p>
      <w:pPr>
        <w:ind w:left="1900" w:hanging="595"/>
        <w:spacing w:after="0"/>
        <w:tabs>
          <w:tab w:leader="none" w:pos="1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force majeure; or</w:t>
      </w:r>
    </w:p>
    <w:p>
      <w:pPr>
        <w:spacing w:after="0" w:line="252" w:lineRule="exact"/>
        <w:rPr>
          <w:rFonts w:ascii="Arial" w:cs="Arial" w:eastAsia="Arial" w:hAnsi="Arial"/>
          <w:sz w:val="18"/>
          <w:szCs w:val="18"/>
          <w:color w:val="auto"/>
        </w:rPr>
      </w:pPr>
    </w:p>
    <w:p>
      <w:pPr>
        <w:ind w:left="1920" w:hanging="615"/>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similar event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which, in relation to (i), (ii) and (iii), directly or indirectly, prevents or restricts the payment or transfer of any amounts owing under the relevant Letter of Credit or other Loan Documents in the applicable Agreed Currency into an account designated by the Administrative Agent or the relevant Issuing Bank and freely available to the Administrative Agent or the relevant Issuing Bank.</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Event</w:t>
      </w:r>
      <w:r>
        <w:rPr>
          <w:rFonts w:ascii="Arial" w:cs="Arial" w:eastAsia="Arial" w:hAnsi="Arial"/>
          <w:sz w:val="18"/>
          <w:szCs w:val="18"/>
          <w:color w:val="auto"/>
        </w:rPr>
        <w:t>” means a Borrowing, the issuance of a Letter of Credit, an LC Disbursement or any of the foregoing.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any Issuing Bank, the Swingline Lender or any other Lender.</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Deemed Dividend Problem</w:t>
      </w:r>
      <w:r>
        <w:rPr>
          <w:rFonts w:ascii="Arial" w:cs="Arial" w:eastAsia="Arial" w:hAnsi="Arial"/>
          <w:sz w:val="18"/>
          <w:szCs w:val="18"/>
          <w:color w:val="auto"/>
        </w:rPr>
        <w:t>” means, with respect to any Foreign Subsidiary, such Foreign Subsidiary’s accumulated and undistributed earnings and profits being deemed to be repatriated to the Company or the applicable parent Domestic Subsidiary under Section 956 of the Code or any successor or similar law and the effect of such repatriation causing or expected to cause adverse tax consequences in excess of $1,000,000 in the aggregate to the Company or such parent Domestic Subsidiary, in each case as determined by the Company in its commercially reasonable judgment acting in good faith and in consultation with its legal and tax advisors.</w:t>
      </w:r>
    </w:p>
    <w:p>
      <w:pPr>
        <w:spacing w:after="0" w:line="18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any Lender that (a) has failed, within two (2) Business Days of the date required to be funded or paid, to</w:t>
      </w:r>
    </w:p>
    <w:p>
      <w:pPr>
        <w:spacing w:after="0" w:line="35" w:lineRule="exact"/>
        <w:rPr>
          <w:sz w:val="20"/>
          <w:szCs w:val="20"/>
          <w:color w:val="auto"/>
        </w:rPr>
      </w:pPr>
    </w:p>
    <w:p>
      <w:pPr>
        <w:jc w:val="both"/>
        <w:ind w:firstLine="8"/>
        <w:spacing w:after="0" w:line="286" w:lineRule="auto"/>
        <w:tabs>
          <w:tab w:leader="none" w:pos="227" w:val="left"/>
        </w:tabs>
        <w:numPr>
          <w:ilvl w:val="0"/>
          <w:numId w:val="47"/>
        </w:numPr>
        <w:rPr>
          <w:rFonts w:ascii="Arial" w:cs="Arial" w:eastAsia="Arial" w:hAnsi="Arial"/>
          <w:sz w:val="16"/>
          <w:szCs w:val="16"/>
          <w:color w:val="auto"/>
        </w:rPr>
      </w:pPr>
      <w:r>
        <w:rPr>
          <w:rFonts w:ascii="Arial" w:cs="Arial" w:eastAsia="Arial" w:hAnsi="Arial"/>
          <w:sz w:val="16"/>
          <w:szCs w:val="16"/>
          <w:color w:val="auto"/>
        </w:rPr>
        <w:t>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a Bankruptcy Event.</w:t>
      </w:r>
    </w:p>
    <w:p>
      <w:pPr>
        <w:spacing w:after="0" w:line="167"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Amount</w:t>
      </w:r>
      <w:r>
        <w:rPr>
          <w:rFonts w:ascii="Arial" w:cs="Arial" w:eastAsia="Arial" w:hAnsi="Arial"/>
          <w:sz w:val="18"/>
          <w:szCs w:val="18"/>
          <w:color w:val="auto"/>
        </w:rPr>
        <w:t>” of any currency at any date shall mean (i) the amount of such currency if such currency is Dollars or (ii) the equivalent amount thereof in Dollars if such currency is a Foreign Currency, calculated on the basis of the Exchange Rate for such currency, on or as of the most recent Computation Date provided for in Section 2.04.</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w:t>
      </w:r>
      <w:r>
        <w:rPr>
          <w:rFonts w:ascii="Arial" w:cs="Arial" w:eastAsia="Arial" w:hAnsi="Arial"/>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date on which the conditions specified in Section 4.01 are satisfied (or waived in accordance with Section 9.02).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System</w:t>
      </w:r>
      <w:r>
        <w:rPr>
          <w:rFonts w:ascii="Arial" w:cs="Arial" w:eastAsia="Arial" w:hAnsi="Arial"/>
          <w:sz w:val="18"/>
          <w:szCs w:val="18"/>
          <w:color w:val="auto"/>
        </w:rPr>
        <w:t>” means any electronic system, including e-mail, e-fax, Intralinks®, ClearPar®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Foreign Subsidiary</w:t>
      </w:r>
      <w:r>
        <w:rPr>
          <w:rFonts w:ascii="Arial" w:cs="Arial" w:eastAsia="Arial" w:hAnsi="Arial"/>
          <w:sz w:val="18"/>
          <w:szCs w:val="18"/>
          <w:color w:val="auto"/>
        </w:rPr>
        <w:t>” means any Foreign Subsidiary that is approved from time to time by the Administrative Agent.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Notwithstanding the foregoing, neither Permitted Convertible Notes nor Permitted Call Spread Swap Agreements shall constitute Equity Interests.</w:t>
      </w:r>
    </w:p>
    <w:p>
      <w:pPr>
        <w:spacing w:after="0" w:line="187"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Equivalent Amount</w:t>
      </w:r>
      <w:r>
        <w:rPr>
          <w:rFonts w:ascii="Arial" w:cs="Arial" w:eastAsia="Arial" w:hAnsi="Arial"/>
          <w:sz w:val="18"/>
          <w:szCs w:val="18"/>
          <w:color w:val="auto"/>
        </w:rPr>
        <w:t>” of any currency with respect to any amount of Dollars at any date shall mean the equivalent in such currency of such amount of Dollars, calculated on the basis of the Exchange Rate for such other currency at 11:00 a.m., London time, on the date on or as of which such amount is to be determined.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8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or in reorganization, within the meaning of Title IV of ERISA.</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w:t>
      </w:r>
      <w:r>
        <w:rPr>
          <w:rFonts w:ascii="Arial" w:cs="Arial" w:eastAsia="Arial" w:hAnsi="Arial"/>
          <w:sz w:val="18"/>
          <w:szCs w:val="18"/>
          <w:color w:val="auto"/>
        </w:rPr>
        <w:t>” means the European Union.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and/or “</w:t>
      </w:r>
      <w:r>
        <w:rPr>
          <w:rFonts w:ascii="Arial" w:cs="Arial" w:eastAsia="Arial" w:hAnsi="Arial"/>
          <w:sz w:val="18"/>
          <w:szCs w:val="18"/>
          <w:u w:val="single" w:color="auto"/>
          <w:color w:val="auto"/>
        </w:rPr>
        <w:t>EUR</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w:t>
      </w:r>
      <w:r>
        <w:rPr>
          <w:rFonts w:ascii="Arial" w:cs="Arial" w:eastAsia="Arial" w:hAnsi="Arial"/>
          <w:sz w:val="17"/>
          <w:szCs w:val="17"/>
          <w:color w:val="auto"/>
        </w:rPr>
        <w:t>”, when used in reference to a currency means an Agreed Currency and when used in reference to any Loan or Borrowing, means that such Loan, or the Loans comprising such Borrowing, bears interest at a rate determined by reference to the Adjusted LIBO Rate.</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Payment Office</w:t>
      </w:r>
      <w:r>
        <w:rPr>
          <w:rFonts w:ascii="Arial" w:cs="Arial" w:eastAsia="Arial" w:hAnsi="Arial"/>
          <w:sz w:val="18"/>
          <w:szCs w:val="18"/>
          <w:color w:val="auto"/>
        </w:rPr>
        <w:t>” of the Administrative Agent shall mean, for each Foreign Currency, the office, branch, affiliate or correspondent bank of the Administrative Agent for such currency as specified from time to time by the Administrative Agent to the Company and each Lender.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xml:space="preserve">” means, on any day, with respect to any Foreign Currency, the rate at which such Foreign Currency may be exchanged into Dollars, as set forth at approximately 11:00 a.m., Local Time, on such date on the Reuters World Currency Page for such Foreign Currency. In the event that such rate does not appear on any Reuters World Currency Page, the Exchange Rate with respect to such Foreign Currency shall be determined by reference to such other publicly available service for displaying exchange rates as may be reasonably selected by the Administrative Agent or, in the event no such service is selected, such Exchange Rate shall instead be calculated on the basis of the arithmetical mean of the buy and sell spot rates of exchange of the Administrative Agent for such Foreign Currency on the London market at 11:00 a.m., Local Time, on such date for the purchase of Dollars with such Foreign Currency, for delivery two (2) Business Days later; </w:t>
      </w:r>
      <w:r>
        <w:rPr>
          <w:rFonts w:ascii="Arial" w:cs="Arial" w:eastAsia="Arial" w:hAnsi="Arial"/>
          <w:sz w:val="17"/>
          <w:szCs w:val="17"/>
          <w:u w:val="single" w:color="auto"/>
          <w:color w:val="auto"/>
        </w:rPr>
        <w:t>provided</w:t>
      </w:r>
      <w:r>
        <w:rPr>
          <w:rFonts w:ascii="Arial" w:cs="Arial" w:eastAsia="Arial" w:hAnsi="Arial"/>
          <w:sz w:val="17"/>
          <w:szCs w:val="17"/>
          <w:color w:val="auto"/>
        </w:rPr>
        <w:t>, that if at the time of any such determination, for any reason, no such spot rate is being quoted, the Administrative Agent, after consultation with the Company, may use any reasonable method it deems appropriate to determine such rate, and such determination shall be conclusive absent manifest error.</w:t>
      </w:r>
    </w:p>
    <w:p>
      <w:pPr>
        <w:spacing w:after="0" w:line="18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jc w:val="both"/>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with respect to the Administrative Agent, any Lender, any Issuing Bank or any other recipient of any payment to be made by or on account of any obligation of any Loan Party hereunder, (a) income or franchise taxes imposed on (or measured by) its net income by the United States of America, or by the jurisdiction under the laws of which such recipient is organized or in which its principal office is located or, in the case of any Lender, in which its applicable lending office is located, (b) any branch profits taxes imposed by the United States of America or any similar tax imposed by any other jurisdiction in which the Company is located, (c) in the case of a Foreign Lender (other than an assignee pursuant to a request by the Company under Section 2.19(b)), any withholding tax that is imposed on amounts payable to such Foreign Lender at the time such Foreign Lender becomes a party to this Agreement (or designates a new lending office) or is attributable to such Foreign Lender’s failure to comply with Section 2.17(e), except to the extent that such Foreign Lender (or its assignor, if any) was entitled, at the time of designation of a new lending office (or assignment), to receive additional amounts from the Company with respect to such withholding tax pursuant to Section 2.17(a), and (d) any U.S. Federal withholding Taxes imposed under FATCA.</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Agreement</w:t>
      </w:r>
      <w:r>
        <w:rPr>
          <w:rFonts w:ascii="Arial" w:cs="Arial" w:eastAsia="Arial" w:hAnsi="Arial"/>
          <w:sz w:val="18"/>
          <w:szCs w:val="18"/>
          <w:color w:val="auto"/>
        </w:rPr>
        <w:t>” is defined in the recitals hereof.</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Convertible Notes</w:t>
      </w:r>
      <w:r>
        <w:rPr>
          <w:rFonts w:ascii="Arial" w:cs="Arial" w:eastAsia="Arial" w:hAnsi="Arial"/>
          <w:sz w:val="16"/>
          <w:szCs w:val="16"/>
          <w:color w:val="auto"/>
        </w:rPr>
        <w:t>” means (i) the 5.5% Convertible Notes due 2014 issued pursuant to the Supplement to Indenture between the Borrower and The Bank of New York as Trustee dated September 16, 2009 and (ii) the 3.25% Convertible Senior Notes due 2016 issued pursuant to the Indenture dated March 28, 2011 and the First Supplemental Indenture dated April 27, 2011, between the Borrower and The Bank of Nova Scotia Trust Company of New York as Trustee, in each case, as amended, restated, replaced, refinanced, supplemented or otherwise modified from time to time.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is defined in Section 2.06(a).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Loans</w:t>
      </w:r>
      <w:r>
        <w:rPr>
          <w:rFonts w:ascii="Arial" w:cs="Arial" w:eastAsia="Arial" w:hAnsi="Arial"/>
          <w:sz w:val="18"/>
          <w:szCs w:val="18"/>
          <w:color w:val="auto"/>
        </w:rPr>
        <w:t>” is defined in Section 2.01.</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81" w:lineRule="exact"/>
        <w:rPr>
          <w:sz w:val="20"/>
          <w:szCs w:val="20"/>
          <w:color w:val="auto"/>
        </w:rPr>
      </w:pPr>
    </w:p>
    <w:p>
      <w:pPr>
        <w:jc w:val="both"/>
        <w:ind w:firstLine="134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Officer</w:t>
      </w:r>
      <w:r>
        <w:rPr>
          <w:rFonts w:ascii="Arial" w:cs="Arial" w:eastAsia="Arial" w:hAnsi="Arial"/>
          <w:sz w:val="17"/>
          <w:szCs w:val="17"/>
          <w:color w:val="auto"/>
        </w:rPr>
        <w:t>” means the chief financial officer, any vice president of finance, principal accounting officer, treasurer or controller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Financials</w:t>
      </w:r>
      <w:r>
        <w:rPr>
          <w:rFonts w:ascii="Arial" w:cs="Arial" w:eastAsia="Arial" w:hAnsi="Arial"/>
          <w:sz w:val="18"/>
          <w:szCs w:val="18"/>
          <w:color w:val="auto"/>
        </w:rPr>
        <w:t>” means the annual or quarterly financial statements, and accompanying certificates and other documents, of the Company and its Subsidiaries required to be delivered pursuant to Section 5.01(a) or 5.01(b).</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Tier Foreign Subsidiary</w:t>
      </w:r>
      <w:r>
        <w:rPr>
          <w:rFonts w:ascii="Arial" w:cs="Arial" w:eastAsia="Arial" w:hAnsi="Arial"/>
          <w:sz w:val="18"/>
          <w:szCs w:val="18"/>
          <w:color w:val="auto"/>
        </w:rPr>
        <w:t>” means each Foreign Subsidiary and with respect to which any one or more of the Company and its Domestic Subsidiaries directly owns or Controls more than 50% of such Foreign Subsidiary’s Equity Interests.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Borrower Sublimit</w:t>
      </w:r>
      <w:r>
        <w:rPr>
          <w:rFonts w:ascii="Arial" w:cs="Arial" w:eastAsia="Arial" w:hAnsi="Arial"/>
          <w:sz w:val="18"/>
          <w:szCs w:val="18"/>
          <w:color w:val="auto"/>
        </w:rPr>
        <w:t>” means $25,000,000.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Currencies</w:t>
      </w:r>
      <w:r>
        <w:rPr>
          <w:rFonts w:ascii="Arial" w:cs="Arial" w:eastAsia="Arial" w:hAnsi="Arial"/>
          <w:sz w:val="18"/>
          <w:szCs w:val="18"/>
          <w:color w:val="auto"/>
        </w:rPr>
        <w:t>” means Agreed Currencies other than Dollars.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LC Exposure</w:t>
      </w:r>
      <w:r>
        <w:rPr>
          <w:rFonts w:ascii="Arial" w:cs="Arial" w:eastAsia="Arial" w:hAnsi="Arial"/>
          <w:sz w:val="18"/>
          <w:szCs w:val="18"/>
          <w:color w:val="auto"/>
        </w:rPr>
        <w:t>” 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Letter of Credit</w:t>
      </w:r>
      <w:r>
        <w:rPr>
          <w:rFonts w:ascii="Arial" w:cs="Arial" w:eastAsia="Arial" w:hAnsi="Arial"/>
          <w:sz w:val="18"/>
          <w:szCs w:val="18"/>
          <w:color w:val="auto"/>
        </w:rPr>
        <w:t>” means a Letter of Credit denominated in a Foreign Currency.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Sublimit</w:t>
      </w:r>
      <w:r>
        <w:rPr>
          <w:rFonts w:ascii="Arial" w:cs="Arial" w:eastAsia="Arial" w:hAnsi="Arial"/>
          <w:sz w:val="18"/>
          <w:szCs w:val="18"/>
          <w:color w:val="auto"/>
        </w:rPr>
        <w:t>” means $25,000,000.</w:t>
      </w:r>
    </w:p>
    <w:p>
      <w:pPr>
        <w:spacing w:after="0" w:line="2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any Lender that is organized under the laws of a jurisdiction other than that in which the Company is located. For purposes of this definition, the United States of America, each State thereof and the District of Columbia shall be deemed to constitute a single jurisdiction.</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Borrower</w:t>
      </w:r>
      <w:r>
        <w:rPr>
          <w:rFonts w:ascii="Arial" w:cs="Arial" w:eastAsia="Arial" w:hAnsi="Arial"/>
          <w:sz w:val="18"/>
          <w:szCs w:val="18"/>
          <w:color w:val="auto"/>
        </w:rPr>
        <w:t>” means any Eligible Foreign Subsidiary that has been designated as a Foreign Subsidiary Borrower pursuant to Section 2.23 and that has not ceased to be a Foreign Subsidiary Borrower pursuant to such Section.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1"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term Guarantee shall not include endorsements for collection or deposit in the ordinary course of business.</w:t>
      </w:r>
    </w:p>
    <w:p>
      <w:pPr>
        <w:spacing w:after="0" w:line="16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 of Secured Obligations</w:t>
      </w:r>
      <w:r>
        <w:rPr>
          <w:rFonts w:ascii="Arial" w:cs="Arial" w:eastAsia="Arial" w:hAnsi="Arial"/>
          <w:sz w:val="18"/>
          <w:szCs w:val="18"/>
          <w:color w:val="auto"/>
        </w:rPr>
        <w:t>” means the Secured Parties.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Amendment</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and accrued expenses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all obligations of such Person under any Swap Agreement or under any similar type of agreement and (l) all obligations of such Person under Sale and Leaseback Transactions.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and for avoidance of doubt, obligations arising under any Permitted Call Spread Swap Agreement shall not be considered Indebtedness.</w:t>
      </w:r>
    </w:p>
    <w:p>
      <w:pPr>
        <w:spacing w:after="0" w:line="18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 and Other Taxes, imposed on or with respect to any payment made by or on account of any obligation of any Loan Party under any Loan Document.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 Memorandum</w:t>
      </w:r>
      <w:r>
        <w:rPr>
          <w:rFonts w:ascii="Arial" w:cs="Arial" w:eastAsia="Arial" w:hAnsi="Arial"/>
          <w:sz w:val="17"/>
          <w:szCs w:val="17"/>
          <w:color w:val="auto"/>
        </w:rPr>
        <w:t>” means the lender presentation dated November 15, 2013 relating to the Company and the Transactions.</w:t>
      </w:r>
    </w:p>
    <w:p>
      <w:pPr>
        <w:spacing w:after="0" w:line="23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means a request by the applicable Borrower to convert or continue a Revolving Borrowing in accordance with Section 2.08 in the form attached hereto as Exhibit I-2.</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with respect to any ABR Loan (other than a Swingline Loan), the last day of each March, June, September and December and the Maturity Date, (b) with respect to any Eurocurrency Loan,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the Maturity Date and (c) with respect to any Swingline Loan, the day that such Loan is required to be repaid and the Maturity Date.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Eurocurrency Borrowing, the period commencing on the date of such Borrowing and ending on the numerically corresponding day in the calendar month that is one, two, three or six months thereafter, as the applicable Borrower (or the Company on behalf of the applicable Borrower) may elect; </w:t>
      </w:r>
      <w:r>
        <w:rPr>
          <w:rFonts w:ascii="Arial" w:cs="Arial" w:eastAsia="Arial" w:hAnsi="Arial"/>
          <w:sz w:val="17"/>
          <w:szCs w:val="17"/>
          <w:u w:val="single" w:color="auto"/>
          <w:color w:val="auto"/>
        </w:rPr>
        <w:t>provided</w:t>
      </w:r>
      <w:r>
        <w:rPr>
          <w:rFonts w:ascii="Arial" w:cs="Arial" w:eastAsia="Arial" w:hAnsi="Arial"/>
          <w:sz w:val="17"/>
          <w:szCs w:val="17"/>
          <w:color w:val="auto"/>
        </w:rPr>
        <w:t>, that (i) if any Interest Period would end on a day other than a Business Day, such Interest Period shall be extended to the next succeeding Business Day unless, in the case of a Eurocurrency Borrowing only, such next succeeding Business Day would fall in the next calendar month, in which case such Interest Period shall end on the next preceding Business Day and (ii) any Interest Period pertaining to a Eurocurrency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8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means, at any time, the rate per annum determined by the Administrative Agent (which determination shall be conclusive and binding absent manifest error) to be equal to the rate that results from interpolating on a linear basis between: (a) the LIBOR Screen Rate for the longest period (for which the LIBOR Screen Rate is available for the applicable currency) that is shorter than the Impacted Interest Period and (b) the LIBOR Screen Rate for the shortest period (for which the LIBOR Screen Rate is available for the applicable currency) that exceeds the Impacted Interest Period, in each case, at such time.</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each of JPMorgan Chase Bank, N.A. and RBS Citizens, National Association, in its capacity as the issuer of Letters of Credit hereunder, and its successors in such capacity as provided in Section 2.06(i).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any corporation, partnership, limited liability company or other legal entity or arrangement in which the Company or any Subsidiary has an equity investment and direct or indirect Control.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has the meaning assigned to such term in Section 2.06(j).</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any Issuing Bank pursuant to a Letter of Credit.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undrawn Dollar Amount of all outstanding Letters of Credit at such time plus (b) the aggregate Dollar Amount of all LC Disbursements that have not yet been reimbursed by or on behalf of the Company at such time. The LC Exposure of any Lender at any time shall be its Applicable Percentage of the total LC Exposure at such time.</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Persons listed on Schedule 2.01 and any other Person that shall have become a Lender hereunder pursuant to Section 2.20 or pursuant to an Assignment and Assumption, other than any such Person that ceases to be a party hereto pursuant to an Assignment and Assumption. Unless the context otherwise requires, the term “Lenders” includes the Swingline Lender.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jc w:val="both"/>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means, with respect to any Eurocurrency Borrowing denominated in any Agreed Currency and for any applicable Interest Period, the London interbank offered rate administered by the British Bankers Association (or any other Person that takes over the administration of such rate) for such Agreed Currency for a period equal in length to such Interest Period as displayed on pages LIBOR01 or LIBOR02 of the Reuters screen or, in the event such rate does not appear on either of such Reuters pages, on any successor or substitute page on such screen that displays such rate, or on the appropriate page of such other information service that publishes such rate as shall be selected by the Administrative Agent from time to time in its reasonable discretion (in each case the “</w:t>
      </w:r>
      <w:r>
        <w:rPr>
          <w:rFonts w:ascii="Arial" w:cs="Arial" w:eastAsia="Arial" w:hAnsi="Arial"/>
          <w:sz w:val="16"/>
          <w:szCs w:val="16"/>
          <w:u w:val="single" w:color="auto"/>
          <w:color w:val="auto"/>
        </w:rPr>
        <w:t>LIBOR Screen Rate</w:t>
      </w:r>
      <w:r>
        <w:rPr>
          <w:rFonts w:ascii="Arial" w:cs="Arial" w:eastAsia="Arial" w:hAnsi="Arial"/>
          <w:sz w:val="16"/>
          <w:szCs w:val="16"/>
          <w:color w:val="auto"/>
        </w:rPr>
        <w:t xml:space="preserve">”) at approximately 11:00 a.m., London time, on the Quotation Day for such currency and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LIBOR Screen Rate shall be less than zero, such rate shall be deemed to be zero for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 LIBOR Screen Rate shall not be available at such time for such Interest Period (the “</w:t>
      </w:r>
      <w:r>
        <w:rPr>
          <w:rFonts w:ascii="Arial" w:cs="Arial" w:eastAsia="Arial" w:hAnsi="Arial"/>
          <w:sz w:val="16"/>
          <w:szCs w:val="16"/>
          <w:u w:val="single" w:color="auto"/>
          <w:color w:val="auto"/>
        </w:rPr>
        <w:t>Impacted Interest Period</w:t>
      </w:r>
      <w:r>
        <w:rPr>
          <w:rFonts w:ascii="Arial" w:cs="Arial" w:eastAsia="Arial" w:hAnsi="Arial"/>
          <w:sz w:val="16"/>
          <w:szCs w:val="16"/>
          <w:color w:val="auto"/>
        </w:rPr>
        <w:t>”), then the LIBO Rate for such currency and such Interest Period shall be the Interpolated Rate; provided, that, if any Interpolated Rate shall be less than zero, such rate shall be deemed to be zero for purposes of this Agreement. It is understood and agreed that all of the terms and conditions of this definition of “LIBO Rate” shall be subject to Section 2.14.</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Screen Rate</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this Agreement, each Borrowing Subsidiary Agreement, each Borrowing Subsidiary Termination, the Subsidiary Guaranty, the Collateral Documents (including, without limitation, the Pledge Agreements), any promissory notes executed and delivered pursuant to Section 2.10(e) and any and all other instruments and documents executed and delivered in connection with any of the foregoing.</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Borrowers and the Subsidiary Guarantors.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Loans</w:t>
      </w:r>
      <w:r>
        <w:rPr>
          <w:rFonts w:ascii="Arial" w:cs="Arial" w:eastAsia="Arial" w:hAnsi="Arial"/>
          <w:sz w:val="17"/>
          <w:szCs w:val="17"/>
          <w:color w:val="auto"/>
        </w:rPr>
        <w:t>” means the loans made by the Lenders to the Borrowers, or otherwise incurred by the Borrowers, pursuant to this Agreement.</w:t>
      </w:r>
    </w:p>
    <w:p>
      <w:pPr>
        <w:spacing w:after="0" w:line="2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Time</w:t>
      </w:r>
      <w:r>
        <w:rPr>
          <w:rFonts w:ascii="Arial" w:cs="Arial" w:eastAsia="Arial" w:hAnsi="Arial"/>
          <w:sz w:val="18"/>
          <w:szCs w:val="18"/>
          <w:color w:val="auto"/>
        </w:rPr>
        <w:t>” means (i) New York City time in the case of a Loan, Borrowing or LC Disbursement denominated in Dollars and (ii) local time in the case of a Loan, Borrowing or LC Disbursement denominated in a Foreign Currency (it being understood that such local time shall mean London, England time unless otherwise notified by the Administrative Agent).</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business, assets, property or condition (financial or otherwise) of the Company and the Subsidiaries taken as a whole or (b) the ability of any Borrower or any other Loan Party to perform any of its obligations under this Agreement or any other Loan Document or (c) the rights of or remedies available to the Lenders under this Agreement or any other Loan Document.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any Indebtedness (other than the Loans and Letters of Credit), or obligations in respect of one or more Swap Agreements, of any one or more of the Company and its Subsidiaries in an aggregate principal amount exceeding $10,000,000.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spacing w:after="0" w:line="18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Subsidiary</w:t>
      </w:r>
      <w:r>
        <w:rPr>
          <w:rFonts w:ascii="Arial" w:cs="Arial" w:eastAsia="Arial" w:hAnsi="Arial"/>
          <w:sz w:val="17"/>
          <w:szCs w:val="17"/>
          <w:color w:val="auto"/>
        </w:rPr>
        <w:t xml:space="preserve">” means each Subsidiary (i) which, as of the most recent fiscal year of the Company, for the period of four consecutive fiscal quarters then ended, for which financial statements have been delivered pursuant to Section 5.01, contributed greater than ten percent (10%) of the Company’s Consolidated EBITDA for such period or (ii) which contributed greater than ten percent (10%) of the Company’s Consolidated Total Assets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any time the aggregate amount of the Company’s Consolidated EBITDA or Company’s Consolidated Total Assets attributable to Subsidiaries (other than Affected Foreign Subsidiaries) that are not Subsidiary Guarantors exceeds twenty percent (20%) of the Company’s Consolidated EBITDA for any such period or twenty percent (20%) of the Company’s Consolidated Total Assets as of the end of any such fiscal year, the Company (or, in the event the Company has failed to do so within ten days, the Administrative Agent) shall designate sufficient Subsidiaries (other than Affected Foreign Subsidiaries) as “Material Subsidiaries” to eliminate such excess, and such designated Subsidiaries shall for all purposes of this Agreement constitute Material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of a Person becoming a Subsidiary pursuant to an acquisition, the foregoing financial tests shall be applied on a Pro Forma Basis immediately upon consummation of such acquisition and, assuming such Subsidiary would constitute a Material Subsidiary on a Pro Forma Basis, the Company shall comply with Section 5.09.</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December 5, 2018.</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w:t>
      </w:r>
      <w:r>
        <w:rPr>
          <w:rFonts w:ascii="Arial" w:cs="Arial" w:eastAsia="Arial" w:hAnsi="Arial"/>
          <w:sz w:val="17"/>
          <w:szCs w:val="17"/>
          <w:color w:val="auto"/>
        </w:rPr>
        <w:t>” means each mortgage, deed of trust or other agreement which conveys or evidences a Lien in favor of the Collateral Agent, for the benefit of the Collateral Agent and the Holders of Secured Obligations, on real property of a Loan Party, including any amendment, restatement, modification or supplement thereto, each in form and substance reasonably acceptable to the Collateral Agent and the Company.</w:t>
      </w:r>
    </w:p>
    <w:p>
      <w:pPr>
        <w:spacing w:after="0" w:line="16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Instruments</w:t>
      </w:r>
      <w:r>
        <w:rPr>
          <w:rFonts w:ascii="Arial" w:cs="Arial" w:eastAsia="Arial" w:hAnsi="Arial"/>
          <w:sz w:val="18"/>
          <w:szCs w:val="18"/>
          <w:color w:val="auto"/>
        </w:rPr>
        <w:t>” means such title reports, title insurance, flood certifications and flood insurance, opinions of counsel, surveys, appraisals and environmental reports and other similar information and related certifications as are reasonably requested by, and in form and substance reasonably acceptable to, the Collateral Agent from time to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Money Credit Event</w:t>
      </w:r>
      <w:r>
        <w:rPr>
          <w:rFonts w:ascii="Arial" w:cs="Arial" w:eastAsia="Arial" w:hAnsi="Arial"/>
          <w:sz w:val="16"/>
          <w:szCs w:val="16"/>
          <w:color w:val="auto"/>
        </w:rPr>
        <w:t>” means with respect to any Issuing Bank, any increase (directly or indirectly) in such Issuing Bank’s exposure (whether by way of additional credit or banking facilities or otherwise, including as part of a restructuring) to the Borrower or any Governmental Authority in the Borrower’s or any applicable Letter of Credit beneficiary’s country occurring by reason of (i) any law, action or requirement of any Governmental Authority in the Borrower’s or such Letter of Credit beneficiary’s country, or (ii) any request in respect of external indebtedness of borrowers in the Borrower’s or such Letter of Credit beneficiary’s country applicable to banks generally which conduct business with such borrowers, or (iii) any agreement in relation to clause (i) or (ii), in each case to the extent calculated by reference to the aggregate Revolving Credit Exposures outstanding prior to such increase.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jc w:val="both"/>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unpaid principal of and accrued and unpaid interest on the Loans, all LC Exposure, all accrued and unpaid fees and all expenses, reimbursements, indemnities and other obligations and indebtedness (including interest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Treasury.</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or any other excise or property taxes, charges or similar levies arising from any payment made hereunder or from the execution, delivery or enforcement of, or otherwise with respect to, this Agreement or any other Loan Document.</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Foreign Currency Rate</w:t>
      </w:r>
      <w:r>
        <w:rPr>
          <w:rFonts w:ascii="Arial" w:cs="Arial" w:eastAsia="Arial" w:hAnsi="Arial"/>
          <w:sz w:val="18"/>
          <w:szCs w:val="18"/>
          <w:color w:val="auto"/>
        </w:rPr>
        <w:t>” means, for any amount payable in a Foreign Currency, the rate of interest per annum as determined by the Administrative Agent at which overnight or weekend deposits in the relevant currency (or if such amount due remains unpaid for more than three Business Days, then for such other period of time as the Administrative Agent may elect) for delivery in immediately available and freely transferable funds would be offered by the Administrative Agent to major banks in the interbank market upon request of such major banks for the relevant currency as determined above and in an amount comparable to the unpaid principal amount of the related Credit Event, plus any taxes, levies, imposts, duties, deductions, charges or withholdings imposed upon, or charged to, the Administrative Agent by any relevant correspondent bank in respect of such amount in such relevant currency.</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set forth in Section 9.04.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set forth in Section 9.04.</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jc w:val="both"/>
        <w:ind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means any acquisition (whether by purchase, merger, consolidation or otherwise) or series of related acquisitions by the Company or any Subsidiary of all or substantially all the assets of, or more than a majority of the Equity Interests in, a Person or division or line of business of a Person if, at the time of and immediately after giving effect thereto, (a) no Default has occurred and is continuing or would arise after giving effect thereto, (b) such Person or division or line of business is engaged in the same or a similar line of business as the Company and the Subsidiaries or business reasonably related or complimentary thereto, (c) all actions required to be taken with respect to such acquired or newly formed Subsidiary under Sections 5.09 and 5.10 shall have been taken, (d) (i) the Company and the Subsidiaries are in compliance with the covenants contained in Sections 6.11(a) and 6.11(c) and (ii) the Total Leverage Ratio is less than or equal to 2.25 to 1.00, in each case on a Pro Forma Basis after giving effect to such acquisition and recomputed as of the last day of the most recently ended fiscal quarter of the Company for which financial statements are available, as if such acquisition (and any related incurrence or repayment of Indebtedness, with any new Indebtedness being deemed to be amortized over the applicable testing period in accordance with its terms) had occurred on the first day of each relevant period for testing such compliance and, if the aggregate consideration (including the concurrent repayment or assumption of any indebtedness and related investments) paid in respect of such acquisition exceeds $10,000,000, the Company shall have delivered to the Administrative Agent a certificate of a Financial Officer of the Company to such effect, together with all relevant financial information, statements and projections requested by the Administrative Agent and (e) in the case of an acquisition or merger involving the Company or a Subsidiary, the Company or such Subsidiary is the surviving entity of such merger and/or consolidation.</w:t>
      </w:r>
    </w:p>
    <w:p>
      <w:pPr>
        <w:spacing w:after="0" w:line="172"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Call Spread Swap Agreements</w:t>
      </w:r>
      <w:r>
        <w:rPr>
          <w:rFonts w:ascii="Arial" w:cs="Arial" w:eastAsia="Arial" w:hAnsi="Arial"/>
          <w:sz w:val="16"/>
          <w:szCs w:val="16"/>
          <w:color w:val="auto"/>
        </w:rPr>
        <w:t xml:space="preserve">” means (a) any Swap Agreement (including, but not limited to, any bond hedge transaction or capped call transaction) pursuant to which the Company acquires an option requiring the counterparty thereto to deliver to the Company shares of common stock of the Company, the cash value of such shares or a combination thereof from time to time upon exercise of such option and (b) any Swap Agreement pursuant to which the Company issues to the counterparty thereto warrants to acquire common stock of the Company (whether such warrant is settled in shares, cash or a combination thereof), in each case entered into by the Company in connection with the issuance of Convertible Debt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terms, conditions and covenants of each such Swap Agreement shall be such as are customary for Swap Agreements of such type (as determined by the Board of Directors of the Company in good faith) and (ii) in the case of clause (b) above, such Swap Agreement would be classified as an equity instrument in accordance with GAAP, and the settlement of such Swap Agreement does not require the Company to make any payment in cash or cash equivalents that would disqualify such Swap Agreement from so being classified as an equity instrument.</w:t>
      </w:r>
    </w:p>
    <w:p>
      <w:pPr>
        <w:spacing w:after="0" w:line="16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Notes</w:t>
      </w:r>
      <w:r>
        <w:rPr>
          <w:rFonts w:ascii="Arial" w:cs="Arial" w:eastAsia="Arial" w:hAnsi="Arial"/>
          <w:sz w:val="18"/>
          <w:szCs w:val="18"/>
          <w:color w:val="auto"/>
        </w:rPr>
        <w:t>” means (i) the Existing Convertible Notes and (ii) any unsecured notes issued by the Company that are convertible into common stock of the Company, cash or any combination thereof and are permitted to be issued pursuant to the definition of Permitted Unsecured Indebtedness.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right="20" w:firstLine="1305"/>
        <w:spacing w:after="0" w:line="277" w:lineRule="auto"/>
        <w:tabs>
          <w:tab w:leader="none" w:pos="16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imposed by law for Taxes that are not yet due or are being contested in compliance with Section 5.04, or as to which the grace period, if any, related thereto has not expired;</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608"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and other like Liens imposed by law, arising in the ordinary course of business and securing obligations that are not overdue by more than thirty (30) days or are not in excess of $3,000,000 individually, or $5,000,000 in the aggregate, or are being contested in compliance with Section 5.04;</w:t>
      </w:r>
    </w:p>
    <w:p>
      <w:pPr>
        <w:spacing w:after="0" w:line="181" w:lineRule="exact"/>
        <w:rPr>
          <w:rFonts w:ascii="Arial" w:cs="Arial" w:eastAsia="Arial" w:hAnsi="Arial"/>
          <w:sz w:val="18"/>
          <w:szCs w:val="18"/>
          <w:color w:val="auto"/>
        </w:rPr>
      </w:pPr>
    </w:p>
    <w:p>
      <w:pPr>
        <w:ind w:firstLine="1305"/>
        <w:spacing w:after="0" w:line="277" w:lineRule="auto"/>
        <w:tabs>
          <w:tab w:leader="none" w:pos="1593" w:val="left"/>
        </w:tabs>
        <w:numPr>
          <w:ilvl w:val="0"/>
          <w:numId w:val="48"/>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ind w:firstLine="1305"/>
        <w:spacing w:after="0" w:line="277" w:lineRule="auto"/>
        <w:tabs>
          <w:tab w:leader="none" w:pos="1622"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clause (k) of Article VII; and</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6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225" w:lineRule="exact"/>
        <w:rPr>
          <w:sz w:val="20"/>
          <w:szCs w:val="20"/>
          <w:color w:val="auto"/>
        </w:rPr>
      </w:pPr>
    </w:p>
    <w:p>
      <w:pPr>
        <w:jc w:val="both"/>
        <w:ind w:left="660" w:firstLine="645"/>
        <w:spacing w:after="0" w:line="264" w:lineRule="auto"/>
        <w:tabs>
          <w:tab w:leader="none" w:pos="16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81" w:lineRule="exact"/>
        <w:rPr>
          <w:rFonts w:ascii="Arial" w:cs="Arial" w:eastAsia="Arial" w:hAnsi="Arial"/>
          <w:sz w:val="18"/>
          <w:szCs w:val="18"/>
          <w:color w:val="auto"/>
        </w:rPr>
      </w:pPr>
    </w:p>
    <w:p>
      <w:pPr>
        <w:ind w:left="660" w:firstLine="645"/>
        <w:spacing w:after="0" w:line="277" w:lineRule="auto"/>
        <w:tabs>
          <w:tab w:leader="none" w:pos="1619"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investments in commercial paper maturing within one year from the date of acquisition thereof and having, at such date of acquisition, the credit rating of A1 from S&amp;P or P1 from Moody’s;</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spacing w:after="0" w:line="186" w:lineRule="exact"/>
        <w:rPr>
          <w:rFonts w:ascii="Arial" w:cs="Arial" w:eastAsia="Arial" w:hAnsi="Arial"/>
          <w:sz w:val="18"/>
          <w:szCs w:val="18"/>
          <w:color w:val="auto"/>
        </w:rPr>
      </w:pPr>
    </w:p>
    <w:p>
      <w:pPr>
        <w:ind w:left="660" w:firstLine="645"/>
        <w:spacing w:after="0" w:line="277" w:lineRule="auto"/>
        <w:tabs>
          <w:tab w:leader="none" w:pos="1614"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70" w:lineRule="exact"/>
        <w:rPr>
          <w:rFonts w:ascii="Arial" w:cs="Arial" w:eastAsia="Arial" w:hAnsi="Arial"/>
          <w:sz w:val="18"/>
          <w:szCs w:val="18"/>
          <w:color w:val="auto"/>
        </w:rPr>
      </w:pPr>
    </w:p>
    <w:p>
      <w:pPr>
        <w:ind w:left="660" w:firstLine="645"/>
        <w:spacing w:after="0" w:line="277" w:lineRule="auto"/>
        <w:tabs>
          <w:tab w:leader="none" w:pos="16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investments in taxable or tax exempt obligations of any state of the United States of America or any municipality thereof maturing within three years of the date of acquisition thereof and which is rated “A1” or higher by Moody’s or “AA” or higher by S&amp;P;</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5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investments in fixed income securities maturing within one year of the date of acquisition thereof and which are rated “A” or higher by Moody’s or S&amp;P;</w:t>
      </w:r>
    </w:p>
    <w:p>
      <w:pPr>
        <w:spacing w:after="0" w:line="170" w:lineRule="exact"/>
        <w:rPr>
          <w:rFonts w:ascii="Arial" w:cs="Arial" w:eastAsia="Arial" w:hAnsi="Arial"/>
          <w:sz w:val="18"/>
          <w:szCs w:val="18"/>
          <w:color w:val="auto"/>
        </w:rPr>
      </w:pPr>
    </w:p>
    <w:p>
      <w:pPr>
        <w:ind w:left="660" w:right="20" w:firstLine="645"/>
        <w:spacing w:after="0" w:line="308" w:lineRule="auto"/>
        <w:tabs>
          <w:tab w:leader="none" w:pos="1637"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the extent the aggregate amount of such investments does not exceed 10% of Permitted Investments, investments in fixed income securities maturing within two years of the date of acquisition thereof and which are rated between “BBB-” and “BBB+” by S&amp;P;</w:t>
      </w:r>
    </w:p>
    <w:p>
      <w:pPr>
        <w:spacing w:after="0" w:line="146" w:lineRule="exact"/>
        <w:rPr>
          <w:rFonts w:ascii="Arial" w:cs="Arial" w:eastAsia="Arial" w:hAnsi="Arial"/>
          <w:sz w:val="17"/>
          <w:szCs w:val="17"/>
          <w:color w:val="auto"/>
        </w:rPr>
      </w:pPr>
    </w:p>
    <w:p>
      <w:pPr>
        <w:ind w:left="660" w:firstLine="645"/>
        <w:spacing w:after="0" w:line="277" w:lineRule="auto"/>
        <w:tabs>
          <w:tab w:leader="none" w:pos="162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investments in money market mutual funds having assets in excess of $1,000,000,000 whose sole investments are securities described in clauses (a) through (g) above; and</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26"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any Foreign Subsidiary, investments of comparable tenure and credit quality to those described in the foregoing clauses (a) through (h) or other high quality short term investments, in each case, customarily utilized in countries in which such Foreign Subsidiary operates for short term cash management purposes.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jc w:val="both"/>
        <w:ind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Unsecured Indebtedness</w:t>
      </w:r>
      <w:r>
        <w:rPr>
          <w:rFonts w:ascii="Arial" w:cs="Arial" w:eastAsia="Arial" w:hAnsi="Arial"/>
          <w:sz w:val="17"/>
          <w:szCs w:val="17"/>
          <w:color w:val="auto"/>
        </w:rPr>
        <w:t>” means any unsecured Indebtedness of the Company (including (x) any Permitted Convertible Notes and (y) unsecured Subordinated Indebtedness to the extent subordinated to the Secured Obligations on terms reasonably acceptable to the Administrative Agent) so long as (i) the Indebtedness thereunder does not mature, and is otherwise not subject to any mandatory prepayment, redemption, defeasance, scheduled amortization or other scheduled payments of principal, in each case prior to the date that is six (6) months after the Maturity Date (it being understood that neither (x) any provision requiring an offer to purchase such Indebtedness as a result of change of control or asset sale or other fundamental change nor (y) any early conversion of any Permitted Convertible Notes in accordance with the terms thereof shall violate the foregoing restriction), (ii) both immediately prior to and after giving effect (including giving effect on a Pro Forma Basis) thereto, (x) no Default or Event of Default shall exist or would result therefrom and (y) the Company shall be in compliance with the covenants contained in Section 6.11, (iii) such Indebtedness is not guaranteed by any Subsidiary of the Company other than the Subsidiary Guarantors (which guarantees, if such Indebtedness is subordinated, shall be expressly subordinated to the Secured Obligations on terms not less favorable to the Lenders than the subordination terms of such Subordinated Indebtedness) and (iv) the covenants applicable to such Indebtedness are not more onerous or more restrictive in any material respect (taken as a whole) than the applicable covenants set forth in this Agreement.</w:t>
      </w:r>
    </w:p>
    <w:p>
      <w:pPr>
        <w:spacing w:after="0" w:line="18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PKL</w:t>
      </w:r>
      <w:r>
        <w:rPr>
          <w:rFonts w:ascii="Arial" w:cs="Arial" w:eastAsia="Arial" w:hAnsi="Arial"/>
          <w:sz w:val="18"/>
          <w:szCs w:val="18"/>
          <w:color w:val="auto"/>
        </w:rPr>
        <w:t>” means PKL, Ltd., a Korean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PKLT</w:t>
      </w:r>
      <w:r>
        <w:rPr>
          <w:rFonts w:ascii="Arial" w:cs="Arial" w:eastAsia="Arial" w:hAnsi="Arial"/>
          <w:sz w:val="18"/>
          <w:szCs w:val="18"/>
          <w:color w:val="auto"/>
        </w:rPr>
        <w:t>” means PKLT Co., Ltd., a Taiwanese corporation.</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Agreements</w:t>
      </w:r>
      <w:r>
        <w:rPr>
          <w:rFonts w:ascii="Arial" w:cs="Arial" w:eastAsia="Arial" w:hAnsi="Arial"/>
          <w:sz w:val="18"/>
          <w:szCs w:val="18"/>
          <w:color w:val="auto"/>
        </w:rPr>
        <w:t xml:space="preserve">” means that certain Second Amended and Restated Pledge Agreement substantially in the form of Exhibit H (including any and all supplements thereto) dated as of the Effective Date and executed by the relevant Loan Parties, and, in the case of any pledge of Equity Interests of a Foreign Subsidiary, any other pledge agreements, share mortgages, charges and comparable instruments and documents from time to time executed pursuant to the terms of Section 5.09 in favor of the Collateral Agent for the benefit of the </w:t>
      </w:r>
      <w:r>
        <w:rPr>
          <w:rFonts w:ascii="Arial" w:cs="Arial" w:eastAsia="Arial" w:hAnsi="Arial"/>
          <w:sz w:val="18"/>
          <w:szCs w:val="18"/>
          <w:u w:val="single" w:color="auto"/>
          <w:color w:val="auto"/>
        </w:rPr>
        <w:t>Holders of Secured Obligations</w:t>
      </w:r>
      <w:r>
        <w:rPr>
          <w:rFonts w:ascii="Arial" w:cs="Arial" w:eastAsia="Arial" w:hAnsi="Arial"/>
          <w:sz w:val="18"/>
          <w:szCs w:val="18"/>
          <w:color w:val="auto"/>
        </w:rPr>
        <w:t xml:space="preserve"> as amended, restated, supplemented or otherwise modified from time to time.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 Subsidiary</w:t>
      </w:r>
      <w:r>
        <w:rPr>
          <w:rFonts w:ascii="Arial" w:cs="Arial" w:eastAsia="Arial" w:hAnsi="Arial"/>
          <w:sz w:val="17"/>
          <w:szCs w:val="17"/>
          <w:color w:val="auto"/>
        </w:rPr>
        <w:t>” means (i) each Domestic Subsidiary and (ii) each First Tier Foreign Subsidiary that is a Material Subsidiary.</w:t>
      </w:r>
    </w:p>
    <w:p>
      <w:pPr>
        <w:spacing w:after="0" w:line="23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Equity</w:t>
      </w:r>
      <w:r>
        <w:rPr>
          <w:rFonts w:ascii="Arial" w:cs="Arial" w:eastAsia="Arial" w:hAnsi="Arial"/>
          <w:sz w:val="18"/>
          <w:szCs w:val="18"/>
          <w:color w:val="auto"/>
        </w:rPr>
        <w:t>” means all pledged Equity Interests in or upon which a security interest or Lien is from time to time granted to the Collateral Agent, for the benefit of the Holders of Secured Obligations, under the Pledge Agreements.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means the lawful currency of the United Kingdom.</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JPMorgan Chase Bank, N.A. as its prime rate in effect at its principal office in New York City; each change in the Prime Rate shall be effective from and including the date such change is publicly announced as being effective.</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means on a basis in accordance with GAAP and Regulation S-X and otherwise reasonably satisfactory to the Administrative Agent.</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PSMC</w:t>
      </w:r>
      <w:r>
        <w:rPr>
          <w:rFonts w:ascii="Arial" w:cs="Arial" w:eastAsia="Arial" w:hAnsi="Arial"/>
          <w:sz w:val="18"/>
          <w:szCs w:val="18"/>
          <w:color w:val="auto"/>
        </w:rPr>
        <w:t>” means Photronics Semiconductor Mask Corporation, a Republic of China corporation or its successors and assigns, including the Taiwan JV, so long as such successor or assign qualifies as a Subsidiary.</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PSMC Acquisition</w:t>
      </w:r>
      <w:r>
        <w:rPr>
          <w:rFonts w:ascii="Arial" w:cs="Arial" w:eastAsia="Arial" w:hAnsi="Arial"/>
          <w:sz w:val="18"/>
          <w:szCs w:val="18"/>
          <w:color w:val="auto"/>
        </w:rPr>
        <w:t>” means the purchase of all of the outstanding publicly traded Equity Interests of PSMC by the Company and/or Photronics Advanced Mask Corporation, a wholly-owned Subsidiary of the Company (“</w:t>
      </w:r>
      <w:r>
        <w:rPr>
          <w:rFonts w:ascii="Arial" w:cs="Arial" w:eastAsia="Arial" w:hAnsi="Arial"/>
          <w:sz w:val="18"/>
          <w:szCs w:val="18"/>
          <w:u w:val="single" w:color="auto"/>
          <w:color w:val="auto"/>
        </w:rPr>
        <w:t>PAMC</w:t>
      </w:r>
      <w:r>
        <w:rPr>
          <w:rFonts w:ascii="Arial" w:cs="Arial" w:eastAsia="Arial" w:hAnsi="Arial"/>
          <w:sz w:val="18"/>
          <w:szCs w:val="18"/>
          <w:color w:val="auto"/>
        </w:rPr>
        <w:t xml:space="preserve">”), for aggregate consideration in an amount not to exceed $35,000,000;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PSMC Acquisition shall be consummated as follows:</w:t>
      </w:r>
    </w:p>
    <w:p>
      <w:pPr>
        <w:spacing w:after="0" w:line="208" w:lineRule="exact"/>
        <w:rPr>
          <w:sz w:val="20"/>
          <w:szCs w:val="20"/>
          <w:color w:val="auto"/>
        </w:rPr>
      </w:pPr>
    </w:p>
    <w:p>
      <w:pPr>
        <w:ind w:left="660" w:firstLine="645"/>
        <w:spacing w:after="0" w:line="277" w:lineRule="auto"/>
        <w:tabs>
          <w:tab w:leader="none" w:pos="189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will contribute all of the Equity Interests in PSMC held by the Company to PAMC, in exchange for additional Equity Interests of PAMC.</w:t>
      </w:r>
    </w:p>
    <w:p>
      <w:pPr>
        <w:spacing w:after="0" w:line="197" w:lineRule="exact"/>
        <w:rPr>
          <w:rFonts w:ascii="Arial" w:cs="Arial" w:eastAsia="Arial" w:hAnsi="Arial"/>
          <w:sz w:val="18"/>
          <w:szCs w:val="18"/>
          <w:color w:val="auto"/>
        </w:rPr>
      </w:pPr>
    </w:p>
    <w:p>
      <w:pPr>
        <w:ind w:left="660" w:right="20" w:firstLine="645"/>
        <w:spacing w:after="0" w:line="258" w:lineRule="auto"/>
        <w:tabs>
          <w:tab w:leader="none" w:pos="1909"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PAMC will offer to purchase for cash all remaining publicly traded Equity Interests of PSMC held by certain minority shareholders (such outstanding Equity Interests of PSMC, the “</w:t>
      </w:r>
      <w:r>
        <w:rPr>
          <w:rFonts w:ascii="Arial" w:cs="Arial" w:eastAsia="Arial" w:hAnsi="Arial"/>
          <w:sz w:val="18"/>
          <w:szCs w:val="18"/>
          <w:u w:val="single" w:color="auto"/>
          <w:color w:val="auto"/>
        </w:rPr>
        <w:t>PSMC Minority Interest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spacing w:after="0" w:line="261" w:lineRule="auto"/>
        <w:rPr>
          <w:rFonts w:ascii="Arial" w:cs="Arial" w:eastAsia="Arial" w:hAnsi="Arial"/>
          <w:sz w:val="18"/>
          <w:szCs w:val="18"/>
          <w:color w:val="auto"/>
        </w:rPr>
      </w:pPr>
      <w:r>
        <w:rPr>
          <w:rFonts w:ascii="Arial" w:cs="Arial" w:eastAsia="Arial" w:hAnsi="Arial"/>
          <w:sz w:val="18"/>
          <w:szCs w:val="18"/>
          <w:color w:val="auto"/>
        </w:rPr>
        <w:t>Upon completion of the transactions described in clauses (1) and (2) above (the “</w:t>
      </w:r>
      <w:r>
        <w:rPr>
          <w:rFonts w:ascii="Arial" w:cs="Arial" w:eastAsia="Arial" w:hAnsi="Arial"/>
          <w:sz w:val="18"/>
          <w:szCs w:val="18"/>
          <w:u w:val="single" w:color="auto"/>
          <w:color w:val="auto"/>
        </w:rPr>
        <w:t>Cash Option</w:t>
      </w:r>
      <w:r>
        <w:rPr>
          <w:rFonts w:ascii="Arial" w:cs="Arial" w:eastAsia="Arial" w:hAnsi="Arial"/>
          <w:sz w:val="18"/>
          <w:szCs w:val="18"/>
          <w:color w:val="auto"/>
        </w:rPr>
        <w:t>”), (x) PAMC will remain a wholly-owned Subsidiary of the Company and (y) PSMC will become a wholly-owned Subsidiary of PAMC.</w:t>
      </w:r>
    </w:p>
    <w:p>
      <w:pPr>
        <w:spacing w:after="0" w:line="210" w:lineRule="exact"/>
        <w:rPr>
          <w:rFonts w:ascii="Arial" w:cs="Arial" w:eastAsia="Arial" w:hAnsi="Arial"/>
          <w:sz w:val="18"/>
          <w:szCs w:val="18"/>
          <w:color w:val="auto"/>
        </w:rPr>
      </w:pPr>
    </w:p>
    <w:p>
      <w:pPr>
        <w:jc w:val="both"/>
        <w:ind w:left="660" w:firstLine="645"/>
        <w:spacing w:after="0" w:line="264" w:lineRule="auto"/>
        <w:tabs>
          <w:tab w:leader="none" w:pos="21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the extent the purchase of the entire PSMC Minority Interest described in clause (2) above cannot be consummated, such remaining minority shareholders shall receive Equity Interests of PAMC in exchange for the remaining PSMC Minority Interest (such Equity Interests of PAMC, the “</w:t>
      </w:r>
      <w:r>
        <w:rPr>
          <w:rFonts w:ascii="Arial" w:cs="Arial" w:eastAsia="Arial" w:hAnsi="Arial"/>
          <w:sz w:val="18"/>
          <w:szCs w:val="18"/>
          <w:u w:val="single" w:color="auto"/>
          <w:color w:val="auto"/>
        </w:rPr>
        <w:t>PAMC Minority Interest</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660" w:right="20" w:firstLine="645"/>
        <w:spacing w:after="0" w:line="258" w:lineRule="auto"/>
        <w:tabs>
          <w:tab w:leader="none" w:pos="1977"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connection with the transactions described in clause (3) above, and for the purpose of eliminating the PAMC Minority Interest, PAMC will merge with and into the Company (with the Company as the surviving entity).</w:t>
      </w:r>
    </w:p>
    <w:p>
      <w:pPr>
        <w:spacing w:after="0" w:line="1" w:lineRule="exact"/>
        <w:rPr>
          <w:rFonts w:ascii="Arial" w:cs="Arial" w:eastAsia="Arial" w:hAnsi="Arial"/>
          <w:sz w:val="18"/>
          <w:szCs w:val="18"/>
          <w:color w:val="auto"/>
        </w:rPr>
      </w:pPr>
    </w:p>
    <w:p>
      <w:pPr>
        <w:ind w:left="660"/>
        <w:spacing w:after="0" w:line="261" w:lineRule="auto"/>
        <w:rPr>
          <w:rFonts w:ascii="Arial" w:cs="Arial" w:eastAsia="Arial" w:hAnsi="Arial"/>
          <w:sz w:val="18"/>
          <w:szCs w:val="18"/>
          <w:color w:val="auto"/>
        </w:rPr>
      </w:pPr>
      <w:r>
        <w:rPr>
          <w:rFonts w:ascii="Arial" w:cs="Arial" w:eastAsia="Arial" w:hAnsi="Arial"/>
          <w:sz w:val="18"/>
          <w:szCs w:val="18"/>
          <w:color w:val="auto"/>
        </w:rPr>
        <w:t>Upon the completion of the transactions described in clauses (1), (2), (3) and (4) above (the “</w:t>
      </w:r>
      <w:r>
        <w:rPr>
          <w:rFonts w:ascii="Arial" w:cs="Arial" w:eastAsia="Arial" w:hAnsi="Arial"/>
          <w:sz w:val="18"/>
          <w:szCs w:val="18"/>
          <w:u w:val="single" w:color="auto"/>
          <w:color w:val="auto"/>
        </w:rPr>
        <w:t>Merger Option</w:t>
      </w:r>
      <w:r>
        <w:rPr>
          <w:rFonts w:ascii="Arial" w:cs="Arial" w:eastAsia="Arial" w:hAnsi="Arial"/>
          <w:sz w:val="18"/>
          <w:szCs w:val="18"/>
          <w:color w:val="auto"/>
        </w:rPr>
        <w:t>”), (x) PAMC will merge out of existence and (y) PSMC will become a wholly-owned Subsidiary of the Company.</w:t>
      </w:r>
    </w:p>
    <w:p>
      <w:pPr>
        <w:spacing w:after="0" w:line="184"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Quotation Day</w:t>
      </w:r>
      <w:r>
        <w:rPr>
          <w:rFonts w:ascii="Arial" w:cs="Arial" w:eastAsia="Arial" w:hAnsi="Arial"/>
          <w:sz w:val="16"/>
          <w:szCs w:val="16"/>
          <w:color w:val="auto"/>
        </w:rPr>
        <w:t>” means, with respect to any Eurocurrency Borrowing for any Interest Period, (i) if the currency is Pounds Sterling, the first day of such Interest Period, (ii) if the currency is euro, the day that is two (2) TARGET2 Days before the first day of such Interest Period, and (iii) for any other currency, two Business Days prior to the commencement of such Interest period (unless, in each case, market practice differs in the relevant market where the LIBO Rate for such currency is to be determined, in which case the Quotation Day will be determined by the Administrative Agent in accordance with market practice in such market (and if quotations would normally be given on more than one day, then the Quotation Day will be the last of those days)).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Reference Bank Rate</w:t>
      </w:r>
      <w:r>
        <w:rPr>
          <w:rFonts w:ascii="Arial" w:cs="Arial" w:eastAsia="Arial" w:hAnsi="Arial"/>
          <w:sz w:val="16"/>
          <w:szCs w:val="16"/>
          <w:color w:val="auto"/>
        </w:rPr>
        <w:t>” means the arithmetic mean of the rates (rounded upwards to four decimal places) supplied to the Administrative Agent at its request by the Reference Banks (as the case may be) as of the applicable time on the Quotation Day for Loans in the applicable currency and the applicable Interest Period as the rate at which the relevant Reference Bank could borrow funds in the London interbank market in the relevant currency and for the relevant period, were it to do so by asking for and then accepting interbank offers in reasonable market size in that currency and for that period.</w:t>
      </w:r>
    </w:p>
    <w:p>
      <w:pPr>
        <w:spacing w:after="0" w:line="15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the principal London offices of JPMorgan Chase Bank, N.A. and such other banks as may be appointed by the Administrative Agent in consultation with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set forth in Section 9.04.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S-X</w:t>
      </w:r>
      <w:r>
        <w:rPr>
          <w:rFonts w:ascii="Arial" w:cs="Arial" w:eastAsia="Arial" w:hAnsi="Arial"/>
          <w:sz w:val="18"/>
          <w:szCs w:val="18"/>
          <w:color w:val="auto"/>
        </w:rPr>
        <w:t>” means Regulation S-X under the Securities Act of 1933, as amended.</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two (2) or more Lenders having Revolving Credit Exposures and unused Commitments representing more than 50% of the sum of the total Revolving Credit Exposures and unused Commitments at such time.</w:t>
      </w:r>
    </w:p>
    <w:p>
      <w:pPr>
        <w:spacing w:after="0" w:line="170"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Subsidiary or any option, warrant or other right to acquire any such Equity Interests in the Company or any Subsidiary. Notwithstanding the foregoing, and for the avoidance of doubt, (i) the conversion of (including any cash payment upon conversion), or payment of any principal or premium on, or payment of any interest with respect to, any Permitted Convertible Notes shall not constitute a Restricted Payment and (ii) any payment with respect to, or early unwind or settlement of, any Permitted Call Spread Swap Agreement shall not constitute a Restricted Payment.</w:t>
      </w:r>
    </w:p>
    <w:p>
      <w:pPr>
        <w:spacing w:after="0" w:line="17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Loans and its LC Exposure and Swingline Exposure at such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 2.01.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and Leaseback Transaction</w:t>
      </w:r>
      <w:r>
        <w:rPr>
          <w:rFonts w:ascii="Arial" w:cs="Arial" w:eastAsia="Arial" w:hAnsi="Arial"/>
          <w:sz w:val="16"/>
          <w:szCs w:val="16"/>
          <w:color w:val="auto"/>
        </w:rPr>
        <w:t>” means any sale or other transfer of property by any Person with the intent to lease such property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lessee.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which is the subject or target of any Sanctions.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OFAC, the U.S. Department of State, the United Nations Security Council, the European Union or any EU member state, (b) any Person operating, organized or resident in a Sanctioned Country or (c) any Person controlled by any such Person.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7" w:name="page118"/>
    <w:bookmarkEnd w:id="117"/>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Her Majesty’s Treasury of the United Kingdom.</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xml:space="preserve">” means all Obligations, together with all (i) Banking Services Obligations and (ii) Swap Obligations owing to one or more Secured Parties or their respective Affiliates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obligations arising under Permitted Call Spread Swap Agreements shall not be considered Secured Obligations and (ii) the definition of “Secured Obligations” shall not create or include any guarantee by any Loan Party of (or grant of security interest by any Loan Party to support, as applicable) any Excluded Swap Obligations of such Loan Party for purposes of determining any obligations of any Loan Party.</w:t>
      </w:r>
    </w:p>
    <w:p>
      <w:pPr>
        <w:spacing w:after="0" w:line="18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the holders of the Secured Obligations from time to time and shall include (i) each Lender and each Issuing Bank in respect of its Loans and LC Exposure respectively, (ii) the Administrative Agent, the Issuing Banks and the Lenders in respect of all other present and future obligations and liabilities of the Company and each Subsidiary of every type and description arising under or in connection with this Agreement or any other Loan Document, (iii) each Lender and affiliate of such Lender in respect of Swap Agreements and Banking Services Agreements entered into with such Person by the the Company or any Subsidiary, (iv) each indemnified party under Section 9.03 in respect of the obligations and liabilities of the Borrowers to such Person hereunder and under the other Loan Documents, and (v) their respective successors and (in the case of a Lender, permitted) transferees and assigns.</w:t>
      </w:r>
    </w:p>
    <w:p>
      <w:pPr>
        <w:spacing w:after="0" w:line="18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that certain Second Amended and Restated Security Agreement (including any and all supplements thereto), dated as of the Effective Date, between the Loan Parties and the Collateral Agent, for the benefit of the Collateral Agent and the other Holders of Secured Obligations, as the same may be amended, restated or otherwise modified from time to time.</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Swap Obligation</w:t>
      </w:r>
      <w:r>
        <w:rPr>
          <w:rFonts w:ascii="Arial" w:cs="Arial" w:eastAsia="Arial" w:hAnsi="Arial"/>
          <w:sz w:val="18"/>
          <w:szCs w:val="18"/>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8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with respect to any currency, a fraction (expressed as a decimal), the numerator of which is the number one and the denominator of which is the number one minus the aggregate of the maximum reserve, liquid asset, fees or similar requirements (including any marginal, special, emergency or supplemental reserves or other requirements) established by any central bank, monetary authority, the Board, the Financial Conduct Authority, the Prudential Regulation Authority, the European Central Bank or other Governmental Authority for any category of deposits or liabilities customarily used to fund loans in such currency, expressed in the case of each such requirement as a decimal. Such reserve, liquid asset, fees or similar requirements shall include those imposed pursuant to Regulation D of the Board. Eurocurrency Loans shall be deemed to be subject to such reserve, liquid asset, fee or similar requirements without benefit of or credit for proration, exemptions or offsets that may be available from time to time to any Lender under any applicable law, rule or regulation, including Regulation D of the Board. The Statutory Reserve Rate shall be adjusted automatically on and as of the effective date of any change in any reserve, liquid asset or similar requirement.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of the Company or any Subsidiary means any Indebtedness of such Person the payment of which is subordinated to payment of the obligations under the Loan Documents to the written satisfaction of, and the terms and conditions of which are otherwise satisfactory to, the Administrative Agent.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 Documents</w:t>
      </w:r>
      <w:r>
        <w:rPr>
          <w:rFonts w:ascii="Arial" w:cs="Arial" w:eastAsia="Arial" w:hAnsi="Arial"/>
          <w:sz w:val="18"/>
          <w:szCs w:val="18"/>
          <w:color w:val="auto"/>
        </w:rPr>
        <w:t>” means any document, agreement or instrument evidencing any Subordinated Indebtedness or entered into in connection with any Subordinated Indebtedness.</w:t>
      </w:r>
    </w:p>
    <w:p>
      <w:pPr>
        <w:spacing w:after="0" w:line="17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each Subsidiary (other than Affected Foreign Subsidiaries). The Subsidiary Guarantors on the Effective Date are identified as such in Schedule 3.01 hereto.</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means that certain Second Amended and Restated Guaranty, dated as of the Effective Date, in the form of Exhibit G (including any and all supplements thereto) and executed by each Subsidiary Guarantor party thereto, and, in the case of any guaranty by a Foreign Subsidiary, any other guaranty agreements as are requested by the Administrative Agent and its counsel, in each case as amended, restated, supplemented or otherwise modified from time to time.</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any and all obligations of the Company or any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its Applicable Percentage of the total Swingline Exposure at such time.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9" w:name="page120"/>
    <w:bookmarkEnd w:id="11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JPMorgan Chase Bank, N.A., in its capacity as lender of Swingline Loans 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Loan made pursuant to Section 2.05.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Syndication Agent</w:t>
      </w:r>
      <w:r>
        <w:rPr>
          <w:rFonts w:ascii="Arial" w:cs="Arial" w:eastAsia="Arial" w:hAnsi="Arial"/>
          <w:sz w:val="16"/>
          <w:szCs w:val="16"/>
          <w:color w:val="auto"/>
        </w:rPr>
        <w:t>” means RBS Citizens, National Association, in its capacity as syndication agent for the credit facility evidenced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Taiwan JV</w:t>
      </w:r>
      <w:r>
        <w:rPr>
          <w:rFonts w:ascii="Arial" w:cs="Arial" w:eastAsia="Arial" w:hAnsi="Arial"/>
          <w:sz w:val="18"/>
          <w:szCs w:val="18"/>
          <w:color w:val="auto"/>
        </w:rPr>
        <w:t>” means the Joint Venture between the Company and Dai Nippon Printing Co., Ltd. publicly announced by the Company on November 20, 2013.</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Taiwan JV Transactions</w:t>
      </w:r>
      <w:r>
        <w:rPr>
          <w:rFonts w:ascii="Arial" w:cs="Arial" w:eastAsia="Arial" w:hAnsi="Arial"/>
          <w:sz w:val="16"/>
          <w:szCs w:val="16"/>
          <w:color w:val="auto"/>
        </w:rPr>
        <w:t>” means the transactions described in Schedule 6.04 hereto related to the creation and operation of the Taiwan JV.</w:t>
      </w:r>
    </w:p>
    <w:p>
      <w:pPr>
        <w:spacing w:after="0" w:line="24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means the Trans-European Automated Real-time Gross Settlement Express Transfer (TARGET2) payment system (or, if such payment system ceases to be operative, such other payment system (if any) reasonably determined by the Administrative Agent to be a suitable replacement) for the settlement of payments in euro.</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 Day</w:t>
      </w:r>
      <w:r>
        <w:rPr>
          <w:rFonts w:ascii="Arial" w:cs="Arial" w:eastAsia="Arial" w:hAnsi="Arial"/>
          <w:sz w:val="18"/>
          <w:szCs w:val="18"/>
          <w:color w:val="auto"/>
        </w:rPr>
        <w:t>” means a day that TARGET2 is open for the settlement of payments in euro.</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fees, assessments, charges or other withholdings imposed by any Governmental Authority.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has the meaning assigned to such term in Section 6.11(b).</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Loan Parties of this Agreement and the other Loan Documents, the borrowing of Loans, the use of the proceeds thereof and the issuance of Letters of Credit hereunder.</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“Revolving Loan”)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Loan”)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Revolving Loan”).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“Revolving Borrowing”)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Borrowing”)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Revolving Borrowing”).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0" w:name="page121"/>
    <w:bookmarkEnd w:id="120"/>
    <w:p>
      <w:pPr>
        <w:jc w:val="both"/>
        <w:ind w:firstLine="1297"/>
        <w:spacing w:after="0" w:line="286" w:lineRule="auto"/>
        <w:rPr>
          <w:sz w:val="20"/>
          <w:szCs w:val="20"/>
          <w:color w:val="auto"/>
        </w:rPr>
      </w:pPr>
      <w:r>
        <w:rPr>
          <w:rFonts w:ascii="Arial" w:cs="Arial" w:eastAsia="Arial" w:hAnsi="Arial"/>
          <w:sz w:val="16"/>
          <w:szCs w:val="16"/>
          <w:color w:val="auto"/>
        </w:rPr>
        <w:t>SECTION 1.03. 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69"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at “fair value”, as defined therein and</w:t>
      </w:r>
    </w:p>
    <w:p>
      <w:pPr>
        <w:spacing w:after="0" w:line="6" w:lineRule="exact"/>
        <w:rPr>
          <w:sz w:val="20"/>
          <w:szCs w:val="20"/>
          <w:color w:val="auto"/>
        </w:rPr>
      </w:pPr>
    </w:p>
    <w:p>
      <w:pPr>
        <w:jc w:val="both"/>
        <w:ind w:firstLine="8"/>
        <w:spacing w:after="0" w:line="277" w:lineRule="auto"/>
        <w:tabs>
          <w:tab w:leader="none" w:pos="268" w:val="left"/>
        </w:tabs>
        <w:numPr>
          <w:ilvl w:val="0"/>
          <w:numId w:val="52"/>
        </w:numPr>
        <w:rPr>
          <w:rFonts w:ascii="Arial" w:cs="Arial" w:eastAsia="Arial" w:hAnsi="Arial"/>
          <w:sz w:val="17"/>
          <w:szCs w:val="17"/>
          <w:color w:val="auto"/>
        </w:rPr>
      </w:pPr>
      <w:r>
        <w:rPr>
          <w:rFonts w:ascii="Arial" w:cs="Arial" w:eastAsia="Arial" w:hAnsi="Arial"/>
          <w:sz w:val="17"/>
          <w:szCs w:val="17"/>
          <w:color w:val="auto"/>
        </w:rPr>
        <w:t>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7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Status of Secured Obligations</w:t>
      </w:r>
      <w:r>
        <w:rPr>
          <w:rFonts w:ascii="Arial" w:cs="Arial" w:eastAsia="Arial" w:hAnsi="Arial"/>
          <w:sz w:val="17"/>
          <w:szCs w:val="17"/>
          <w:color w:val="auto"/>
        </w:rPr>
        <w:t>. In the event that the Company or any other Loan Party shall at any time issue or have outstanding any Subordinated Indebtedness, the Company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other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1" w:name="page122"/>
    <w:bookmarkEnd w:id="121"/>
    <w:p>
      <w:pPr>
        <w:jc w:val="both"/>
        <w:ind w:firstLine="1297"/>
        <w:spacing w:after="0" w:line="268"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Amendment and Restatement of the Existing Agreement</w:t>
      </w:r>
      <w:r>
        <w:rPr>
          <w:rFonts w:ascii="Arial" w:cs="Arial" w:eastAsia="Arial" w:hAnsi="Arial"/>
          <w:sz w:val="17"/>
          <w:szCs w:val="17"/>
          <w:color w:val="auto"/>
        </w:rPr>
        <w:t>. The parties to this Agreement agree that, upon (i) the execution and delivery by each of the parties hereto of this Agreement and (ii) satisfaction of the conditions set forth in Section 4.01, the terms and provisions of the Existing Agreement shall be and hereby are amended, superseded and restated in their entirety by the terms and provisions of this Agreement. This Agreement is not intended to and shall not constitute a novation. All Loans made and Secured Obligations incurred under the Existing Agreement which are outstanding on the Effective Date shall continue as Loans and Secured Obligations under (and shall be governed by the terms of) this Agreement and the other Loan Documents. Without limiting the foregoing, upon the effectiveness hereof: (a) all references in the “Loan Documents” (as defined in the Existing Agreement) to the “Administrative Agent”, the “Credit Agreement” and the “Loan Documents” shall be deemed to refer to the Administrative Agent, this Agreement and the Loan Documents, (b) the Existing Letters of Credit which remain outstanding on the Effective Date shall continue as Letters of Credit under (and shall be governed by the terms of) this Agreement, (c) all obligations constituting “Secured Obligations” with any Lender or any Affiliate of any Lender which are outstanding on the Effective Date shall continue as Secured Obligations under this Agreement and the other Loan Documents, (d) the Administrative Agent shall make such reallocations, sales, assignments or other relevant actions in respect of each Lender’s credit and loan exposure under the Existing Agreement as are necessary in order that each such Lender’s Revolving Credit Exposure and outstanding Revolving Loans hereunder reflects such Lender’s Applicable Percentage of the outstanding aggregate Revolving Credit Exposures on the Effective Date and (e) the Company hereby agrees to compensate each Lender for any and all losses, costs and expenses incurred by such Lender in connection with the sale and assignment of any Eurocurrency Loans (including the “Eurocurrency Loans” under the Existing Agreement) and such reallocation described above, in each case on the terms and in the manner set forth in Section 2.16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Commitments.</w:t>
      </w:r>
      <w:r>
        <w:rPr>
          <w:rFonts w:ascii="Arial" w:cs="Arial" w:eastAsia="Arial" w:hAnsi="Arial"/>
          <w:sz w:val="17"/>
          <w:szCs w:val="17"/>
          <w:color w:val="auto"/>
        </w:rPr>
        <w:t xml:space="preserve"> Prior to the Effective Date, certain revolving loans were previously made to the Company under the Existing Agreement which remain outstanding as of the date of this Agreement (such outstanding revolving loans being hereinafter referred to as the “</w:t>
      </w:r>
      <w:r>
        <w:rPr>
          <w:rFonts w:ascii="Arial" w:cs="Arial" w:eastAsia="Arial" w:hAnsi="Arial"/>
          <w:sz w:val="17"/>
          <w:szCs w:val="17"/>
          <w:u w:val="single" w:color="auto"/>
          <w:color w:val="auto"/>
        </w:rPr>
        <w:t>Existing Loans</w:t>
      </w:r>
      <w:r>
        <w:rPr>
          <w:rFonts w:ascii="Arial" w:cs="Arial" w:eastAsia="Arial" w:hAnsi="Arial"/>
          <w:sz w:val="17"/>
          <w:szCs w:val="17"/>
          <w:color w:val="auto"/>
        </w:rPr>
        <w:t>”). Subject to the terms and conditions set forth in this Agreement, the Borrowers and each of the Lenders agree that on the Effective Date but subject to the satisfaction of the conditions precedent set forth in Section 4.01 and the reallocation and other transactions described in Section 1.05, the Existing Loans shall be reevidenced as Revolving Loans under this Agreement and the terms of the Existing Loans shall be restated in their entirety and shall be evidenced by this Agreement. Subject to the terms and conditions set forth herein, each Lender (severally and not jointly) agrees to make Revolving Loans to any Borrower in Agreed Currencies from time to time during the Availability Period in an aggregate principal amount that will not result in (i) subject to Sections 2.04 and 2.11(b), the Dollar Amount of such Lender’s Revolving Credit Exposure exceeding such Lender’s Commitment, (ii) subject to Sections 2.04 and 2.11(b), the sum of the Dollar Amount of the total Revolving Credit Exposures exceeding the Aggregate Commitment, (iii) subject to Sections 2.04 and 2.11(b), the Dollar Amount of the total outstanding Revolving Loans and LC Exposure, in each case denominated in Foreign Currencies, exceeding the Foreign Currency Sublimit or (iv) subject to Section 2.04, the Dollar Amount of the total outstanding Revolving Loans made to Foreign Subsidiary Borrowers exceeding the Foreign Borrower Sublimit. Within the foregoing limits and subject to the terms and conditions set forth herein, the Borrowers may borrow, prepay and reborrow Revolving Loans.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jc w:val="both"/>
        <w:ind w:firstLine="1297"/>
        <w:spacing w:after="0" w:line="25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 xml:space="preserve">. (a) Each Revolving Loan (other than a Swingline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 Any Swingline Loan shall be made in accordance with the procedures set forth in Section 2.05.</w:t>
      </w:r>
    </w:p>
    <w:p>
      <w:pPr>
        <w:spacing w:after="0" w:line="188" w:lineRule="exact"/>
        <w:rPr>
          <w:sz w:val="20"/>
          <w:szCs w:val="20"/>
          <w:color w:val="auto"/>
        </w:rPr>
      </w:pPr>
    </w:p>
    <w:p>
      <w:pPr>
        <w:jc w:val="both"/>
        <w:ind w:firstLine="1305"/>
        <w:spacing w:after="0" w:line="297" w:lineRule="auto"/>
        <w:tabs>
          <w:tab w:leader="none" w:pos="1618"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Subject to Section 2.14, each Revolving Borrowing shall be comprised entirely of ABR Loans or Eurocurrency Loans as the relevant Borrower may request in accordance herewith; provided that each ABR Loan shall only be made in Dollars. Each Swingline Loan shall be an ABR Loan.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relevant Borrower to repay such Loan in accordance with the terms of this Agreement.</w:t>
      </w:r>
    </w:p>
    <w:p>
      <w:pPr>
        <w:spacing w:after="0" w:line="158" w:lineRule="exact"/>
        <w:rPr>
          <w:rFonts w:ascii="Arial" w:cs="Arial" w:eastAsia="Arial" w:hAnsi="Arial"/>
          <w:sz w:val="16"/>
          <w:szCs w:val="16"/>
          <w:color w:val="auto"/>
        </w:rPr>
      </w:pPr>
    </w:p>
    <w:p>
      <w:pPr>
        <w:jc w:val="both"/>
        <w:ind w:firstLine="1305"/>
        <w:spacing w:after="0" w:line="254" w:lineRule="auto"/>
        <w:tabs>
          <w:tab w:leader="none" w:pos="1619"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Eurocurrency Revolving Borrowing, such Borrowing shall be in an aggregate amount that is an integral multiple of $500,000 and not less than $3,000,000 (or the Approximate Equivalent Amount of each such amount if such Borrowing is denominated in a Foreign Currency). At the time that each ABR Revolving Borrowing is made, such Borrowing shall be in an aggregate amount that is an integral multiple of $100,000 and not less than $1,000,000;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ABR Revolving Borrowing may be in an aggregate amount that is equal to the entire unused balance of the Aggregate Commitment or that is required to finance the reimbursement of an LC Disbursement as contemplated by Section 2.06(e). Each Swingline Loan shall be in an amount that is an integral multiple of $100,000 and not less than $1,000,000. Borrowings of more than one Type 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ten (10) Eurocurrency Revolving Borrowings outstanding.</w:t>
      </w:r>
    </w:p>
    <w:p>
      <w:pPr>
        <w:spacing w:after="0" w:line="192" w:lineRule="exact"/>
        <w:rPr>
          <w:rFonts w:ascii="Arial" w:cs="Arial" w:eastAsia="Arial" w:hAnsi="Arial"/>
          <w:sz w:val="18"/>
          <w:szCs w:val="18"/>
          <w:color w:val="auto"/>
        </w:rPr>
      </w:pPr>
    </w:p>
    <w:p>
      <w:pPr>
        <w:ind w:firstLine="1305"/>
        <w:spacing w:after="0" w:line="277" w:lineRule="auto"/>
        <w:tabs>
          <w:tab w:leader="none" w:pos="16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170"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Requests for Revolving Borrowings</w:t>
      </w:r>
      <w:r>
        <w:rPr>
          <w:rFonts w:ascii="Arial" w:cs="Arial" w:eastAsia="Arial" w:hAnsi="Arial"/>
          <w:sz w:val="17"/>
          <w:szCs w:val="17"/>
          <w:color w:val="auto"/>
        </w:rPr>
        <w:t xml:space="preserve">. To request a Revolving Borrowing, the applicable Borrower, or the Company on behalf of the applicable Borrower, shall notify the Administrative Agent of such request (a) by irrevocable written notice (via a written Borrowing Request signed by the Company (on its own behalf or, as applicable, on behalf of a Foreign Subsidiary Borrower), promptly followed by telephonic confirmation of such request) in the case of a Eurocurrency Borrowing, not later than 11:00 a.m., Local Time, three (3) Business Days (in the case of a Eurocurrency Borrowing denominated in Dollars) or by irrevocable written notice (via a written Borrowing Request signed by the Company (on its own behalf or, as applicable, on behalf of a Foreign Subsidiary Borrower)) not later than 11:00 a.m., Local Time, four (4) Business Days (in the case of a Eurocurrency Borrowing denominated in a Foreign Currency), in each case before the date of the proposed Borrowing or (b) by telephone in the case of an ABR Borrowing, not later than 11:00 a.m., New York City time, one (1) Business Day before the date of the proposed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of an ABR Revolving Borrowing to finance the reimbursement of an LC Disbursement as contemplated by Section 2.06(e) may be given not later than 10:00 a.m., New York City time, on the date of the proposed Borrowing. Each such telephonic Borrowing Request shall be irrevocable and shall be confirmed promptly by hand delivery or telecopy to the Administrative Agent of a written Borrowing Request signed by the applicable Borrower, or the Company on behalf of the applicable Borrower. Each such telephonic and written Borrowing Request shall specify the following information in compliance with Section 2.02: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3" w:name="page124"/>
    <w:bookmarkEnd w:id="123"/>
    <w:p>
      <w:pPr>
        <w:ind w:left="1560" w:hanging="255"/>
        <w:spacing w:after="0"/>
        <w:tabs>
          <w:tab w:leader="none" w:pos="1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 of the applicable Borrower;</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amount of the requested Borrowing;</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Eurocurrency Borrowing;</w:t>
      </w:r>
    </w:p>
    <w:p>
      <w:pPr>
        <w:spacing w:after="0" w:line="225" w:lineRule="exact"/>
        <w:rPr>
          <w:rFonts w:ascii="Arial" w:cs="Arial" w:eastAsia="Arial" w:hAnsi="Arial"/>
          <w:sz w:val="18"/>
          <w:szCs w:val="18"/>
          <w:color w:val="auto"/>
        </w:rPr>
      </w:pPr>
    </w:p>
    <w:p>
      <w:pPr>
        <w:ind w:left="660" w:firstLine="645"/>
        <w:spacing w:after="0" w:line="277" w:lineRule="auto"/>
        <w:tabs>
          <w:tab w:leader="none" w:pos="16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a Eurocurrency Borrowing, the Agreed Currency and initial Interest Period to be applicable thereto, which shall be a period contemplated by the definition of the term “Interest Period”; and</w:t>
      </w:r>
    </w:p>
    <w:p>
      <w:pPr>
        <w:spacing w:after="0" w:line="170" w:lineRule="exact"/>
        <w:rPr>
          <w:rFonts w:ascii="Arial" w:cs="Arial" w:eastAsia="Arial" w:hAnsi="Arial"/>
          <w:sz w:val="18"/>
          <w:szCs w:val="18"/>
          <w:color w:val="auto"/>
        </w:rPr>
      </w:pPr>
    </w:p>
    <w:p>
      <w:pPr>
        <w:ind w:left="660" w:firstLine="645"/>
        <w:spacing w:after="0" w:line="277" w:lineRule="auto"/>
        <w:tabs>
          <w:tab w:leader="none" w:pos="17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location and number of the applicable Borrower’s account to which funds are to be disbursed, which shall comply with the requirements of Section 2.07.</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no election as to the Type of Revolving Borrowing is specified, then, in the case of a Borrowing denominated in Dollars, the requested Revolving Borrowing shall be an ABR Borrowing. If no Interest Period is specified with respect to any requested Eurocurrency Revolving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Determination of Dollar Amounts</w:t>
      </w:r>
      <w:r>
        <w:rPr>
          <w:rFonts w:ascii="Arial" w:cs="Arial" w:eastAsia="Arial" w:hAnsi="Arial"/>
          <w:sz w:val="18"/>
          <w:szCs w:val="18"/>
          <w:color w:val="auto"/>
        </w:rPr>
        <w:t>. The Administrative Agent will determine the Dollar Amount of:</w:t>
      </w:r>
    </w:p>
    <w:p>
      <w:pPr>
        <w:spacing w:after="0" w:line="225" w:lineRule="exact"/>
        <w:rPr>
          <w:sz w:val="20"/>
          <w:szCs w:val="20"/>
          <w:color w:val="auto"/>
        </w:rPr>
      </w:pPr>
    </w:p>
    <w:p>
      <w:pPr>
        <w:ind w:right="20" w:firstLine="1305"/>
        <w:spacing w:after="0" w:line="277" w:lineRule="auto"/>
        <w:tabs>
          <w:tab w:leader="none" w:pos="16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Eurocurrency Borrowing as of the date three (3) Business Days prior to the date of such Borrowing or, if applicable, the date of conversion/continuation of any Borrowing as a Eurocurrency Borrowing,</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LC Exposure as of the date of each request for the issuance, amendment, renewal or extension of any Letter of Credit, and</w:t>
      </w:r>
    </w:p>
    <w:p>
      <w:pPr>
        <w:spacing w:after="0" w:line="236" w:lineRule="exact"/>
        <w:rPr>
          <w:rFonts w:ascii="Arial" w:cs="Arial" w:eastAsia="Arial" w:hAnsi="Arial"/>
          <w:sz w:val="17"/>
          <w:szCs w:val="17"/>
          <w:color w:val="auto"/>
        </w:rPr>
      </w:pPr>
    </w:p>
    <w:p>
      <w:pPr>
        <w:ind w:firstLine="1305"/>
        <w:spacing w:after="0" w:line="308" w:lineRule="auto"/>
        <w:tabs>
          <w:tab w:leader="none" w:pos="161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outstanding Credit Events on and as of the last Business Day of each calendar quarter and, during the continuation of an Event of Default, on any other Business Day elected by the Administrative Agent in its discretion or upon instruction by the Required Lenders.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day upon or as of which the Administrative Agent determines Dollar Amounts as described in the preceding clauses (a), (b) and (c) is herein described as a “Computation Date” with respect to each Credit Event for which a Dollar Amount is determined on or as of such day.</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Swingline Loans</w:t>
      </w:r>
      <w:r>
        <w:rPr>
          <w:rFonts w:ascii="Arial" w:cs="Arial" w:eastAsia="Arial" w:hAnsi="Arial"/>
          <w:sz w:val="18"/>
          <w:szCs w:val="18"/>
          <w:color w:val="auto"/>
        </w:rPr>
        <w:t xml:space="preserve">. (a) Subject to the terms and conditions set forth herein, the Swingline Lender agrees to make Swingline Loans in Dollars to the Company from time to time during the Availability Period, in an aggregate principal amount at any time outstanding that will not result in (i) the aggregate principal amount of outstanding Swingline Loans exceeding $10,000,000 or (ii) the Dollar Amount of the total Revolving Credit Exposures exceeding the Aggregate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Swingline Lender shall not be required to make a Swingline Loan to refinance an outstanding Swingline Loan. Within the foregoing limits and subject to the terms and conditions set forth herein, the Company may borrow, prepay and reborrow Swingline Loans.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4" w:name="page125"/>
    <w:bookmarkEnd w:id="124"/>
    <w:p>
      <w:pPr>
        <w:jc w:val="both"/>
        <w:ind w:firstLine="1305"/>
        <w:spacing w:after="0" w:line="255" w:lineRule="auto"/>
        <w:tabs>
          <w:tab w:leader="none" w:pos="15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request a Swingline Loan, the Company shall notify the Administrative Agent of such request by telephone (confirmed by telecopy), not later than 12:00 noon, New York City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the Company. The Swingline Lender shall make each Swingline Loan available to the Company by means of a credit to the general deposit account of the Company with the Swingline Lender (or, in the case of a Swingline Loan made to finance the reimbursement of an LC Disbursement as provided in Section 2.06(e), by remittance to such Issuing Bank) by 3:00 p.m., New York City time, on the requested date of such Swingline Loan.</w:t>
      </w:r>
    </w:p>
    <w:p>
      <w:pPr>
        <w:spacing w:after="0" w:line="189" w:lineRule="exact"/>
        <w:rPr>
          <w:rFonts w:ascii="Arial" w:cs="Arial" w:eastAsia="Arial" w:hAnsi="Arial"/>
          <w:sz w:val="18"/>
          <w:szCs w:val="18"/>
          <w:color w:val="auto"/>
        </w:rPr>
      </w:pPr>
    </w:p>
    <w:p>
      <w:pPr>
        <w:jc w:val="both"/>
        <w:ind w:firstLine="1305"/>
        <w:spacing w:after="0" w:line="285" w:lineRule="auto"/>
        <w:tabs>
          <w:tab w:leader="none" w:pos="16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The Swingline Lender may by written notice given to the Administrative Agent not later than 10:00 a.m., New York City time, on any Business Day require the Lenders to acquire participations on such Business Day in all or a portion of the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 or Loans. Each Lender hereby absolutely and unconditionally agrees, upon receipt of notice as provided above, to pay to the Administrative Agent,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2.07 with respect to Loans made by such Lender (and Section 2.07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Swingline Lender the amounts so received by it from the Lenders. The Administrative Agent shall notify the Company of any participations in any Swingline Loan acquired pursuant to this paragraph, and thereafter payments in respect of such Swingline Loan shall be made to the Administrative Agent and not to the Swingline Lender. Any amounts received by the Swingline Lender from the Company (or other party on behalf of the Company)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Company for any reason. The purchase of participations in a Swingline Loan pursuant to this paragraph shall not relieve the Company of any default in the payment thereof.</w:t>
      </w:r>
    </w:p>
    <w:p>
      <w:pPr>
        <w:spacing w:after="0" w:line="17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General</w:t>
      </w:r>
      <w:r>
        <w:rPr>
          <w:rFonts w:ascii="Arial" w:cs="Arial" w:eastAsia="Arial" w:hAnsi="Arial"/>
          <w:sz w:val="16"/>
          <w:szCs w:val="16"/>
          <w:color w:val="auto"/>
        </w:rPr>
        <w:t>. Subject to the terms and conditions set forth herein, the Company may request the issuance of Letters of Credit denominated in Agreed Currencies for the support of its or its Subsidiaries’ obligations, in a form reasonably acceptable to the Administrative Agent and the relevant Issuing Bank, at any time and from time to time during the Availability Period. In the event of any inconsistency between the terms and conditions of this Agreement and the terms and conditions of any form of letter of credit application or other agreement submitted by the Company to, or entered into by the Company with, the relevant Issuing Bank relating to any Letter of Credit, the terms and conditions of this Agreement shall control; provided, however, if such Issuing Bank is requested to issue Letters of Credit with respect to a jurisdiction the relevant Issuing Bank deems, in its reasonable judgment, may at any time subject it to a New Money Credit Event or a Country Risk Event, the Company shall, at the request of an Issuing Bank, guaranty and indemnify the requesting Issuing Bank against any and all costs, liabilities and losses resulting from such New Money Credit Event or Country Risk Event, in each case in a form and substance reasonably satisfactory to the relevant Issuing Bank. The letters of credit identified on Schedule 2.06 (the “</w:t>
      </w:r>
      <w:r>
        <w:rPr>
          <w:rFonts w:ascii="Arial" w:cs="Arial" w:eastAsia="Arial" w:hAnsi="Arial"/>
          <w:sz w:val="16"/>
          <w:szCs w:val="16"/>
          <w:u w:val="single" w:color="auto"/>
          <w:color w:val="auto"/>
        </w:rPr>
        <w:t>Existing Letters of Credit</w:t>
      </w:r>
      <w:r>
        <w:rPr>
          <w:rFonts w:ascii="Arial" w:cs="Arial" w:eastAsia="Arial" w:hAnsi="Arial"/>
          <w:sz w:val="16"/>
          <w:szCs w:val="16"/>
          <w:color w:val="auto"/>
        </w:rPr>
        <w:t>”) shall be deemed to be “Letters of Credit” issued on the Effective Date for all purposes of the Loan Documents. The Company unconditionally and irrevocably agrees that, in connection with any Letter of Credit issued for the support of any Subsidiary’s obligations as provided in the first sentence of this paragraph, the Company will be fully responsible for the reimbursement of LC Disbursements in accordance with the terms hereof, the payment of interest thereon and the payment of fees due under Section 2.12(b) to the same extent as if it were the sole account party in respect of such Letter of Credit (the Company hereby irrevocably waiving any defenses that might otherwise be available to it as a guarantor or surety of the obligations of such a Subsidiary that is an account party in respect of any such Letter of Credit).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5" w:name="page126"/>
    <w:bookmarkEnd w:id="125"/>
    <w:p>
      <w:pPr>
        <w:jc w:val="both"/>
        <w:ind w:firstLine="1305"/>
        <w:spacing w:after="0" w:line="286" w:lineRule="auto"/>
        <w:tabs>
          <w:tab w:leader="none" w:pos="165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To request the issuance of a Letter of Credit (or the amendment, renewal or extension of an outstanding Letter of Credit), the Company shall hand deliver or telecopy (or transmit by electronic communication, if arrangements for doing so have been approved by the relevant Issuing Bank) to an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If requested by an Issuing Bank, the Company also shall submit a letter of credit application on the relevant Issuing Bank’s standard form in connection with any request for a Letter of Credit. A Letter of Credit shall be issued, amended, renewed or extended only if (and upon issuance, amendment, renewal or extension of each Letter of Credit the Company shall be deemed to represent and warrant that), after giving effect to such issuance, amendment, renewal or extension and, subject to Sections 2.04 and 2.11(b), (i) the Dollar Amount of the LC Exposure shall not exceed $30,000,000, (ii) the Dollar Amount of the total Revolving Credit Exposures shall not exceed the Aggregate Commitment and (iii) the Dollar Amount of the total outstanding Revolving Loans and LC Exposure, in each case denominated in Foreign Currencies, shall not exceed the Foreign Currency Sublimit.</w:t>
      </w:r>
    </w:p>
    <w:p>
      <w:pPr>
        <w:spacing w:after="0" w:line="174" w:lineRule="exact"/>
        <w:rPr>
          <w:rFonts w:ascii="Arial" w:cs="Arial" w:eastAsia="Arial" w:hAnsi="Arial"/>
          <w:sz w:val="16"/>
          <w:szCs w:val="16"/>
          <w:color w:val="auto"/>
        </w:rPr>
      </w:pPr>
    </w:p>
    <w:p>
      <w:pPr>
        <w:jc w:val="both"/>
        <w:ind w:firstLine="1305"/>
        <w:spacing w:after="0" w:line="264" w:lineRule="auto"/>
        <w:tabs>
          <w:tab w:leader="none" w:pos="158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(5) Business Days prior to the Maturity Date.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6" w:name="page127"/>
    <w:bookmarkEnd w:id="126"/>
    <w:p>
      <w:pPr>
        <w:jc w:val="both"/>
        <w:ind w:firstLine="1305"/>
        <w:spacing w:after="0" w:line="270" w:lineRule="auto"/>
        <w:tabs>
          <w:tab w:leader="none" w:pos="1596"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By the issuance of a Letter of Credit (or an amendment to a Letter of Credit increasing the amount thereof) and without any further action on the part of any Issuing Bank or the Lenders, each Issuing Bank hereby grants to each Lender, and each Lender hereby acquires from each Issuing Bank, a participation in such Letter of Credit equal to such Lender’s Applicable Percentage of the aggregate Dollar Amount available to be drawn under such Letter of Credit. In consideration and in furtherance of the foregoing, each Lender hereby absolutely and unconditionally agrees to pay to the Administrative Agent, for the account of the relevant Issuing Bank, such Lender’s Applicable Percentage of each LC Disbursement made by such Issuing Bank and not reimbursed by the Company on the date due as provided in paragraph (e) of this Section, or of any reimbursement payment required to be refunded to the Company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77" w:lineRule="exact"/>
        <w:rPr>
          <w:rFonts w:ascii="Arial" w:cs="Arial" w:eastAsia="Arial" w:hAnsi="Arial"/>
          <w:sz w:val="17"/>
          <w:szCs w:val="17"/>
          <w:color w:val="auto"/>
        </w:rPr>
      </w:pPr>
    </w:p>
    <w:p>
      <w:pPr>
        <w:jc w:val="both"/>
        <w:ind w:firstLine="1305"/>
        <w:spacing w:after="0" w:line="284" w:lineRule="auto"/>
        <w:tabs>
          <w:tab w:leader="none" w:pos="160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any Issuing Bank shall make any LC Disbursement in respect of a Letter of Credit, the Company shall reimburse such LC Disbursement by paying to the Administrative Agent in Dollars the Dollar Amount equal to such LC Disbursement, calculated as of the date such Issuing Bank made such LC Disbursement (or if an Issuing Bank shall so elect in its sole discretion by notice to the Company, in such other Agreed Currency which was paid by such Issuing Bank pursuant to such LC Disbursement in an amount equal to such LC Disbursement) not later than 12:00 noon, Local Time, on the date that such LC Disbursement is made, if the Company shall have received notice of such LC Disbursement prior to 10:00 a.m., Local Time, on such date, or, if such notice has not been received by the Company prior to such time on such date, then not later than 12:00 noon, Local Time, on (i) the Business Day that the Company receives such notice, if such notice is received prior to 10:00 a.m., Local Time, on the day of receipt, or (ii) the Business Day immediately following the day that the Company receives such notice, if such notice is not received prior to such time on the day of receipt;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subject to the conditions to borrowing set forth herein, request in accordance with Section 2.03 or 2.05 that such payment be financed with an ABR Revolving Borrowing or Swingline Loan in an equivalent Dollar Amount of such LC Disbursement and, to the extent so financed, the Company’s obligation to make such payment shall be discharged and replaced by the resulting ABR Revolving Borrowing or Swingline Loan. If the Company fails to make such payment when due, the Administrative Agent shall notify each Lender of the applicable LC Disbursement, the payment then due from the Company in respect thereof and such Lender’s Applicable Percentage thereof. Promptly following receipt of such notice, each Lender shall pay to the Administrative Agent its Applicable Percentage of the payment then due from the Company, in the same manner as provided in Section 2.07 with respect to Loans made by such Lender (and Section 2.07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relevant Issuing Bank the amounts so received by it from the Lenders. Promptly following receipt by the Administrative Agent of any payment from the Company pursuant to this paragraph, the Administrative Agent shall distribute such payment to the relevant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any LC Disbursement (other than the funding of ABR Revolving Loans or a Swingline Loan as contemplated above) shall not constitute a Loan and shall not relieve the Company of its obligation to reimburse such LC Disbursement. If the Company’s reimbursement of, or obligation to reimburse, any amounts in any Foreign Currency would subject the Administrative Agent, any Issuing Bank or any Lender to any stamp duty, ad valorem charge or similar tax that would not be payable if such reimbursement were made or required to be made in Dollars, the Company shall, at its option, either (x) pay the amount of any such tax requested by the Administrative Agent, the relevant Issuing Bank or the relevant Lender or (y) reimburse each LC Disbursement made in such Foreign Currency in Dollars, in an amount equal to the Equivalent Amount, calculated using the applicable Exchange Rates, on the date such LC Disbursement is made, of such LC Disbursement.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jc w:val="both"/>
        <w:ind w:firstLine="1305"/>
        <w:spacing w:after="0" w:line="285" w:lineRule="auto"/>
        <w:tabs>
          <w:tab w:leader="none" w:pos="158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Company’s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Company’s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relevant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any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384" w:lineRule="exact"/>
        <w:rPr>
          <w:rFonts w:ascii="Arial" w:cs="Arial" w:eastAsia="Arial" w:hAnsi="Arial"/>
          <w:sz w:val="16"/>
          <w:szCs w:val="16"/>
          <w:color w:val="auto"/>
        </w:rPr>
      </w:pPr>
    </w:p>
    <w:p>
      <w:pPr>
        <w:jc w:val="both"/>
        <w:ind w:firstLine="1305"/>
        <w:spacing w:after="0" w:line="257" w:lineRule="auto"/>
        <w:tabs>
          <w:tab w:leader="none" w:pos="165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Each Issuing Bank shall, promptly following its receipt thereof, examine all documents purporting to represent a demand for payment under a Letter of Credit. Each Issuing Bank shall promptly notify the Administrative Agent and the Company by telephone (confirmed by telecopy) of such demand for payment and whether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Company of its obligation to reimburse such Issuing Bank and the Lenders with respect to any such LC Disbursement.</w:t>
      </w:r>
    </w:p>
    <w:p>
      <w:pPr>
        <w:spacing w:after="0" w:line="188" w:lineRule="exact"/>
        <w:rPr>
          <w:rFonts w:ascii="Arial" w:cs="Arial" w:eastAsia="Arial" w:hAnsi="Arial"/>
          <w:sz w:val="18"/>
          <w:szCs w:val="18"/>
          <w:color w:val="auto"/>
        </w:rPr>
      </w:pPr>
    </w:p>
    <w:p>
      <w:pPr>
        <w:jc w:val="both"/>
        <w:ind w:firstLine="1305"/>
        <w:spacing w:after="0" w:line="271" w:lineRule="auto"/>
        <w:tabs>
          <w:tab w:leader="none" w:pos="1677"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any Issuing Bank shall make any LC Disbursement, then, unless the Company shall reimburse such LC Disbursement in full on the date such LC Disbursement is made, the unpaid amount thereof shall bear interest, for each day from and including the date such LC Disbursement is made to but excluding the date that the Company reimburses such LC Disbursement, at the rate per annum then applicable to ABR Revolving Loans (or in the case such LC Disbursement is denominated in a Foreign Currency, at the Overnight Foreign Currency Rate for such Agreed Currency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then effective Applicable Rate with respect to Eurocurrency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Company fails to reimburse such LC Disbursement when due pursuant to paragraph (e) of this Section, then Section 2.13(e) shall apply. Interest accrued pursuant to this paragraph shall be for the account of such Issuing Bank, except that interest accrued on and after the date of payment by any Lender pursuant to paragraph (e) of this Section to reimburse such Issuing Bank shall be for the account of such Lender to the extent of such payment.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8" w:name="page129"/>
    <w:bookmarkEnd w:id="128"/>
    <w:p>
      <w:pPr>
        <w:jc w:val="both"/>
        <w:ind w:firstLine="1305"/>
        <w:spacing w:after="0" w:line="270" w:lineRule="auto"/>
        <w:tabs>
          <w:tab w:leader="none" w:pos="1597"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Replacement of an Issuing Bank</w:t>
      </w:r>
      <w:r>
        <w:rPr>
          <w:rFonts w:ascii="Arial" w:cs="Arial" w:eastAsia="Arial" w:hAnsi="Arial"/>
          <w:sz w:val="17"/>
          <w:szCs w:val="17"/>
          <w:color w:val="auto"/>
        </w:rPr>
        <w:t>. Any Issuing Bank may be replaced at any time by written agreement among the Company, the Administrative Agent, the replaced Issuing Bank and the successor Issuing Bank. The Administrative Agent shall notify the Lenders of any such replacement of an Issuing Bank. At the time any such replacement shall become effective, the Company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181" w:lineRule="exact"/>
        <w:rPr>
          <w:rFonts w:ascii="Arial" w:cs="Arial" w:eastAsia="Arial" w:hAnsi="Arial"/>
          <w:sz w:val="17"/>
          <w:szCs w:val="17"/>
          <w:color w:val="auto"/>
        </w:rPr>
      </w:pPr>
    </w:p>
    <w:p>
      <w:pPr>
        <w:jc w:val="both"/>
        <w:ind w:firstLine="1305"/>
        <w:spacing w:after="0" w:line="285" w:lineRule="auto"/>
        <w:tabs>
          <w:tab w:leader="none" w:pos="1570"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If any Event of Default shall occur and be continuing, on the Business Day that the Company receives notice from the Administrative Agent or the Required Lenders (or, if the maturity of the Loans has been accelerated, from two (2) or more Lenders with LC Exposure representing greater than 50% of the total LC Exposure) demanding the deposit of cash collateral pursuant to this paragraph, the Company shall deposit in an account with the Administrative Agent, in the name of the Administrative Agent and for the benefit of the Lenders (the “</w:t>
      </w:r>
      <w:r>
        <w:rPr>
          <w:rFonts w:ascii="Arial" w:cs="Arial" w:eastAsia="Arial" w:hAnsi="Arial"/>
          <w:sz w:val="16"/>
          <w:szCs w:val="16"/>
          <w:u w:val="single" w:color="auto"/>
          <w:color w:val="auto"/>
        </w:rPr>
        <w:t>LC Collateral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Account</w:t>
      </w:r>
      <w:r>
        <w:rPr>
          <w:rFonts w:ascii="Arial" w:cs="Arial" w:eastAsia="Arial" w:hAnsi="Arial"/>
          <w:sz w:val="16"/>
          <w:szCs w:val="16"/>
          <w:color w:val="auto"/>
        </w:rPr>
        <w:t xml:space="preserve">”), an amount in cash equal to the Dollar Amount of the LC Exposure as of such date plus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portions of such amount attributable to undrawn Foreign Currency Letters of Credit or LC Disbursements in a Foreign Currency that the Company is not late in reimbursing shall be deposited in the applicable Foreign Currencies in the actual 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the Company described in clause (h) or (i) of Article VII. For the purposes of this paragraph, the Foreign Currency LC Exposure shall be calculated using the applicable Exchange Rate on the date notice demanding cash collateralization is delivered to the Company. The Company also shall deposit cash collateral pursuant to this paragraph as and to the extent required by Section 2.11(b). Such deposit shall be held by the Administrative Agent as collateral for the payment and performance of the Obligations.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and, to the extent not so applied, shall be held for the satisfaction of the reimbursement obligations of the Company for the LC Exposure at such time or, if the maturity of the Loans has been accelerated (but subject to the consent of Lenders with LC Exposure representing greater than 50% of the total LC Exposure), be applied to satisfy other obligations of the Company under this Agreement. If the Company is required to provide an amount of cash collateral hereunder as a result of the occurrence of an Event of Default, such amount (to the extent not applied as aforesaid) shall be returned to the Company within three Business Days after all Events of Default have been cured or waived.</w:t>
      </w:r>
    </w:p>
    <w:p>
      <w:pPr>
        <w:spacing w:after="0" w:line="384" w:lineRule="exact"/>
        <w:rPr>
          <w:rFonts w:ascii="Arial" w:cs="Arial" w:eastAsia="Arial" w:hAnsi="Arial"/>
          <w:sz w:val="16"/>
          <w:szCs w:val="16"/>
          <w:color w:val="auto"/>
        </w:rPr>
      </w:pPr>
    </w:p>
    <w:p>
      <w:pPr>
        <w:jc w:val="both"/>
        <w:ind w:firstLine="1305"/>
        <w:spacing w:after="0" w:line="284" w:lineRule="auto"/>
        <w:tabs>
          <w:tab w:leader="none" w:pos="1596"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Conversion</w:t>
      </w:r>
      <w:r>
        <w:rPr>
          <w:rFonts w:ascii="Arial" w:cs="Arial" w:eastAsia="Arial" w:hAnsi="Arial"/>
          <w:sz w:val="16"/>
          <w:szCs w:val="16"/>
          <w:color w:val="auto"/>
        </w:rPr>
        <w:t>. In the event that the Loans become immediately due and payable on any date pursuant to Article VII, all amounts (i) that the Company is at the time or thereafter becomes required to reimburse or otherwise pay to the Administrative Agent in respect of LC Disbursements made under any Foreign Currency Letter of Credit (other than amounts in respect of which the Company has deposited cash collateral pursuant to paragraph (j) above, if such cash collateral was deposited in the applicable Foreign Currency to the extent so deposited or applied), (ii) that the Lenders are at the time or thereafter become required to pay to the Administrative Agent and the Administrative Agent is at the time or thereafter becomes required to distribute to an Issuing Bank pursuant to paragraph (e) of this Section in respect of unreimbursed LC Disbursements made under any Foreign Currency Letter of Credit and</w:t>
      </w:r>
    </w:p>
    <w:p>
      <w:pPr>
        <w:spacing w:after="0" w:line="4" w:lineRule="exact"/>
        <w:rPr>
          <w:rFonts w:ascii="Arial" w:cs="Arial" w:eastAsia="Arial" w:hAnsi="Arial"/>
          <w:sz w:val="16"/>
          <w:szCs w:val="16"/>
          <w:color w:val="auto"/>
        </w:rPr>
      </w:pPr>
    </w:p>
    <w:p>
      <w:pPr>
        <w:jc w:val="both"/>
        <w:ind w:firstLine="8"/>
        <w:spacing w:after="0" w:line="253" w:lineRule="auto"/>
        <w:tabs>
          <w:tab w:leader="none" w:pos="3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 each Lender’s participation in any Foreign Currency Letter of Credit under which an LC Disbursement has been made shall, automatically and with no further action required, be converted into the Dollar Amount, calculated using the Administrative Agent’s currency exchange rates on such date (or in the case of any LC Disbursement made after such date, on the date such LC Disbursement is made), of such amounts. On and after such conversion, all amounts accruing and owed to the Administrative Agent, any Issuing Bank or any Lender in respect of the obligations described in this paragraph shall accrue and be payable in Dollars at the rates otherwise applicable hereunder.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9" w:name="page130"/>
    <w:bookmarkEnd w:id="129"/>
    <w:p>
      <w:pPr>
        <w:jc w:val="both"/>
        <w:ind w:firstLine="1305"/>
        <w:spacing w:after="0" w:line="268" w:lineRule="auto"/>
        <w:tabs>
          <w:tab w:leader="none" w:pos="157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Issuing Bank Agreements</w:t>
      </w:r>
      <w:r>
        <w:rPr>
          <w:rFonts w:ascii="Arial" w:cs="Arial" w:eastAsia="Arial" w:hAnsi="Arial"/>
          <w:sz w:val="17"/>
          <w:szCs w:val="17"/>
          <w:color w:val="auto"/>
        </w:rPr>
        <w:t>. Each Issuing Bank agrees that, unless otherwise requested by the Administrative Agent, such Issuing Bank shall report in writing to the Administrative Agent (i) on the first Business Day of each week, the daily activity (set forth by day) in respect of its Letters of Credit during the immediately preceding week, including all issuances, extensions, amendments and renewals, all expirations and cancellations and all disbursements and reimbursements (it being understood and agreed that no such reports shall be required at any time during which such Issuing Bank does not have Letters of Credit outstanding hereunder), (ii) on or prior to each Business Day on which such Issuing Bank expects to issue, amend, renew or extend any Letter of Credit, the date of such issuance, amendment, renewal or extension, and the aggregate face amount of the Letters of Credit to be issued, amended, renewed or extended by it and outstanding after giving effect to such issuance, amendment, renewal or extension occurred (and whether the amount thereof changed), it being understood that such Issuing Bank shall not permit any issuance, renewal, extension or amendment resulting in an increase in the amount of any Letter of Credit to occur without first obtaining written confirmation from the Administrative Agent that is then permitted under this Agreement, (iii) on each Business Day on which such Issuing Bank makes any LC Disbursement, the date of such LC Disbursement and the amount of such LC Disbursement, (iv) on any Business Day on which the Borrower fails to reimburse an LC Disbursement required to be reimbursed to such Issuing Bank on such day, the date of such failure and the amount and currency of such LC Disbursement and (v) on any other Business Day, such other information as the Administrative Agent shall reasonably request.</w:t>
      </w:r>
    </w:p>
    <w:p>
      <w:pPr>
        <w:spacing w:after="0" w:line="18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Funding of Borrowings</w:t>
      </w:r>
      <w:r>
        <w:rPr>
          <w:rFonts w:ascii="Arial" w:cs="Arial" w:eastAsia="Arial" w:hAnsi="Arial"/>
          <w:sz w:val="16"/>
          <w:szCs w:val="16"/>
          <w:color w:val="auto"/>
        </w:rPr>
        <w:t xml:space="preserve">. (a) Each Lender shall make each Loan to be made by it hereunder on the proposed date thereof by wire transfer of immediately available funds (i) in the case of Loans denominated in Dollars, by 12:00 noon, New York City time, to the account of the Administrative Agent most recently designated by it for such purpose by notice to the Lenders and (ii) in the case of each Loan denominated in a Foreign Currency, by 12:00 noon, Local Time, in the city of the Administrative Agent’s Eurocurrency Payment Office for such currency and at such Eurocurrency Payment Office for such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 Section 2.05. The Administrative Agent will make such Loans available to the relevant Borrower by promptly crediting the amounts so received, in like funds, to (x) an account of the Company maintained with the Administrative Agent in New York City and designated by the relevant Borrower in the applicable Borrowing Request, in the case of Loans denominated in Dollars and (y) an account of such Borrower maintained with the Administrative Agent in the relevant jurisdiction and designated by such Borrower in the applicable Borrowing Request, in the case of Loans denominated in a Foreign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ABR Revolving Loans made to finance the reimbursement of an LC Disbursement as provided in Section 2.06(e) shall be remitted by the Administrative Agent to the relevant Issuing Bank.</w:t>
      </w:r>
    </w:p>
    <w:p>
      <w:pPr>
        <w:spacing w:after="0" w:line="169" w:lineRule="exact"/>
        <w:rPr>
          <w:sz w:val="20"/>
          <w:szCs w:val="20"/>
          <w:color w:val="auto"/>
        </w:rPr>
      </w:pPr>
    </w:p>
    <w:p>
      <w:pPr>
        <w:jc w:val="both"/>
        <w:ind w:firstLine="1305"/>
        <w:spacing w:after="0" w:line="288" w:lineRule="auto"/>
        <w:tabs>
          <w:tab w:leader="none" w:pos="1596" w:val="left"/>
        </w:tabs>
        <w:numPr>
          <w:ilvl w:val="0"/>
          <w:numId w:val="63"/>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Federal Funds Effective Rate and a rate determined by the Administrative Agent in accordance with banking industry rules on interbank compensation (including without limitation the Overnight Foreign Currency Rate in the case of Loans denominated in a Foreign Currency) or (ii) in the case of such Borrower, the interest rate applicable to ABR Loans. If such Lender pays such amount to the Administrative Agent, then such amount shall constitute such Lender’s Loan included in such Borrowing.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0" w:name="page131"/>
    <w:bookmarkEnd w:id="130"/>
    <w:p>
      <w:pPr>
        <w:jc w:val="both"/>
        <w:ind w:firstLine="1297"/>
        <w:spacing w:after="0" w:line="293"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Interest Elections</w:t>
      </w:r>
      <w:r>
        <w:rPr>
          <w:rFonts w:ascii="Arial" w:cs="Arial" w:eastAsia="Arial" w:hAnsi="Arial"/>
          <w:sz w:val="16"/>
          <w:szCs w:val="16"/>
          <w:color w:val="auto"/>
        </w:rPr>
        <w:t>. (a) Each Borrowing initially shall be of the Type specified in the applicable Borrowing Request and, in the case of a Eurocurrency Borrowing, shall have an initial Interest Period as specified in such Borrowing Request. Thereafter, the relevant Borrower may elect to convert such Borrowing to a different Type or to continue such Borrowing and, in the case of a Eurocurrency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65" w:lineRule="exact"/>
        <w:rPr>
          <w:sz w:val="20"/>
          <w:szCs w:val="20"/>
          <w:color w:val="auto"/>
        </w:rPr>
      </w:pPr>
    </w:p>
    <w:p>
      <w:pPr>
        <w:jc w:val="both"/>
        <w:ind w:firstLine="1305"/>
        <w:spacing w:after="0" w:line="284" w:lineRule="auto"/>
        <w:tabs>
          <w:tab w:leader="none" w:pos="1612"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make an election pursuant to this Section, a Borrower, or the Company on its behalf, shall notify the Administrative Agent of such election (by telephone or irrevocable written notice in the case of a Borrowing denominated in Dollars or by irrevocable written notice (via an Interest Election Request signed by such Borrower or the Company, as applicable) in the case of a Borrowing denominated in a Foreign Currency) by the time that a Borrowing Request would be required under Section 2.03 if such Borrower were requesting a Revolving Borrowing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signed by the relevant Borrower, or the Company on its behalf. Notwithstanding any contrary provision herein, this Section shall not be construed to permit any Borrower to (i) change the currency of any Borrowing,</w:t>
      </w:r>
    </w:p>
    <w:p>
      <w:pPr>
        <w:spacing w:after="0" w:line="2" w:lineRule="exact"/>
        <w:rPr>
          <w:rFonts w:ascii="Arial" w:cs="Arial" w:eastAsia="Arial" w:hAnsi="Arial"/>
          <w:sz w:val="16"/>
          <w:szCs w:val="16"/>
          <w:color w:val="auto"/>
        </w:rPr>
      </w:pPr>
    </w:p>
    <w:p>
      <w:pPr>
        <w:ind w:firstLine="8"/>
        <w:spacing w:after="0" w:line="261" w:lineRule="auto"/>
        <w:tabs>
          <w:tab w:leader="none" w:pos="276" w:val="left"/>
        </w:tabs>
        <w:numPr>
          <w:ilvl w:val="0"/>
          <w:numId w:val="65"/>
        </w:numPr>
        <w:rPr>
          <w:rFonts w:ascii="Arial" w:cs="Arial" w:eastAsia="Arial" w:hAnsi="Arial"/>
          <w:sz w:val="18"/>
          <w:szCs w:val="18"/>
          <w:color w:val="auto"/>
        </w:rPr>
      </w:pPr>
      <w:r>
        <w:rPr>
          <w:rFonts w:ascii="Arial" w:cs="Arial" w:eastAsia="Arial" w:hAnsi="Arial"/>
          <w:sz w:val="18"/>
          <w:szCs w:val="18"/>
          <w:color w:val="auto"/>
        </w:rPr>
        <w:t>elect an Interest Period for Eurocurrency Loans that does not comply with Section 2.02(d) or (iii) convert any Borrowing to a Borrowing of a Type not available under such Borrowing.</w:t>
      </w:r>
    </w:p>
    <w:p>
      <w:pPr>
        <w:spacing w:after="0" w:line="183" w:lineRule="exact"/>
        <w:rPr>
          <w:rFonts w:ascii="Arial" w:cs="Arial" w:eastAsia="Arial" w:hAnsi="Arial"/>
          <w:sz w:val="18"/>
          <w:szCs w:val="18"/>
          <w:color w:val="auto"/>
        </w:rPr>
      </w:pPr>
    </w:p>
    <w:p>
      <w:pPr>
        <w:ind w:left="1600" w:hanging="295"/>
        <w:spacing w:after="0"/>
        <w:tabs>
          <w:tab w:leader="none" w:pos="16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Each telephonic and written Interest Election Request shall specify the following information in compliance with Section 2.02:</w:t>
      </w:r>
    </w:p>
    <w:p>
      <w:pPr>
        <w:spacing w:after="0" w:line="237" w:lineRule="exact"/>
        <w:rPr>
          <w:sz w:val="20"/>
          <w:szCs w:val="20"/>
          <w:color w:val="auto"/>
        </w:rPr>
      </w:pPr>
    </w:p>
    <w:p>
      <w:pPr>
        <w:jc w:val="both"/>
        <w:ind w:left="660" w:firstLine="645"/>
        <w:spacing w:after="0" w:line="264" w:lineRule="auto"/>
        <w:tabs>
          <w:tab w:leader="none" w:pos="160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1" w:lineRule="exact"/>
        <w:rPr>
          <w:rFonts w:ascii="Arial" w:cs="Arial" w:eastAsia="Arial" w:hAnsi="Arial"/>
          <w:sz w:val="18"/>
          <w:szCs w:val="18"/>
          <w:color w:val="auto"/>
        </w:rPr>
      </w:pPr>
    </w:p>
    <w:p>
      <w:pPr>
        <w:ind w:left="1620" w:hanging="315"/>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Eurocurrency Borrowing; and</w:t>
      </w:r>
    </w:p>
    <w:p>
      <w:pPr>
        <w:spacing w:after="0" w:line="225" w:lineRule="exact"/>
        <w:rPr>
          <w:rFonts w:ascii="Arial" w:cs="Arial" w:eastAsia="Arial" w:hAnsi="Arial"/>
          <w:sz w:val="18"/>
          <w:szCs w:val="18"/>
          <w:color w:val="auto"/>
        </w:rPr>
      </w:pPr>
    </w:p>
    <w:p>
      <w:pPr>
        <w:ind w:left="660" w:firstLine="645"/>
        <w:spacing w:after="0" w:line="277" w:lineRule="auto"/>
        <w:tabs>
          <w:tab w:leader="none" w:pos="1671"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resulting Borrowing is a Eurocurrency Borrowing, the Interest Period and Agreed Currency to be applicable thereto after giving effect to such election, which Interest Period shall be a period contemplated by the definition of the term “Interest Period”.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such Interest Election Request requests a Eurocurrency Borrowing but does not specify an Interest Period, then the applicable Borrower shall be deemed to have selected an Interest Period of one month’s duration.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p>
      <w:pPr>
        <w:ind w:firstLine="1305"/>
        <w:spacing w:after="0" w:line="277" w:lineRule="auto"/>
        <w:tabs>
          <w:tab w:leader="none" w:pos="1599"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70" w:lineRule="exact"/>
        <w:rPr>
          <w:rFonts w:ascii="Arial" w:cs="Arial" w:eastAsia="Arial" w:hAnsi="Arial"/>
          <w:sz w:val="18"/>
          <w:szCs w:val="18"/>
          <w:color w:val="auto"/>
        </w:rPr>
      </w:pPr>
    </w:p>
    <w:p>
      <w:pPr>
        <w:jc w:val="both"/>
        <w:ind w:firstLine="1305"/>
        <w:spacing w:after="0" w:line="287" w:lineRule="auto"/>
        <w:tabs>
          <w:tab w:leader="none" w:pos="1593"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the relevant Borrower fails to deliver a timely Interest Election Request with respect to a Eurocurrency Borrowing prior to the end of the Interest Period applicable thereto, then, unless such Borrowing is repaid as provided herein, at the end of such Interest Period (i) in the case of a Borrowing denominated in Dollars, such Borrowing shall be converted to an ABR Borrowing and (ii) in the case of a Borrowing denominated in a Foreign Currency, such Borrowing shall automatically continue as a Eurocurrency Borrowing in the same Agreed Currency with an Interest Period of one month unless (x) such Eurocurrency Borrowing is or was repaid in accordance with Section 2.11 or (y) such Borrower shall have given the Administrative Agent an Interest Election Request requesting that, at the end of such Interest Period, such Eurocurrency Borrowing continue as a Eurocurrency Borrowing for the same or another Interest Period. Notwithstanding any contrary provision hereof, if an Event of Default has occurred and is continuing and the Administrative Agent, at the request of the Required Lenders, so notifies the Company, then, so long as an Event of Default is continuing (i) no outstanding Borrowing denominated in Dollars may be converted to or continued as a Eurocurrency Borrowing , (ii) unless repaid, each Eurocurrency Borrowing denominated in Dollars shall be converted to an ABR Borrowing at the end of the Interest Period applicable thereto and (iii) unless repaid, each Eurocurrency Borrowing denominated in a Foreign Currency shall automatically be continued as a Eurocurrency Borrowing with an Interest Period of one month.</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 (a) Unless previously terminated, the Commitments shall terminate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11" w:lineRule="exact"/>
        <w:rPr>
          <w:sz w:val="20"/>
          <w:szCs w:val="20"/>
          <w:color w:val="auto"/>
        </w:rPr>
      </w:pPr>
    </w:p>
    <w:p>
      <w:pPr>
        <w:jc w:val="both"/>
        <w:ind w:firstLine="1305"/>
        <w:spacing w:after="0" w:line="259" w:lineRule="auto"/>
        <w:tabs>
          <w:tab w:leader="none" w:pos="16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Company may at any time terminate, or from time to time reduce,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Commitments shall be in an amount that is an integral multiple of $1,000,000 and not less than $1,000,000 and (ii) the Company shall not terminate or reduce the Commitments if, after giving effect to any concurrent prepayment of the Loans in accordance with Section 2.11, the Dollar Amount of the sum of the Revolving Credit Exposures would exceed the Aggregate Commitment.</w:t>
      </w:r>
    </w:p>
    <w:p>
      <w:pPr>
        <w:spacing w:after="0" w:line="186" w:lineRule="exact"/>
        <w:rPr>
          <w:rFonts w:ascii="Arial" w:cs="Arial" w:eastAsia="Arial" w:hAnsi="Arial"/>
          <w:sz w:val="18"/>
          <w:szCs w:val="18"/>
          <w:color w:val="auto"/>
        </w:rPr>
      </w:pPr>
    </w:p>
    <w:p>
      <w:pPr>
        <w:ind w:left="1600" w:hanging="295"/>
        <w:spacing w:after="0"/>
        <w:tabs>
          <w:tab w:leader="none" w:pos="1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firstLine="1305"/>
        <w:spacing w:after="0" w:line="272" w:lineRule="auto"/>
        <w:tabs>
          <w:tab w:leader="none" w:pos="1596"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The Company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of the Commitments delivered by the Company may state that such notice is conditioned upon the effectiveness of other credit facilities, in which case such notice may be revoked by the Company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p>
      <w:pPr>
        <w:jc w:val="both"/>
        <w:ind w:firstLine="1297"/>
        <w:spacing w:after="0" w:line="227"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 (a) Each Borrower hereby unconditionally promises to pay (i) to the Administrative Agent for the account of each Lender the then unpaid principal amount of each Revolving Loan made to such Borrower on the Maturity Date in the currency of such Loan and (ii) in the case of the Company, to the Swingline Lender the then unpaid principal amount of each Swingline Loan on the earlier of the Maturity Date and the first date after such Swingline Loan is made that is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or last day of a calendar month and is at least two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Revolving Borrowing is made, the Company shall repay all Swingline Loans then outstanding.</w:t>
      </w:r>
    </w:p>
    <w:p>
      <w:pPr>
        <w:spacing w:after="0" w:line="207" w:lineRule="exact"/>
        <w:rPr>
          <w:sz w:val="20"/>
          <w:szCs w:val="20"/>
          <w:color w:val="auto"/>
        </w:rPr>
      </w:pPr>
    </w:p>
    <w:p>
      <w:pPr>
        <w:jc w:val="both"/>
        <w:ind w:firstLine="1305"/>
        <w:spacing w:after="0" w:line="264" w:lineRule="auto"/>
        <w:tabs>
          <w:tab w:leader="none" w:pos="1607"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6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6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Obligations.</w:t>
      </w:r>
    </w:p>
    <w:p>
      <w:pPr>
        <w:spacing w:after="0" w:line="181" w:lineRule="exact"/>
        <w:rPr>
          <w:rFonts w:ascii="Arial" w:cs="Arial" w:eastAsia="Arial" w:hAnsi="Arial"/>
          <w:sz w:val="18"/>
          <w:szCs w:val="18"/>
          <w:color w:val="auto"/>
        </w:rPr>
      </w:pPr>
    </w:p>
    <w:p>
      <w:pPr>
        <w:jc w:val="both"/>
        <w:ind w:firstLine="1305"/>
        <w:spacing w:after="0" w:line="276" w:lineRule="auto"/>
        <w:tabs>
          <w:tab w:leader="none" w:pos="1636"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Lender may request that Loans made by it to any Borrower be evidenced by a promissory note. In such event, the relevant Borrower shall prepare, execute and deliver to such Lender a promissory note payable to the order of such Lender (or, if requested by such Lender, to such Lender and its registered assigns) and in the form attached hereto as Exhibit J. Thereafter, the Loans evidenced by such promissory note and interest thereon shall at all times (including after assignment pursuant to Section 9.04) be represented by one or more promissory notes in such form payable to the order of the payee named therein (or, if such promissory note is a registered note, to such payee and its registered assigns).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68" w:lineRule="auto"/>
        <w:tabs>
          <w:tab w:leader="none" w:pos="1586"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Any Borrower shall have the right at any time and from time to time to prepay any Borrowing in whole or in part, subject to prior notice in accordance with the provisions of this Section 2.11(a). The applicable Borrower, or the Company on behalf of the applicable Borrower, shall notify the Administrative Agent (and, in the case of prepayment of a Swingline Loan, the Swingline Lender) by telephone (confirmed by telecopy) of any prepayment hereunder (i) in the case of prepayment of a Eurocurrency Revolving Borrowing, not later than 11:00 a.m., Local Time, three (3) Business Days (in the case of a Eurocurrency Borrowing denominated in Dollars) or four (4) Business Days (in the case of a Eurocurrency Borrowing denominated in a Foreign Currency), in each case, before the date of prepayment, (ii) in the case of prepayment of an ABR Borrowing, not later than 11:00 a.m., New York City time, one Business Day before the date of prepayment or (iii)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Loans included in the prepaid Revolving Borrowing. Prepayments shall be accompanied by (i) accrued interest to the extent required by Section 2.13 and (ii) break funding payments pursuant to Section 2.16.</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3" w:name="page134"/>
    <w:bookmarkEnd w:id="133"/>
    <w:p>
      <w:pPr>
        <w:jc w:val="both"/>
        <w:ind w:firstLine="1305"/>
        <w:spacing w:after="0" w:line="270" w:lineRule="auto"/>
        <w:tabs>
          <w:tab w:leader="none" w:pos="1605"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at any time, (i) other than as a result of fluctuations in currency exchange rates, the sum of the aggregate principal Dollar Amount of all of the Revolving Credit Exposures (calculated, with respect to those Credit Events denominated in Foreign Currencies, as of the most recent Computation Date with respect to each such Credit Event) exceeds the Aggregate Commitment (as reduced pursuant to Section 2.09) or (ii) solely as a result of fluctuations in currency exchange rates, (x) the sum of the aggregate principal Dollar Amount of all of the Revolving Credit Exposures (so calculated) denominated in Foreign Currencies, as of the most recent Computation Date with respect to each such Credit Event, exceeds 105% of the Foreign Currency Sublimit or (y) the sum of the aggregate principal Dollar Amount of all of the outstanding Revolving Loans made to Foreign Subsidiary Borrowers as of the most recent Computation Date with respect to each such Credit Event, exceeds 105% of the Foreign Borrower Sublimit, in each case the Borrowers shall immediately repay Borrowings or cash collateralize LC Exposure in an account with the Administrative Agent pursuant to Section 2.06(j), as applicable, in an aggregate principal amount sufficient to eliminate any such excess.</w:t>
      </w:r>
    </w:p>
    <w:p>
      <w:pPr>
        <w:spacing w:after="0" w:line="18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Fees</w:t>
      </w:r>
      <w:r>
        <w:rPr>
          <w:rFonts w:ascii="Arial" w:cs="Arial" w:eastAsia="Arial" w:hAnsi="Arial"/>
          <w:sz w:val="17"/>
          <w:szCs w:val="17"/>
          <w:color w:val="auto"/>
        </w:rPr>
        <w:t xml:space="preserve">. (a) The Company agrees to pay to the Administrative Agent for the account of each Lender a commitment fee, which shall accrue at the Applicable Rate on the average daily amount of the Available Revolving Commitment of such Lender during the period from and including the Effective Date to but excluding the date on which such Commitment terminates;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Lender continues to have any Revolving Credit Exposure after its Commitment terminates, then such commitment fee shall continue to accrue on the amount of such Lender’s Revolving Credit Exposure from and including the date on which its Commitment terminates to but excluding the date on which such Lender ceases to have any Revolving Credit Exposure. Accrued commitment fees shall be payable in arrears on the last day of March, June, September and December of each year and on the date on which the Commitments terminate, commencing on the first such date to occur after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commitment fees accruing after the date on which the Commitments terminate shall be payable on demand. All commitment fees shall be computed on the basis of a year of 360 days and shall be payable for the actual number of days elapsed (including the first day but excluding the last day).</w:t>
      </w:r>
    </w:p>
    <w:p>
      <w:pPr>
        <w:spacing w:after="0" w:line="182" w:lineRule="exact"/>
        <w:rPr>
          <w:sz w:val="20"/>
          <w:szCs w:val="20"/>
          <w:color w:val="auto"/>
        </w:rPr>
      </w:pPr>
    </w:p>
    <w:p>
      <w:pPr>
        <w:jc w:val="both"/>
        <w:ind w:firstLine="1305"/>
        <w:spacing w:after="0" w:line="257" w:lineRule="auto"/>
        <w:tabs>
          <w:tab w:leader="none" w:pos="1647"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Company agrees to pay (i) to the Administrative Agent for the account of each Lender a participation fee with respect to its participations in Letters of Credit, which shall accrue at the same Applicable Rate used to determine the interest rate applicable to Eurocurrency Loans on the average daily Dollar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relevant Issuing Bank for its own account a fronting fee, which shall accrue at a rate per annum separately agreed upon between the Company and the relevant Issuing Bank on the average daily Dollar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March, June, September and December of each year shall be payable on the third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Business Day following such last day, commencing on the first such date to occur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such Foreign Currency.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4" w:name="page135"/>
    <w:bookmarkEnd w:id="134"/>
    <w:p>
      <w:pPr>
        <w:ind w:right="20" w:firstLine="1305"/>
        <w:spacing w:after="0" w:line="277" w:lineRule="auto"/>
        <w:tabs>
          <w:tab w:leader="none" w:pos="16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for its own account, fees payable in the amounts and at the times separately agreed upon between the Company and the Administrative Agent.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64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Dollars (except as otherwise expressly provided in this Section) and immediately available funds, to the Administrative Agent (or to the relevant Issuing Bank, in the case of fees payable to it) for distribution, in the case of commitment fees and participation fees, to the Lenders. Fees paid shall not be refundable under any circumstances.</w:t>
      </w:r>
    </w:p>
    <w:p>
      <w:pPr>
        <w:spacing w:after="0" w:line="18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Interest</w:t>
      </w:r>
      <w:r>
        <w:rPr>
          <w:rFonts w:ascii="Arial" w:cs="Arial" w:eastAsia="Arial" w:hAnsi="Arial"/>
          <w:sz w:val="18"/>
          <w:szCs w:val="18"/>
          <w:color w:val="auto"/>
        </w:rPr>
        <w:t>. (a) The Loans comprising each ABR Borrowing (including each Swingline Loan) shall bear interest at the Alternate Base Rate plus the Applicable Rate.</w:t>
      </w:r>
    </w:p>
    <w:p>
      <w:pPr>
        <w:spacing w:after="0" w:line="170" w:lineRule="exact"/>
        <w:rPr>
          <w:sz w:val="20"/>
          <w:szCs w:val="20"/>
          <w:color w:val="auto"/>
        </w:rPr>
      </w:pPr>
    </w:p>
    <w:p>
      <w:pPr>
        <w:ind w:firstLine="1305"/>
        <w:spacing w:after="0" w:line="277" w:lineRule="auto"/>
        <w:tabs>
          <w:tab w:leader="none" w:pos="16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Loans comprising each Eurocurrency Borrowing shall bear interest at the Adjusted LIBO Rate for the Interest Period in effect for such Borrowing plus the Applicable Rate.</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6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the foregoing, if any principal of or interest on any Loan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88" w:lineRule="exact"/>
        <w:rPr>
          <w:rFonts w:ascii="Arial" w:cs="Arial" w:eastAsia="Arial" w:hAnsi="Arial"/>
          <w:sz w:val="18"/>
          <w:szCs w:val="18"/>
          <w:color w:val="auto"/>
        </w:rPr>
      </w:pPr>
    </w:p>
    <w:p>
      <w:pPr>
        <w:jc w:val="both"/>
        <w:ind w:firstLine="1305"/>
        <w:spacing w:after="0" w:line="297" w:lineRule="auto"/>
        <w:tabs>
          <w:tab w:leader="none" w:pos="1598"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and upon termination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paragraph (e)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158" w:lineRule="exact"/>
        <w:rPr>
          <w:rFonts w:ascii="Arial" w:cs="Arial" w:eastAsia="Arial" w:hAnsi="Arial"/>
          <w:sz w:val="16"/>
          <w:szCs w:val="16"/>
          <w:color w:val="auto"/>
        </w:rPr>
      </w:pPr>
    </w:p>
    <w:p>
      <w:pPr>
        <w:jc w:val="both"/>
        <w:ind w:firstLine="1305"/>
        <w:spacing w:after="0" w:line="276" w:lineRule="auto"/>
        <w:tabs>
          <w:tab w:leader="none" w:pos="1646" w:val="left"/>
        </w:tabs>
        <w:numPr>
          <w:ilvl w:val="0"/>
          <w:numId w:val="74"/>
        </w:numPr>
        <w:rPr>
          <w:rFonts w:ascii="Arial" w:cs="Arial" w:eastAsia="Arial" w:hAnsi="Arial"/>
          <w:sz w:val="17"/>
          <w:szCs w:val="17"/>
          <w:color w:val="auto"/>
        </w:rPr>
      </w:pPr>
      <w:r>
        <w:rPr>
          <w:rFonts w:ascii="Arial" w:cs="Arial" w:eastAsia="Arial" w:hAnsi="Arial"/>
          <w:sz w:val="17"/>
          <w:szCs w:val="17"/>
          <w:color w:val="auto"/>
        </w:rPr>
        <w:t>All interest hereunder shall be computed on the basis of a year of 360 days, except that interest (i) computed by reference to the Alternate Base Rate at times when the Alternate Base Rate is based on the Prime Rate shall be computed on the basis of a year of 365 days (or 366 days in a leap year) and (ii) for Borrowings denominated in Pounds Sterling shall be computed on the basis of a year of 365 days,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5" w:name="page136"/>
    <w:bookmarkEnd w:id="135"/>
    <w:p>
      <w:pPr>
        <w:ind w:left="130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70" w:lineRule="auto"/>
        <w:tabs>
          <w:tab w:leader="none" w:pos="1628"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If at the time that the Administrative Agent shall seek to determine the LIBOR Screen Rate on the Quotation Day for any Interest Period for a Eurocurrency Borrowing, the LIBOR Screen Rate shall not be available for such Interest Period and/or for the applicable currency with respect to such Eurocurrency Borrowing for any reason, and the Administrative Agent shall reasonably determine that it is not possible to determine the Interpolated Rate (which conclusion shall be conclusive and binding absent manifest error), then the Reference Bank Rate shall be the LIBO Rate for such Interest Period for such Eurocurrency Borrowing; provided that if the Reference Bank Rate shall be less than zero, such rate shall be deemed to be zero for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further, however, that if less than two (2) Reference Banks shall supply a rate to the Administrative Agent for purposes of determining the LIBO Rate for such Eurocurrency Borrowing, (i) if such Borrowing shall be requested in Dollars, then such Borrowing shall be made as an ABR Borrowing at the Alternate Base Rate and (ii) if such Borrowing shall be requested in any Foreign Currency, the LIBO Rate shall be equal to the cost to each Lender to fund its pro rata share of such Eurocurrency Borrowing (from whatever source and using whatever methodologies as such Lender may select in its reasonable discretion, such rate, the “</w:t>
      </w:r>
      <w:r>
        <w:rPr>
          <w:rFonts w:ascii="Arial" w:cs="Arial" w:eastAsia="Arial" w:hAnsi="Arial"/>
          <w:sz w:val="17"/>
          <w:szCs w:val="17"/>
          <w:u w:val="single" w:color="auto"/>
          <w:color w:val="auto"/>
        </w:rPr>
        <w:t>COF Rate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600" w:hanging="295"/>
        <w:spacing w:after="0"/>
        <w:tabs>
          <w:tab w:leader="none" w:pos="1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prior to the commencement of any Interest Period for a Eurocurrency Borrowing:</w:t>
      </w:r>
    </w:p>
    <w:p>
      <w:pPr>
        <w:spacing w:after="0" w:line="225" w:lineRule="exact"/>
        <w:rPr>
          <w:sz w:val="20"/>
          <w:szCs w:val="20"/>
          <w:color w:val="auto"/>
        </w:rPr>
      </w:pPr>
    </w:p>
    <w:p>
      <w:pPr>
        <w:jc w:val="both"/>
        <w:ind w:left="660" w:firstLine="645"/>
        <w:spacing w:after="0" w:line="264" w:lineRule="auto"/>
        <w:tabs>
          <w:tab w:leader="none" w:pos="160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and binding absent manifest error) that adequate and reasonable means do not exist for ascertaining the Adjusted LIBO Rate or the LIBO Rate, as applicable, for a Loan in the applicable currency or for the applicable Interest Period; or</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62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or the LIBO Rate, as applicable, for a Loan in the applicable currency or for the applicable Interest Period will not adequately and fairly reflect the cost to such Lenders (or Lender) of making or maintaining their Loans (or its Loan) included in such Borrowing for such Interest Period;</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then the Administrative Agent shall give notice thereof to the applicable Borrower and the Lenders by telephone or telecopy as promptly as practicable thereafter and, until the Administrative Agent notifies the applicable Borrower and the Lenders that the circumstances giving rise to such notice no longer exist, (i) any Interest Election Request that requests the conversion of any Borrowing to, or continuation of any Borrowing as, a Eurocurrency Borrowing shall be ineffective and, unless repaid (A) in the case of a Eurocurrency Borrowing denominated in Dollars, such Borrowing shall be made as an ABR Borrowing and (B) in the case of a Eurocurrency Borrowing denominated in a Foreign Currency, such Eurocurrency Borrowing shall be repaid on the last day of the then current Interest Period applicable thereto and (ii) if any Borrowing Request requests a Eurocurrency Borrowing in Dollars, such Borrowing shall be made as an ABR Borrowing (and if such Borrowing Request requests a Eurocurrency Revolving Borrowing denominated in a Foreign Currency, such Borrowing Request shall be ineffective);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circumstances giving rise to such notice affect only one Type of Borrowings, then the other Type of Borrowings shall be permitted.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shall: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6" w:name="page137"/>
    <w:bookmarkEnd w:id="136"/>
    <w:p>
      <w:pPr>
        <w:jc w:val="both"/>
        <w:ind w:left="660" w:firstLine="645"/>
        <w:spacing w:after="0" w:line="264" w:lineRule="auto"/>
        <w:tabs>
          <w:tab w:leader="none" w:pos="1633" w:val="left"/>
        </w:tabs>
        <w:numPr>
          <w:ilvl w:val="0"/>
          <w:numId w:val="77"/>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any Issuing Bank;</w:t>
      </w:r>
    </w:p>
    <w:p>
      <w:pPr>
        <w:spacing w:after="0" w:line="181" w:lineRule="exact"/>
        <w:rPr>
          <w:rFonts w:ascii="Arial" w:cs="Arial" w:eastAsia="Arial" w:hAnsi="Arial"/>
          <w:sz w:val="18"/>
          <w:szCs w:val="18"/>
          <w:color w:val="auto"/>
        </w:rPr>
      </w:pPr>
    </w:p>
    <w:p>
      <w:pPr>
        <w:ind w:left="660" w:firstLine="645"/>
        <w:spacing w:after="0" w:line="277" w:lineRule="auto"/>
        <w:tabs>
          <w:tab w:leader="none" w:pos="1686" w:val="left"/>
        </w:tabs>
        <w:numPr>
          <w:ilvl w:val="0"/>
          <w:numId w:val="77"/>
        </w:numPr>
        <w:rPr>
          <w:rFonts w:ascii="Arial" w:cs="Arial" w:eastAsia="Arial" w:hAnsi="Arial"/>
          <w:sz w:val="18"/>
          <w:szCs w:val="18"/>
          <w:color w:val="auto"/>
        </w:rPr>
      </w:pPr>
      <w:r>
        <w:rPr>
          <w:rFonts w:ascii="Arial" w:cs="Arial" w:eastAsia="Arial" w:hAnsi="Arial"/>
          <w:sz w:val="18"/>
          <w:szCs w:val="18"/>
          <w:color w:val="auto"/>
        </w:rPr>
        <w:t>impose on any Lender or any Issuing Bank or the London interbank market any other condition, cost or expense affecting this Agreement or Loans made by such Lender or any Letter of Credit or participation therein; or</w:t>
      </w:r>
    </w:p>
    <w:p>
      <w:pPr>
        <w:spacing w:after="0" w:line="197" w:lineRule="exact"/>
        <w:rPr>
          <w:rFonts w:ascii="Arial" w:cs="Arial" w:eastAsia="Arial" w:hAnsi="Arial"/>
          <w:sz w:val="18"/>
          <w:szCs w:val="18"/>
          <w:color w:val="auto"/>
        </w:rPr>
      </w:pPr>
    </w:p>
    <w:p>
      <w:pPr>
        <w:jc w:val="both"/>
        <w:ind w:left="660" w:right="20" w:firstLine="645"/>
        <w:spacing w:after="0" w:line="264" w:lineRule="auto"/>
        <w:tabs>
          <w:tab w:leader="none" w:pos="16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subject the Administrative Agent, any Lender or any Issuing Bank to any Taxes (other than (A) Indemnified Taxes, (B) Excluded Taxes and (C) Other Taxes) on its loans, loan principal, letters of credit, commitments, or other obligations, or its deposits, reserves, other liabilities or capital attributable thereto;</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the result of any of the foregoing shall be to increase the cost to the Administrative Agent or such Lender of making or maintaining any Loan or of maintaining its obligation to make any such Loan or to increase the cost to the Administrative Agent, such Lender or such Issuing Bank of participating in, issuing or maintaining any Letter of Credit or to reduce the amount of any sum received or receivable by the Administrative Agent, such Lender or such Issuing Bank hereunder, whether of principal, interest or otherwise, then the applicable Borrower will pay to the Administrative Agent, such Lender or such Issuing Bank, as the case may be, such additional amount or amounts as will compensate the Administrative Agent, such Lender or such Issuing Bank, as the case may be, for such additional costs incurred or reduction suffered.</w:t>
      </w:r>
    </w:p>
    <w:p>
      <w:pPr>
        <w:spacing w:after="0" w:line="178" w:lineRule="exact"/>
        <w:rPr>
          <w:sz w:val="20"/>
          <w:szCs w:val="20"/>
          <w:color w:val="auto"/>
        </w:rPr>
      </w:pPr>
    </w:p>
    <w:p>
      <w:pPr>
        <w:jc w:val="both"/>
        <w:ind w:firstLine="1305"/>
        <w:spacing w:after="0" w:line="271" w:lineRule="auto"/>
        <w:tabs>
          <w:tab w:leader="none" w:pos="1599"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applicable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78" w:lineRule="exact"/>
        <w:rPr>
          <w:rFonts w:ascii="Arial" w:cs="Arial" w:eastAsia="Arial" w:hAnsi="Arial"/>
          <w:sz w:val="17"/>
          <w:szCs w:val="17"/>
          <w:color w:val="auto"/>
        </w:rPr>
      </w:pPr>
    </w:p>
    <w:p>
      <w:pPr>
        <w:jc w:val="both"/>
        <w:ind w:firstLine="1305"/>
        <w:spacing w:after="0" w:line="259" w:lineRule="auto"/>
        <w:tabs>
          <w:tab w:leader="none" w:pos="1599"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certificate of a Lender or an Issuing Bank setting forth the amount or amounts necessary to compensate such Lender or such Issuing Bank or its holding company, as the case may be, as specified in paragraph (a) or (b) of this Section shall be delivered to the Company and shall be conclusive absent manifest error. The Company shall pay, or cause the other Borrowers to pay, such Lender or such Issuing Bank, as the case may be, the amount shown as due on any such certificate within 10 days after receipt thereof.</w:t>
      </w:r>
    </w:p>
    <w:p>
      <w:pPr>
        <w:spacing w:after="0" w:line="186" w:lineRule="exact"/>
        <w:rPr>
          <w:rFonts w:ascii="Arial" w:cs="Arial" w:eastAsia="Arial" w:hAnsi="Arial"/>
          <w:sz w:val="18"/>
          <w:szCs w:val="18"/>
          <w:color w:val="auto"/>
        </w:rPr>
      </w:pPr>
    </w:p>
    <w:p>
      <w:pPr>
        <w:jc w:val="both"/>
        <w:ind w:firstLine="1305"/>
        <w:spacing w:after="0" w:line="293" w:lineRule="auto"/>
        <w:tabs>
          <w:tab w:leader="none" w:pos="1613"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compensate a Lender or an Issuing Bank pursuant to this Section for any increased costs or reductions incurred more than 270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7" w:name="page138"/>
    <w:bookmarkEnd w:id="137"/>
    <w:p>
      <w:pPr>
        <w:jc w:val="both"/>
        <w:ind w:firstLine="1297"/>
        <w:spacing w:after="0" w:line="268" w:lineRule="auto"/>
        <w:rPr>
          <w:sz w:val="20"/>
          <w:szCs w:val="20"/>
          <w:color w:val="auto"/>
        </w:rPr>
      </w:pPr>
      <w:r>
        <w:rPr>
          <w:rFonts w:ascii="Arial" w:cs="Arial" w:eastAsia="Arial" w:hAnsi="Arial"/>
          <w:sz w:val="17"/>
          <w:szCs w:val="17"/>
          <w:color w:val="auto"/>
        </w:rPr>
        <w:t xml:space="preserve">SECTION 2.16. </w:t>
      </w:r>
      <w:r>
        <w:rPr>
          <w:rFonts w:ascii="Arial" w:cs="Arial" w:eastAsia="Arial" w:hAnsi="Arial"/>
          <w:sz w:val="17"/>
          <w:szCs w:val="17"/>
          <w:u w:val="single" w:color="auto"/>
          <w:color w:val="auto"/>
        </w:rPr>
        <w:t>Break Funding Payments</w:t>
      </w:r>
      <w:r>
        <w:rPr>
          <w:rFonts w:ascii="Arial" w:cs="Arial" w:eastAsia="Arial" w:hAnsi="Arial"/>
          <w:sz w:val="17"/>
          <w:szCs w:val="17"/>
          <w:color w:val="auto"/>
        </w:rPr>
        <w:t>. In the event of (a) the payment of any principal of any Eurocurrency Loan other than on the last day of an Interest Period applicable thereto (including as a result of an Event of Default or as a result of any prepayment pursuant to Section 2.11), (b) the conversion of any Eurocurrency Loan other than on the last day of the Interest Period applicable thereto, (c) the failure to borrow, convert, continue or prepay any Eurocurrency Loan on the date specified in any notice delivered pursuant hereto (regardless of whether such notice may be revoked under Section 2.11(a) and is revoked in accordance therewith) or (d) the assignment of any Eurocurrency Loan other than on the last day of the Interest Period applicable thereto as a result of a request by the Company pursuant to Section 2.19, then, in any such event, the Borrowers shall compensate each Lender for the loss, cost and expense attributable to such event.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eurocurrency market.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thirty (30) days after receipt thereof.</w:t>
      </w:r>
    </w:p>
    <w:p>
      <w:pPr>
        <w:spacing w:after="0" w:line="18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(a) Any and all payments by or on account of any obligation of each Borrower hereunder shall be made free and clear of and without deduction for any Indemnified Taxes or Other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Borrower shall be required to deduct any Indemnified Taxes or Other Taxes from such payments, then (i) the sum payable shall be increased as necessary so that after making all required deductions (including deductions applicable to additional sums payable under this Section) the Administrative Agent, relevant Lender or relevant Issuing Bank (as the case may be) receives an amount equal to the sum it would have received had no such deductions been made, (ii) such Borrower shall make such deductions and (iii) such Borrower shall pay the full amount deducted to the relevant Governmental Authority in accordance with applicable law.</w:t>
      </w:r>
    </w:p>
    <w:p>
      <w:pPr>
        <w:spacing w:after="0" w:line="178" w:lineRule="exact"/>
        <w:rPr>
          <w:sz w:val="20"/>
          <w:szCs w:val="20"/>
          <w:color w:val="auto"/>
        </w:rPr>
      </w:pPr>
    </w:p>
    <w:p>
      <w:pPr>
        <w:ind w:firstLine="1305"/>
        <w:spacing w:after="0" w:line="277" w:lineRule="auto"/>
        <w:tabs>
          <w:tab w:leader="none" w:pos="1641"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addition, each Borrower shall pay any Other Taxes related to such Borrower and imposed on or incurred by the Administrative Agent, a Lender or an Issuing Bank to the relevant Governmental Authority in accordance with applicable law.</w:t>
      </w:r>
    </w:p>
    <w:p>
      <w:pPr>
        <w:spacing w:after="0" w:line="170" w:lineRule="exact"/>
        <w:rPr>
          <w:rFonts w:ascii="Arial" w:cs="Arial" w:eastAsia="Arial" w:hAnsi="Arial"/>
          <w:sz w:val="18"/>
          <w:szCs w:val="18"/>
          <w:color w:val="auto"/>
        </w:rPr>
      </w:pPr>
    </w:p>
    <w:p>
      <w:pPr>
        <w:jc w:val="both"/>
        <w:ind w:firstLine="1305"/>
        <w:spacing w:after="0" w:line="272" w:lineRule="auto"/>
        <w:tabs>
          <w:tab w:leader="none" w:pos="1589"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relevant Borrower shall indemnify the Administrative Agent, each Lender and each Issuing Bank, within ten (10) days after written demand therefor, for the full amount of any Indemnified Taxes or Other Taxes paid by the Administrative Agent, such Lender or such Issuing Bank, as the case may be, on or with respect to any payment by or on account of any obligation of such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Company by a Lender or an Issuing Bank, or by the Administrative Agent on its own behalf or on behalf of a Lender or an Issuing Bank, shall be conclusive absent manifest error.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8" w:name="page139"/>
    <w:bookmarkEnd w:id="138"/>
    <w:p>
      <w:pPr>
        <w:jc w:val="both"/>
        <w:ind w:firstLine="1305"/>
        <w:spacing w:after="0" w:line="286" w:lineRule="auto"/>
        <w:tabs>
          <w:tab w:leader="none" w:pos="1628" w:val="left"/>
        </w:tabs>
        <w:numPr>
          <w:ilvl w:val="0"/>
          <w:numId w:val="80"/>
        </w:numPr>
        <w:rPr>
          <w:rFonts w:ascii="Arial" w:cs="Arial" w:eastAsia="Arial" w:hAnsi="Arial"/>
          <w:sz w:val="17"/>
          <w:szCs w:val="17"/>
          <w:color w:val="auto"/>
        </w:rPr>
      </w:pPr>
      <w:r>
        <w:rPr>
          <w:rFonts w:ascii="Arial" w:cs="Arial" w:eastAsia="Arial" w:hAnsi="Arial"/>
          <w:sz w:val="17"/>
          <w:szCs w:val="17"/>
          <w:color w:val="auto"/>
        </w:rPr>
        <w:t>As soon as practicable after any payment of Indemnified Taxes or Other Taxes by any Borrower to a Governmental Authority, such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5" w:lineRule="exact"/>
        <w:rPr>
          <w:rFonts w:ascii="Arial" w:cs="Arial" w:eastAsia="Arial" w:hAnsi="Arial"/>
          <w:sz w:val="17"/>
          <w:szCs w:val="17"/>
          <w:color w:val="auto"/>
        </w:rPr>
      </w:pPr>
    </w:p>
    <w:p>
      <w:pPr>
        <w:jc w:val="both"/>
        <w:ind w:firstLine="1305"/>
        <w:spacing w:after="0" w:line="302" w:lineRule="auto"/>
        <w:tabs>
          <w:tab w:leader="none" w:pos="1606"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Foreign Lender that is entitled to an exemption from or reduction of withholding tax under the law of the jurisdiction in which a Borrower is located, or any treaty to which such jurisdiction is a party, with respect to payments under this Agreement shall deliver to such Borrower (with a copy to the Administrative Agent), at the time or times prescribed by applicable law, such properly completed and executed documentation prescribed by applicable law or reasonably requested by such Borrower as will permit such payments to be made without withholding or at a reduced rate.</w:t>
      </w:r>
    </w:p>
    <w:p>
      <w:pPr>
        <w:spacing w:after="0" w:line="154" w:lineRule="exact"/>
        <w:rPr>
          <w:rFonts w:ascii="Arial" w:cs="Arial" w:eastAsia="Arial" w:hAnsi="Arial"/>
          <w:sz w:val="16"/>
          <w:szCs w:val="16"/>
          <w:color w:val="auto"/>
        </w:rPr>
      </w:pPr>
    </w:p>
    <w:p>
      <w:pPr>
        <w:jc w:val="both"/>
        <w:ind w:firstLine="1305"/>
        <w:spacing w:after="0" w:line="289" w:lineRule="auto"/>
        <w:tabs>
          <w:tab w:leader="none" w:pos="1571"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Administrative Agent or a Lender determines, in its sole discretion, that it has received a refund of any Taxes or Other Taxes as to which it has been indemnified by the Borrowers or with respect to which a Borrower has paid additional amounts pursuant to this Section 2.17, it shall pay over such refund to such Borrower (but only to the extent of indemnity payments made, or additional amounts paid, by such Borrower under this Section 2.17 with respect to the Taxes or Other Taxes giving rise to such refund), net of all out-of-pocket expenses of the Administrative Agent or such Lender and without interest (other than any interest paid by the relevant Governmental Authority with respect to such refund); provided, that such Borrower, upon the request of the Administrative Agent or such Lender, agrees to repay the amount paid over to such Borrower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any other Person.</w:t>
      </w:r>
    </w:p>
    <w:p>
      <w:pPr>
        <w:spacing w:after="0" w:line="166" w:lineRule="exact"/>
        <w:rPr>
          <w:rFonts w:ascii="Arial" w:cs="Arial" w:eastAsia="Arial" w:hAnsi="Arial"/>
          <w:sz w:val="16"/>
          <w:szCs w:val="16"/>
          <w:color w:val="auto"/>
        </w:rPr>
      </w:pPr>
    </w:p>
    <w:p>
      <w:pPr>
        <w:jc w:val="both"/>
        <w:ind w:firstLine="1305"/>
        <w:spacing w:after="0" w:line="289" w:lineRule="auto"/>
        <w:tabs>
          <w:tab w:leader="none" w:pos="1625" w:val="left"/>
        </w:tabs>
        <w:numPr>
          <w:ilvl w:val="0"/>
          <w:numId w:val="80"/>
        </w:numPr>
        <w:rPr>
          <w:rFonts w:ascii="Arial" w:cs="Arial" w:eastAsia="Arial" w:hAnsi="Arial"/>
          <w:sz w:val="16"/>
          <w:szCs w:val="16"/>
          <w:color w:val="auto"/>
        </w:rPr>
      </w:pPr>
      <w:r>
        <w:rPr>
          <w:rFonts w:ascii="Arial" w:cs="Arial" w:eastAsia="Arial" w:hAnsi="Arial"/>
          <w:sz w:val="16"/>
          <w:szCs w:val="16"/>
          <w:color w:val="auto"/>
        </w:rPr>
        <w:t>Each Lender shall severally indemnify the Administrative Agent, within ten (10) days after demand therefor, for (i) any Indemnified Taxes or Other Taxes attributable to such Lender (but only to the extent that the Borrowers have not already indemnified the Administrative Agent for such Indemnified Taxes or Other Taxes and without limiting the obligation of the Borrowers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(g).</w:t>
      </w:r>
    </w:p>
    <w:p>
      <w:pPr>
        <w:spacing w:after="0" w:line="166" w:lineRule="exact"/>
        <w:rPr>
          <w:rFonts w:ascii="Arial" w:cs="Arial" w:eastAsia="Arial" w:hAnsi="Arial"/>
          <w:sz w:val="16"/>
          <w:szCs w:val="16"/>
          <w:color w:val="auto"/>
        </w:rPr>
      </w:pPr>
    </w:p>
    <w:p>
      <w:pPr>
        <w:jc w:val="both"/>
        <w:ind w:firstLine="1305"/>
        <w:spacing w:after="0" w:line="271" w:lineRule="auto"/>
        <w:tabs>
          <w:tab w:leader="none" w:pos="1627"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paragraph (h), “FATCA” shall include any amendments made to FATCA after the date of this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9" w:name="page140"/>
    <w:bookmarkEnd w:id="139"/>
    <w:p>
      <w:pPr>
        <w:ind w:left="130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67" w:lineRule="auto"/>
        <w:tabs>
          <w:tab w:leader="none" w:pos="1602"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Borrower shall make each payment required to be made by it hereunder (whether of principal, interest, fees or reimbursement of LC Disbursements, or of amounts payable under Section 2.15, 2.16 or 2.17, or otherwise) prior to (i) in the case of payments denominated in Dollars, 12:00 noon, New York City time and (ii) in the case of payments denominated in a Foreign Currency, 12:00 noon, Local Time, in the city of the Administrative Agent’s Eurocurrency Payment Office for such currency, in each case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euro, in euro) and (ii) to the Administrative Agent at its offices at 10 South Dearborn Street, Chicago, Illinois 60603 or, in the case of a Credit Event denominated in a Foreign Currency, the Administrative Agent’s Eurocurrency Payment Office for such currency, except payments to be made directly to an Issuing Bank or Swingline Lender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no longer exists or any Borrower is not able to make payment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 due, it being the intention of the parties hereto that the Borrowers take all risks of the imposition of any such currency control or exchange regulations.</w:t>
      </w:r>
    </w:p>
    <w:p>
      <w:pPr>
        <w:spacing w:after="0" w:line="189" w:lineRule="exact"/>
        <w:rPr>
          <w:rFonts w:ascii="Arial" w:cs="Arial" w:eastAsia="Arial" w:hAnsi="Arial"/>
          <w:sz w:val="17"/>
          <w:szCs w:val="17"/>
          <w:color w:val="auto"/>
        </w:rPr>
      </w:pPr>
    </w:p>
    <w:p>
      <w:pPr>
        <w:jc w:val="both"/>
        <w:ind w:firstLine="1305"/>
        <w:spacing w:after="0" w:line="257" w:lineRule="auto"/>
        <w:tabs>
          <w:tab w:leader="none" w:pos="1654"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jc w:val="both"/>
        <w:ind w:firstLine="1305"/>
        <w:spacing w:after="0" w:line="286" w:lineRule="auto"/>
        <w:tabs>
          <w:tab w:leader="none" w:pos="1617"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1" w:lineRule="exact"/>
        <w:rPr>
          <w:rFonts w:ascii="Arial" w:cs="Arial" w:eastAsia="Arial" w:hAnsi="Arial"/>
          <w:sz w:val="16"/>
          <w:szCs w:val="16"/>
          <w:color w:val="auto"/>
        </w:rPr>
      </w:pPr>
    </w:p>
    <w:p>
      <w:pPr>
        <w:jc w:val="both"/>
        <w:ind w:firstLine="1305"/>
        <w:spacing w:after="0" w:line="270" w:lineRule="auto"/>
        <w:tabs>
          <w:tab w:leader="none" w:pos="1612" w:val="left"/>
        </w:tabs>
        <w:numPr>
          <w:ilvl w:val="1"/>
          <w:numId w:val="82"/>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the relevant Borrower prior to the date on which any payment is due to the Administrative Agent for the account of the Lenders or the Issuing Banks hereunder that such Borrower will not make such payment, the Administrative Agent may assume that such Borrower has made such payment on such date in accordance herewith and may, in reliance upon such assumption, distribute to the Lenders or the Issuing Banks, as the case may be, the amount due. In such event, if such Borrower has not in fact made such payment, then each of the Lenders or each of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(including without limitation the Overnight Foreign Currency Rate in the case of Loans denominated in a Foreign Currency).</w:t>
      </w:r>
    </w:p>
    <w:p>
      <w:pPr>
        <w:spacing w:after="0" w:line="181" w:lineRule="exact"/>
        <w:rPr>
          <w:rFonts w:ascii="Arial" w:cs="Arial" w:eastAsia="Arial" w:hAnsi="Arial"/>
          <w:sz w:val="17"/>
          <w:szCs w:val="17"/>
          <w:color w:val="auto"/>
        </w:rPr>
      </w:pPr>
    </w:p>
    <w:p>
      <w:pPr>
        <w:jc w:val="both"/>
        <w:ind w:firstLine="1305"/>
        <w:spacing w:after="0" w:line="285" w:lineRule="auto"/>
        <w:tabs>
          <w:tab w:leader="none" w:pos="1606" w:val="left"/>
        </w:tabs>
        <w:numPr>
          <w:ilvl w:val="1"/>
          <w:numId w:val="82"/>
        </w:numPr>
        <w:rPr>
          <w:rFonts w:ascii="Arial" w:cs="Arial" w:eastAsia="Arial" w:hAnsi="Arial"/>
          <w:sz w:val="16"/>
          <w:szCs w:val="16"/>
          <w:color w:val="auto"/>
        </w:rPr>
      </w:pPr>
      <w:r>
        <w:rPr>
          <w:rFonts w:ascii="Arial" w:cs="Arial" w:eastAsia="Arial" w:hAnsi="Arial"/>
          <w:sz w:val="16"/>
          <w:szCs w:val="16"/>
          <w:color w:val="auto"/>
        </w:rPr>
        <w:t>If any Lender shall fail to make any payment required to be made by it pursuant to Section 2.05(c), 2.06(d) or (e), 2.07(b), 2.18(d) or 9.03(c), then the Administrative Agent may, in its discretion (notwithstanding any contrary provision hereof), (i) apply any amounts thereafter received by the Administrative Agent for the account of such Lender and for the benefit of the Administrative Agent, the Swingline Lender or the Issuing Banks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above, in any order as determined by the Administrative Agent in its discretion.</w:t>
      </w:r>
    </w:p>
    <w:p>
      <w:pPr>
        <w:spacing w:after="0" w:line="21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2.19. </w:t>
      </w:r>
      <w:r>
        <w:rPr>
          <w:rFonts w:ascii="Arial" w:cs="Arial" w:eastAsia="Arial" w:hAnsi="Arial"/>
          <w:sz w:val="17"/>
          <w:szCs w:val="17"/>
          <w:u w:val="single" w:color="auto"/>
          <w:color w:val="auto"/>
        </w:rPr>
        <w:t>Mitigation Obligations; Replacement of Lenders</w:t>
      </w:r>
      <w:r>
        <w:rPr>
          <w:rFonts w:ascii="Arial" w:cs="Arial" w:eastAsia="Arial" w:hAnsi="Arial"/>
          <w:sz w:val="17"/>
          <w:szCs w:val="17"/>
          <w:color w:val="auto"/>
        </w:rPr>
        <w:t>. (a) If any Lender requests compensation under Section 2.15, or if any Borrower is required to pay any additional amount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1" w:name="page142"/>
    <w:bookmarkEnd w:id="141"/>
    <w:p>
      <w:pPr>
        <w:jc w:val="both"/>
        <w:ind w:firstLine="1305"/>
        <w:spacing w:after="0" w:line="287" w:lineRule="auto"/>
        <w:tabs>
          <w:tab w:leader="none" w:pos="1607"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If any Lender requests compensation under Section 2.15, or if any Borrower is required to pay any additional amount to any Lender or any Governmental Authority for the account of any Lender pursuant to Section 2.17, or if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shall have received the prior written consent of the Administrative Agent,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w:t>
      </w:r>
    </w:p>
    <w:p>
      <w:pPr>
        <w:spacing w:after="0" w:line="169"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 xml:space="preserve">SECTION 2.20. </w:t>
      </w:r>
      <w:r>
        <w:rPr>
          <w:rFonts w:ascii="Arial" w:cs="Arial" w:eastAsia="Arial" w:hAnsi="Arial"/>
          <w:sz w:val="16"/>
          <w:szCs w:val="16"/>
          <w:u w:val="single" w:color="auto"/>
          <w:color w:val="auto"/>
        </w:rPr>
        <w:t>Expansion Option</w:t>
      </w:r>
      <w:r>
        <w:rPr>
          <w:rFonts w:ascii="Arial" w:cs="Arial" w:eastAsia="Arial" w:hAnsi="Arial"/>
          <w:sz w:val="16"/>
          <w:szCs w:val="16"/>
          <w:color w:val="auto"/>
        </w:rPr>
        <w:t>. The Company may from time to time elect to increase the Commitments or enter into one or more tranches of term loans (each an “</w:t>
      </w:r>
      <w:r>
        <w:rPr>
          <w:rFonts w:ascii="Arial" w:cs="Arial" w:eastAsia="Arial" w:hAnsi="Arial"/>
          <w:sz w:val="16"/>
          <w:szCs w:val="16"/>
          <w:u w:val="single" w:color="auto"/>
          <w:color w:val="auto"/>
        </w:rPr>
        <w:t>Incremental Term Loan</w:t>
      </w:r>
      <w:r>
        <w:rPr>
          <w:rFonts w:ascii="Arial" w:cs="Arial" w:eastAsia="Arial" w:hAnsi="Arial"/>
          <w:sz w:val="16"/>
          <w:szCs w:val="16"/>
          <w:color w:val="auto"/>
        </w:rPr>
        <w:t>”), in each case, in minimum increments of $5,000,000 so long as, after giving effect thereto, the aggregate amount of such increases and all such Incremental Term Loans does not exceed $25,000,000. The Company may arrange for any such increase or tranche to be provided by one or more Lenders (each Lender so agreeing to an increase in its Commitment or to participate in such Incremental Term Loans,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or by one or more new banks, financial institutions or other entities (each such new bank, financial institution or other entity, an “</w:t>
      </w:r>
      <w:r>
        <w:rPr>
          <w:rFonts w:ascii="Arial" w:cs="Arial" w:eastAsia="Arial" w:hAnsi="Arial"/>
          <w:sz w:val="16"/>
          <w:szCs w:val="16"/>
          <w:u w:val="single" w:color="auto"/>
          <w:color w:val="auto"/>
        </w:rPr>
        <w:t>Augmenting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Ineligible Institution may be an Augmenting Lender), to increase their existing Commitments, or to participate in such Incremental Term Loans, or extend Commitments,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Augmenting Lender, shall be subject to the approval of the Company and the Administrative Agent and (ii) (x) in the case of an Increasing Lender, the Company and such Increasing Lender execute an agreement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and (y) in the case of an Augmenting Lender, the Company and such Augmenting Lender execute an agreement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No consent of any Lender (other than the Lenders participating in the increase or any Incremental Term Loan) shall be required for any increase in Commitments and or Incremental Term Loan pursuant to this Section 2.20. Increases and new Commitments and Incremental Term Loans created pursuant to this Section 2.20 shall become effective on the date agreed by the Company, the Administrative Agent and the relevant Increasing Lenders or Augmenting Lenders, and the Administrative Agent shall notify each Lender thereof. Notwithstanding the foregoing, no increase in the Commitments (or in the Commitment of any Lender) or tranche of Incremental Term Loans shall become effective under this paragraph unless, (i) on the proposed date of the effectiveness of such increase or Incremental Term Loans, (A) the conditions set forth in paragraphs (a) and (b) of Section 4.02 shall be satisfied or waived by the Required Lenders and the Administrative Agent shall have received a certificate to that effect dated such date and executed by a Financial Officer of the Company and (B) the Company shall be in compliance (on a Pro Forma Basis reasonably acceptable to the Administrative Agent) with the covenants contained in Section 6.11 and (ii) the Administrative Agent shall have received documents consistent with those delivered on the Effective Date as to the organizational power and authority of the Borrowers to borrow hereunder after giving effect to such increase. On the effective date of any increase in the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except in the case of any Incremental Term Loans, the Borrowers shall be deemed to have repaid and reborrowed all outstanding Revolving Loans as of the date of any increase in the Commitments (with such reborrowing to consist of the Types of Revolving Loans, with related Interest Periods if applicable, specified in a notice delivered by the applicable Borrower, or the Company on behalf of the applicable Borrower, in accordance with the requirements of Section 2.03). The deemed payments made pursuant to clause (ii) of the immediately preceding sentence shall be accompanied by payment of all accrued interest on the amount prepaid and, in respect of each Eurocurrency Loan, shall be subject to indemnification by the Borrowers pursuant to the provisions of Section 2.16 if the deemed payment occurs other than on the last day of the related Interest Periods. The Incremental Term Loans (a) shall rank pari passu in right of payment with the Revolving Loans, (b) shall not mature earlier than the Maturity Date (but may have amortization prior to such date) and (c) shall be treated substantially the same as (and in any event no more favorably than) the Revolving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than the Revolving Loans. Incremental Term Loans may be made hereunder pursuant to an amendment or restatement (an “</w:t>
      </w:r>
      <w:r>
        <w:rPr>
          <w:rFonts w:ascii="Arial" w:cs="Arial" w:eastAsia="Arial" w:hAnsi="Arial"/>
          <w:sz w:val="16"/>
          <w:szCs w:val="16"/>
          <w:u w:val="single" w:color="auto"/>
          <w:color w:val="auto"/>
        </w:rPr>
        <w:t>Incremental Term Loan</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Amendment</w:t>
      </w:r>
      <w:r>
        <w:rPr>
          <w:rFonts w:ascii="Arial" w:cs="Arial" w:eastAsia="Arial" w:hAnsi="Arial"/>
          <w:sz w:val="16"/>
          <w:szCs w:val="16"/>
          <w:color w:val="auto"/>
        </w:rPr>
        <w:t>”) of this Agreement and, as appropriate, the other Loan Documents, executed by the Borrowers,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2.20. Nothing contained in this Section 2.20 shall constitute, or otherwise be deemed to be, a commitment on the part of any Lender to increase its Commitment hereunder, or provide Incremental Term Loans, at any time.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2" w:name="page143"/>
    <w:bookmarkEnd w:id="142"/>
    <w:p>
      <w:pPr>
        <w:jc w:val="both"/>
        <w:ind w:firstLine="1297"/>
        <w:spacing w:after="0" w:line="267" w:lineRule="auto"/>
        <w:rPr>
          <w:sz w:val="20"/>
          <w:szCs w:val="20"/>
          <w:color w:val="auto"/>
        </w:rPr>
      </w:pPr>
      <w:r>
        <w:rPr>
          <w:rFonts w:ascii="Arial" w:cs="Arial" w:eastAsia="Arial" w:hAnsi="Arial"/>
          <w:sz w:val="17"/>
          <w:szCs w:val="17"/>
          <w:color w:val="auto"/>
        </w:rPr>
        <w:t xml:space="preserve">SECTION 2.21. </w:t>
      </w:r>
      <w:r>
        <w:rPr>
          <w:rFonts w:ascii="Arial" w:cs="Arial" w:eastAsia="Arial" w:hAnsi="Arial"/>
          <w:sz w:val="17"/>
          <w:szCs w:val="17"/>
          <w:u w:val="single" w:color="auto"/>
          <w:color w:val="auto"/>
        </w:rPr>
        <w:t>Market Disruption</w:t>
      </w:r>
      <w:r>
        <w:rPr>
          <w:rFonts w:ascii="Arial" w:cs="Arial" w:eastAsia="Arial" w:hAnsi="Arial"/>
          <w:sz w:val="17"/>
          <w:szCs w:val="17"/>
          <w:color w:val="auto"/>
        </w:rPr>
        <w:t>. Notwithstanding the satisfaction of all conditions referred to in Article II and Article IV with respect to any Credit Event to be effected in any Foreign Currency, if (i) there shall occur on or prior to the date of such Credit Event any change in national or international financial, political or economic conditions or currency exchange rates or exchange controls which would in the reasonable opinion of the Administrative Agent, the Issuing Banks (if such Credit Event is a Letter of Credit) or the Required Lenders make it impracticable for the Eurocurrency Borrowings or Letters of Credit comprising such Credit Event to be denominated in the Agreed Currency specified by the applicable Borrower or (ii) an Equivalent Amount of such currency is not readily calculable, then the Administrative Agent shall forthwith give notice thereof to such Borrower, the Lenders and, if such Credit Event is a Letter of Credit, the Issuing Banks, and such Credit Events shall not be denominated in such Agreed Currency but shall, except as otherwise set forth in Section 2.07, be made on the date of such Credit Event in Dollars, (a) if such Credit Event is a Borrowing, in an aggregate principal amount equal to the Dollar Amount of the aggregate principal amount specified in the related Credit Event Request or Interest Election Request, as the case may be, as ABR Loans, unless such Borrower notifies the Administrative Agent at least one Business Day before such date that (i) it elects not to borrow on such date or (ii) it elects to borrow on such date in a different Agreed Currency, as the case may be, in which the denomination of such Loans would in the reasonable opinion of the Administrative Agent and the Required Lenders be practicable and in an aggregate principal amount equal to the Dollar Amount of the aggregate principal amount specified in the related Credit Event Request or Interest Election Request, as the case may be or (b) if such Credit Event is a Letter of Credit, in a face amount equal to the Dollar Amount of the face amount specified in the related request or application for such Letter of Credit, unless such Borrower notifies the Administrative Agent at least one (1) Business Day before such date that (i) it elects not to request the issuance of such Letter of Credit on such date or (ii) it elects to have such Letter of Credit issued on such date in a different Agreed Currency, as the case may be, in which the denomination of such Letter of Credit would in the reasonable opinion of the Issuing Banks, the Administrative Agent and the Required Lenders be practicable and in face amount equal to the Dollar Amount of the face amount specified in the related request or application for such Letter of Credit, as the case may be.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3" w:name="page144"/>
    <w:bookmarkEnd w:id="143"/>
    <w:p>
      <w:pPr>
        <w:jc w:val="both"/>
        <w:ind w:firstLine="1297"/>
        <w:spacing w:after="0" w:line="217" w:lineRule="exact"/>
        <w:rPr>
          <w:sz w:val="20"/>
          <w:szCs w:val="20"/>
          <w:color w:val="auto"/>
        </w:rPr>
      </w:pPr>
      <w:r>
        <w:rPr>
          <w:rFonts w:ascii="Arial" w:cs="Arial" w:eastAsia="Arial" w:hAnsi="Arial"/>
          <w:sz w:val="16"/>
          <w:szCs w:val="16"/>
          <w:color w:val="auto"/>
        </w:rPr>
        <w:t xml:space="preserve">SECTION 2.22. </w:t>
      </w:r>
      <w:r>
        <w:rPr>
          <w:rFonts w:ascii="Arial" w:cs="Arial" w:eastAsia="Arial" w:hAnsi="Arial"/>
          <w:sz w:val="16"/>
          <w:szCs w:val="16"/>
          <w:u w:val="single" w:color="auto"/>
          <w:color w:val="auto"/>
        </w:rPr>
        <w:t>Judgment Currency</w:t>
      </w:r>
      <w:r>
        <w:rPr>
          <w:rFonts w:ascii="Arial" w:cs="Arial" w:eastAsia="Arial" w:hAnsi="Arial"/>
          <w:sz w:val="16"/>
          <w:szCs w:val="16"/>
          <w:color w:val="auto"/>
        </w:rPr>
        <w:t>. If for the purposes of obtaining judgment in any court it is necessary to convert a sum due from any Borrower hereunder in the currency expressed to be payable herein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w:t>
      </w:r>
      <w:r>
        <w:rPr>
          <w:rFonts w:ascii="MS PGothic" w:cs="MS PGothic" w:eastAsia="MS PGothic" w:hAnsi="MS PGothic"/>
          <w:sz w:val="16"/>
          <w:szCs w:val="16"/>
          <w:color w:val="auto"/>
        </w:rPr>
        <w:t>‑</w:t>
      </w:r>
      <w:r>
        <w:rPr>
          <w:rFonts w:ascii="Arial" w:cs="Arial" w:eastAsia="Arial" w:hAnsi="Arial"/>
          <w:sz w:val="16"/>
          <w:szCs w:val="16"/>
          <w:color w:val="auto"/>
        </w:rPr>
        <w:t>appealable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such Borrower.</w:t>
      </w:r>
    </w:p>
    <w:p>
      <w:pPr>
        <w:spacing w:after="0" w:line="20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SECTION 2.23. </w:t>
      </w:r>
      <w:r>
        <w:rPr>
          <w:rFonts w:ascii="Arial" w:cs="Arial" w:eastAsia="Arial" w:hAnsi="Arial"/>
          <w:sz w:val="18"/>
          <w:szCs w:val="18"/>
          <w:u w:val="single" w:color="auto"/>
          <w:color w:val="auto"/>
        </w:rPr>
        <w:t>Designation of Foreign Subsidiary Borrowers</w:t>
      </w:r>
      <w:r>
        <w:rPr>
          <w:rFonts w:ascii="Arial" w:cs="Arial" w:eastAsia="Arial" w:hAnsi="Arial"/>
          <w:sz w:val="18"/>
          <w:szCs w:val="18"/>
          <w:color w:val="auto"/>
        </w:rPr>
        <w:t xml:space="preserve">. The Company may at any time and from time to time designate any Eligible Foreign Subsidiary as a Foreign Subsidiary Borrower by delivery to the Administrative Agent of a Borrowing Subsidiary Agreement executed by such Subsidiary and the Company and the satisfaction of the other conditions precedent set forth in Section 4.03, and upon such delivery and satisfaction such Subsidiary shall for all purposes of this Agreement be a Foreign Subsidiary Borrower and a party to this Agreement until the Company shall have executed and delivered to the Administrative Agent a Borrowing Subsidiary Termination with respect to such Subsidiary, whereupon such Subsidiary shall cease to be a Foreign Subsidiary Borrower and a party to this Agreement. Notwithstanding the preceding sentence, no Borrowing Subsidiary Termination will become effective as to any Foreign Subsidiary Borrower at a time when any principal of or interest on any Loan to such Borrower shall be outstanding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Borrowing Subsidiary Termination shall be effective to terminate the right of such Foreign Subsidiary Borrower to make further Borrowings under this Agreement. As soon as practicable upon receipt of a Borrowing Subsidiary Agreement, the Administrative Agent shall furnish a copy thereof to each Lender.</w:t>
      </w:r>
    </w:p>
    <w:p>
      <w:pPr>
        <w:spacing w:after="0" w:line="195" w:lineRule="exact"/>
        <w:rPr>
          <w:sz w:val="20"/>
          <w:szCs w:val="20"/>
          <w:color w:val="auto"/>
        </w:rPr>
      </w:pPr>
    </w:p>
    <w:p>
      <w:pPr>
        <w:ind w:left="1300"/>
        <w:spacing w:after="0"/>
        <w:tabs>
          <w:tab w:leader="none" w:pos="2660" w:val="left"/>
          <w:tab w:leader="none" w:pos="4320" w:val="left"/>
        </w:tabs>
        <w:rPr>
          <w:sz w:val="20"/>
          <w:szCs w:val="20"/>
          <w:color w:val="auto"/>
        </w:rPr>
      </w:pPr>
      <w:r>
        <w:rPr>
          <w:rFonts w:ascii="Arial" w:cs="Arial" w:eastAsia="Arial" w:hAnsi="Arial"/>
          <w:sz w:val="18"/>
          <w:szCs w:val="18"/>
          <w:color w:val="auto"/>
        </w:rPr>
        <w:t>SECTION 2.24.</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Notwithstanding any provision of this Agreement to the contrary, if any Lender becomes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Defaulting Lender, then the following provisions shall apply for so long as such Lender is a Defaulting Lender: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fees shall cease to accrue on the unfunded portion of the Commitment of such Defaulting Lender pursuant to Section 2.12(a);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4" w:name="page145"/>
    <w:bookmarkEnd w:id="144"/>
    <w:p>
      <w:pPr>
        <w:jc w:val="both"/>
        <w:ind w:firstLine="1305"/>
        <w:spacing w:after="0" w:line="279" w:lineRule="auto"/>
        <w:tabs>
          <w:tab w:leader="none" w:pos="1599"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the Commitment and Revolving Credit Exposure of such Defaulting Lender shall not be included in determining whether all Lenders or the Required Lenders have taken or may take any action hereunder (including any consent to any amendment, waiver or other modification pursuant to Section 9.02);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otherwise provided in Section 9.02, this clause (b) shall not apply to the vote of a Defaulting Lender in the case of an amendment, waiver or other modification requiring the consent of such Lender or each Lender directly affected thereby;</w:t>
      </w:r>
    </w:p>
    <w:p>
      <w:pPr>
        <w:spacing w:after="0" w:line="171" w:lineRule="exact"/>
        <w:rPr>
          <w:rFonts w:ascii="Arial" w:cs="Arial" w:eastAsia="Arial" w:hAnsi="Arial"/>
          <w:sz w:val="17"/>
          <w:szCs w:val="17"/>
          <w:color w:val="auto"/>
        </w:rPr>
      </w:pPr>
    </w:p>
    <w:p>
      <w:pPr>
        <w:ind w:left="1600" w:hanging="295"/>
        <w:spacing w:after="0"/>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any Swingline Exposure or LC Exposure exists at the time such Lender becomes a Defaulting Lender then:</w:t>
      </w:r>
    </w:p>
    <w:p>
      <w:pPr>
        <w:spacing w:after="0" w:line="225" w:lineRule="exact"/>
        <w:rPr>
          <w:sz w:val="20"/>
          <w:szCs w:val="20"/>
          <w:color w:val="auto"/>
        </w:rPr>
      </w:pPr>
    </w:p>
    <w:p>
      <w:pPr>
        <w:jc w:val="both"/>
        <w:ind w:left="660" w:firstLine="645"/>
        <w:spacing w:after="0" w:line="257" w:lineRule="auto"/>
        <w:tabs>
          <w:tab w:leader="none" w:pos="159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or any part of the Swingline Exposure and LC Exposure of such Defaulting Lender shall be reallocated among the non-Defaulting Lenders in accordance with their respective Applicable Percentages but only to the extent (A) the sum of all non-Defaulting Lenders’ Revolving Credit Exposures plus such Defaulting Lender’s Swingline Exposure and LC Exposure does not exceed the total of all non-Defaulting Lenders’ Commitments, (B) each non-Defaulting Lender’s Revolving Credit Exposure does not exceed such non-Defaulting Lender’s Commitment and (C) no Event of Default has occurred and is continuing;</w:t>
      </w:r>
    </w:p>
    <w:p>
      <w:pPr>
        <w:spacing w:after="0" w:line="188" w:lineRule="exact"/>
        <w:rPr>
          <w:rFonts w:ascii="Arial" w:cs="Arial" w:eastAsia="Arial" w:hAnsi="Arial"/>
          <w:sz w:val="18"/>
          <w:szCs w:val="18"/>
          <w:color w:val="auto"/>
        </w:rPr>
      </w:pPr>
    </w:p>
    <w:p>
      <w:pPr>
        <w:jc w:val="both"/>
        <w:ind w:left="660" w:firstLine="645"/>
        <w:spacing w:after="0" w:line="257" w:lineRule="auto"/>
        <w:tabs>
          <w:tab w:leader="none" w:pos="1644"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reallocation described in clause (i) above cannot, or can only partially, be effected, the Company shall within one (1) Business Day following notice by the Administrative Agent (x) first, prepay such Swingline Exposure and (y) second, cash collateralize for the benefit of the Issuing Banks only the Company’s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88" w:lineRule="exact"/>
        <w:rPr>
          <w:rFonts w:ascii="Arial" w:cs="Arial" w:eastAsia="Arial" w:hAnsi="Arial"/>
          <w:sz w:val="18"/>
          <w:szCs w:val="18"/>
          <w:color w:val="auto"/>
        </w:rPr>
      </w:pPr>
    </w:p>
    <w:p>
      <w:pPr>
        <w:jc w:val="both"/>
        <w:ind w:left="660" w:firstLine="645"/>
        <w:spacing w:after="0" w:line="264" w:lineRule="auto"/>
        <w:tabs>
          <w:tab w:leader="none" w:pos="1686"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Company cash collateralizes any portion of such Defaulting Lender’s LC Exposure pursuant to clause (ii) above, the Company shall not be required to pay any fees to such Defaulting Lender pursuant to Section 2.12(b) with respect to such Defaulting Lender’s LC Exposure during the period such Defaulting Lender’s LC Exposure is cash collateralized;</w:t>
      </w:r>
    </w:p>
    <w:p>
      <w:pPr>
        <w:spacing w:after="0" w:line="181" w:lineRule="exact"/>
        <w:rPr>
          <w:rFonts w:ascii="Arial" w:cs="Arial" w:eastAsia="Arial" w:hAnsi="Arial"/>
          <w:sz w:val="18"/>
          <w:szCs w:val="18"/>
          <w:color w:val="auto"/>
        </w:rPr>
      </w:pPr>
    </w:p>
    <w:p>
      <w:pPr>
        <w:ind w:left="660" w:firstLine="645"/>
        <w:spacing w:after="0" w:line="342" w:lineRule="auto"/>
        <w:tabs>
          <w:tab w:leader="none" w:pos="1697"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LC Exposure of the non-Defaulting Lenders is reallocated pursuant to clause (i) above, then the fees payable to the Lenders pursuant to Section 2.12(a) and Section 2.12(b) shall be adjusted in accordance with such non-Defaulting Lenders’ Applicable Percentages; and</w:t>
      </w:r>
    </w:p>
    <w:p>
      <w:pPr>
        <w:spacing w:after="0" w:line="123" w:lineRule="exact"/>
        <w:rPr>
          <w:rFonts w:ascii="Arial" w:cs="Arial" w:eastAsia="Arial" w:hAnsi="Arial"/>
          <w:sz w:val="16"/>
          <w:szCs w:val="16"/>
          <w:color w:val="auto"/>
        </w:rPr>
      </w:pPr>
    </w:p>
    <w:p>
      <w:pPr>
        <w:jc w:val="both"/>
        <w:ind w:left="660" w:firstLine="645"/>
        <w:spacing w:after="0" w:line="259" w:lineRule="auto"/>
        <w:tabs>
          <w:tab w:leader="none" w:pos="1618"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all or any portion of such Defaulting Lender’s LC Exposure is neither reallocated nor cash collateralized pursuant to clause (i) or (ii) above, then, without prejudice to any rights or remedies of the Issuing Banks or any other Lender hereunder, all letter of credit fees payable under Section 2.12(b) with respect to such Defaulting Lender’s LC Exposure shall be payable to the Issuing Banks until and to the extent that such LC Exposure is reallocated and/or cash collateralized; and</w:t>
      </w:r>
    </w:p>
    <w:p>
      <w:pPr>
        <w:spacing w:after="0" w:line="187" w:lineRule="exact"/>
        <w:rPr>
          <w:sz w:val="20"/>
          <w:szCs w:val="20"/>
          <w:color w:val="auto"/>
        </w:rPr>
      </w:pPr>
    </w:p>
    <w:p>
      <w:pPr>
        <w:jc w:val="both"/>
        <w:ind w:firstLine="1305"/>
        <w:spacing w:after="0" w:line="297" w:lineRule="auto"/>
        <w:tabs>
          <w:tab w:leader="none" w:pos="1613" w:val="left"/>
        </w:tabs>
        <w:numPr>
          <w:ilvl w:val="0"/>
          <w:numId w:val="87"/>
        </w:numPr>
        <w:rPr>
          <w:rFonts w:ascii="Arial" w:cs="Arial" w:eastAsia="Arial" w:hAnsi="Arial"/>
          <w:sz w:val="16"/>
          <w:szCs w:val="16"/>
          <w:color w:val="auto"/>
        </w:rPr>
      </w:pPr>
      <w:r>
        <w:rPr>
          <w:rFonts w:ascii="Arial" w:cs="Arial" w:eastAsia="Arial" w:hAnsi="Arial"/>
          <w:sz w:val="16"/>
          <w:szCs w:val="16"/>
          <w:color w:val="auto"/>
        </w:rPr>
        <w:t>so long as such Lender is a Defaulting Lender, the Swingline Lender shall not be required to fund any Swingline Loan and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Company in accordance with Section 2.24(c), and participating interests in any such newly made Swingline Loan or any newly issued or increased Letter of Credit shall be allocated among non-Defaulting Lenders in a manner consistent with Section 2.24(c)(i) (and such Defaulting Lender shall not participate therein).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5" w:name="page146"/>
    <w:bookmarkEnd w:id="145"/>
    <w:p>
      <w:pPr>
        <w:jc w:val="both"/>
        <w:ind w:firstLine="1297"/>
        <w:spacing w:after="0" w:line="255" w:lineRule="auto"/>
        <w:rPr>
          <w:sz w:val="20"/>
          <w:szCs w:val="20"/>
          <w:color w:val="auto"/>
        </w:rPr>
      </w:pPr>
      <w:r>
        <w:rPr>
          <w:rFonts w:ascii="Arial" w:cs="Arial" w:eastAsia="Arial" w:hAnsi="Arial"/>
          <w:sz w:val="18"/>
          <w:szCs w:val="18"/>
          <w:color w:val="auto"/>
        </w:rPr>
        <w:t>If (i) a Bankruptcy Event with respect to a Parent of any Lender shall occur following the date hereof and for so long as such event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such Issuing Bank shall not be required to issue, amend or increase any Letter of Credit, unless the Swingline Lender or such Issuing Bank, as the case may be, shall have entered into arrangements with the Company or such Lender, satisfactory to the Swingline Lender or such Issuing Bank, as the case may be, to defease any risk to it in respect of such Lender hereunder.</w:t>
      </w:r>
    </w:p>
    <w:p>
      <w:pPr>
        <w:spacing w:after="0" w:line="19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the event that the Administrative Agent, the Company, the Swingline Lender and the Issuing Banks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Borrower represents and warrants to the Lenders that:</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 Subsidiaries</w:t>
      </w:r>
      <w:r>
        <w:rPr>
          <w:rFonts w:ascii="Arial" w:cs="Arial" w:eastAsia="Arial" w:hAnsi="Arial"/>
          <w:sz w:val="16"/>
          <w:szCs w:val="16"/>
          <w:color w:val="auto"/>
        </w:rPr>
        <w:t>. Each of the Company and its Subsidiaries is duly organized, validly existing and in good standing (to the extent such concept is applicable in the relevant jurisdiction)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(to the extent such concept is applicable) in, every jurisdiction where such qualification is required. Schedule 3.01 hereto (as supplemented from time to time) identifies each Subsidiary, if such Subsidiary is a Material Subsidiary, the jurisdiction of its incorporation or organization, as the case may be, the percentage of issued and outstanding shares of each class of its capital stock or other equity interests owned by the Company and the other Subsidiaries and, if such percentage is not 100% (excluding directors’ qualifying shares as required by law), a description of each class issued and outstanding. All of the outstanding shares of capital stock and other equity interests of each Subsidiary are validly issued and outstanding and fully paid and nonassessable and all such shares and other equity interests indicated on Schedule 3.01 (as supplemented from time to time but, in the case of any Subsidiary, as permitted by Section 6.09) as owned by the Company or another Subsidiary are owned, beneficially and of record, by the Company or any Subsidiary free and clear of all Liens, other than Liens created under the Loan Documents. Except as set forth in Schedule 3.01 (as supplemented from time to time but, in the case of any Subsidiary, as permitted by Section 6.09), there are no outstanding commitments or other obligations of the Company or any Subsidiary to issue, and no options, warrants or other rights of any Person to acquire, any shares of any class of capital stock or other equity interests of the Company or any Subsidiary.</w:t>
      </w:r>
    </w:p>
    <w:p>
      <w:pPr>
        <w:spacing w:after="0" w:line="17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Transactions are within each Loan Party’s organizational powers and have been duly authorized by all necessary organizational actions and, if required, shareholder action. The Loan Documents to which each Loan Party is a party have been duly executed and delivered by such Loan Party and constitute a legal, valid and binding obligation of such Loan Party, enforceable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6" w:name="page147"/>
    <w:bookmarkEnd w:id="146"/>
    <w:p>
      <w:pPr>
        <w:jc w:val="both"/>
        <w:ind w:firstLine="1297"/>
        <w:spacing w:after="0" w:line="270"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Governmental Approvals; No Conflicts</w:t>
      </w:r>
      <w:r>
        <w:rPr>
          <w:rFonts w:ascii="Arial" w:cs="Arial" w:eastAsia="Arial" w:hAnsi="Arial"/>
          <w:sz w:val="17"/>
          <w:szCs w:val="17"/>
          <w:color w:val="auto"/>
        </w:rPr>
        <w:t>. The Transactions (a) do not require any consent or approval of, registration or filing with, or any other action by, any Governmental Authority, except such as have been obtained or made and are in full force and effect, and except where the failure to do so, individually or in the aggregate, could not reasonably be expected to result in a Material Adverse Effect, (b) will not violate any applicable law or regulation or the charter, by-laws or other organizational documents of the Company or any of its Subsidiaries or any order of any Governmental Authority, except for violations, individually or in the aggregate, which could not reasonably be expected to result in a Material Adverse Effect, (c) will not violate or result in a default under any indenture, agreement or other instrument binding upon the Company or any of its Subsidiaries or its assets, or give rise to a right thereunder to require any payment to be made by the Company or any of its Subsidiaries, except for violations or defaults, individually or in the aggregate, which could not reasonably be expected to result in a Material Adverse Effect, and (d) will not result in the creation or imposition of any Lien on any asset of the Company or any of its Subsidiaries, other than Liens created under the Loan Documents.</w:t>
      </w:r>
    </w:p>
    <w:p>
      <w:pPr>
        <w:spacing w:after="0" w:line="18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Financial Condition; No Material Adverse Change</w:t>
      </w:r>
      <w:r>
        <w:rPr>
          <w:rFonts w:ascii="Arial" w:cs="Arial" w:eastAsia="Arial" w:hAnsi="Arial"/>
          <w:sz w:val="17"/>
          <w:szCs w:val="17"/>
          <w:color w:val="auto"/>
        </w:rPr>
        <w:t>. (a) The Company has heretofore furnished to the Lenders its consolidated balance sheet and statements of income, stockholders equity and cash flows (i) as of and for the fiscal year ended October 28, 2012 reported on by Deloitte &amp; Touche LLP, independent public accountants and (ii) as of and for the fiscal quarter and the portion of the fiscal year ended July 28, 2013, certified by its chief financial officer. Such financial statements present fairly, in all material respects, the financial position and results of operations and cash flows of the Company and its consolidated Subsidiaries as of such dates and for such periods in accordance with GAAP, subject to year-end audit adjustments and the absence of footnotes in the case of the statements referred to in clause (ii) above.</w:t>
      </w:r>
    </w:p>
    <w:p>
      <w:pPr>
        <w:spacing w:after="0" w:line="178" w:lineRule="exact"/>
        <w:rPr>
          <w:sz w:val="20"/>
          <w:szCs w:val="20"/>
          <w:color w:val="auto"/>
        </w:rPr>
      </w:pPr>
    </w:p>
    <w:p>
      <w:pPr>
        <w:ind w:firstLine="1305"/>
        <w:spacing w:after="0" w:line="277" w:lineRule="auto"/>
        <w:tabs>
          <w:tab w:leader="none" w:pos="1662" w:val="left"/>
        </w:tabs>
        <w:numPr>
          <w:ilvl w:val="0"/>
          <w:numId w:val="88"/>
        </w:numPr>
        <w:rPr>
          <w:rFonts w:ascii="Arial" w:cs="Arial" w:eastAsia="Arial" w:hAnsi="Arial"/>
          <w:sz w:val="18"/>
          <w:szCs w:val="18"/>
          <w:color w:val="auto"/>
        </w:rPr>
      </w:pPr>
      <w:r>
        <w:rPr>
          <w:rFonts w:ascii="Arial" w:cs="Arial" w:eastAsia="Arial" w:hAnsi="Arial"/>
          <w:sz w:val="18"/>
          <w:szCs w:val="18"/>
          <w:color w:val="auto"/>
        </w:rPr>
        <w:t>Since October 28, 2012, there has been no material adverse change in the business, assets, operations or condition, financial or otherwise, of the Company and its Subsidiaries, taken as a whole.</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 (a) Each of the Company and its Subsidiaries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 There are no Liens on any of the real or personal properties of the Company or any Subsidiary except for Liens permitted by Section 6.02.</w:t>
      </w:r>
    </w:p>
    <w:p>
      <w:pPr>
        <w:spacing w:after="0" w:line="187" w:lineRule="exact"/>
        <w:rPr>
          <w:sz w:val="20"/>
          <w:szCs w:val="20"/>
          <w:color w:val="auto"/>
        </w:rPr>
      </w:pPr>
    </w:p>
    <w:p>
      <w:pPr>
        <w:jc w:val="both"/>
        <w:ind w:firstLine="1305"/>
        <w:spacing w:after="0" w:line="286" w:lineRule="auto"/>
        <w:tabs>
          <w:tab w:leader="none" w:pos="1661" w:val="left"/>
        </w:tabs>
        <w:numPr>
          <w:ilvl w:val="0"/>
          <w:numId w:val="89"/>
        </w:numPr>
        <w:rPr>
          <w:rFonts w:ascii="Arial" w:cs="Arial" w:eastAsia="Arial" w:hAnsi="Arial"/>
          <w:sz w:val="17"/>
          <w:szCs w:val="17"/>
          <w:color w:val="auto"/>
        </w:rPr>
      </w:pPr>
      <w:r>
        <w:rPr>
          <w:rFonts w:ascii="Arial" w:cs="Arial" w:eastAsia="Arial" w:hAnsi="Arial"/>
          <w:sz w:val="17"/>
          <w:szCs w:val="17"/>
          <w:color w:val="auto"/>
        </w:rPr>
        <w:t>Each of the Company and its Subsidiaries owns, or is licensed to use, all trademarks, tradenames, copyrights, patents and other intellectual property material to its business, and the use thereof by the Company and its Subsidiaries does not infringe upon the rights of any other Person, except for any such infringements that, individually or in the aggregate, could not reasonably be expected to result in a Material Adverse Effect.</w:t>
      </w:r>
    </w:p>
    <w:p>
      <w:pPr>
        <w:spacing w:after="0" w:line="166"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 (a) There are no actions, suits, proceedings or investigations by or before any arbitrator or Governmental Authority pending against or, to the knowledge of any Borrower, threatened against or affecting the Company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 There are no labor controversies pending against or, to the knowledge of the Company, threatened against or affecting the Company or any of its Subsidiaries (i) which could reasonably be expected, individually or in the aggregate, to result in a Material Adverse Effect, or (ii) that involve this Agreement or the Transactions.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7" w:name="page148"/>
    <w:bookmarkEnd w:id="147"/>
    <w:p>
      <w:pPr>
        <w:jc w:val="both"/>
        <w:ind w:firstLine="1305"/>
        <w:spacing w:after="0" w:line="279" w:lineRule="auto"/>
        <w:tabs>
          <w:tab w:leader="none" w:pos="161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Except with respect to any other matters that, individually or in the aggregate, could not reasonably be expected to result in a Material Adverse Effect, neither the Company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71" w:lineRule="exact"/>
        <w:rPr>
          <w:rFonts w:ascii="Arial" w:cs="Arial" w:eastAsia="Arial" w:hAnsi="Arial"/>
          <w:sz w:val="17"/>
          <w:szCs w:val="17"/>
          <w:color w:val="auto"/>
        </w:rPr>
      </w:pPr>
    </w:p>
    <w:p>
      <w:pPr>
        <w:ind w:firstLine="1305"/>
        <w:spacing w:after="0" w:line="277" w:lineRule="auto"/>
        <w:tabs>
          <w:tab w:leader="none" w:pos="1593" w:val="left"/>
        </w:tabs>
        <w:numPr>
          <w:ilvl w:val="0"/>
          <w:numId w:val="90"/>
        </w:numPr>
        <w:rPr>
          <w:rFonts w:ascii="Arial" w:cs="Arial" w:eastAsia="Arial" w:hAnsi="Arial"/>
          <w:sz w:val="18"/>
          <w:szCs w:val="18"/>
          <w:color w:val="auto"/>
        </w:rPr>
      </w:pPr>
      <w:r>
        <w:rPr>
          <w:rFonts w:ascii="Arial" w:cs="Arial" w:eastAsia="Arial" w:hAnsi="Arial"/>
          <w:sz w:val="18"/>
          <w:szCs w:val="18"/>
          <w:color w:val="auto"/>
        </w:rPr>
        <w:t>Neither the Company nor any Subsidiary is party or subject to any law, regulation, rule or order, or any obligation under any agreement or instrument, that has a Material Adverse Effect.</w:t>
      </w:r>
    </w:p>
    <w:p>
      <w:pPr>
        <w:spacing w:after="0" w:line="170"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Compliance with Laws and Agreements</w:t>
      </w:r>
      <w:r>
        <w:rPr>
          <w:rFonts w:ascii="Arial" w:cs="Arial" w:eastAsia="Arial" w:hAnsi="Arial"/>
          <w:sz w:val="16"/>
          <w:szCs w:val="16"/>
          <w:color w:val="auto"/>
        </w:rPr>
        <w:t>. Each of the Company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14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Neither the Company nor any of its Subsidiaries is an “investment company” as defined in, or subject to regulation under, the Investment Company Act of 1940.</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Each of the Company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Company or such Subsidiary, as applicable, has set aside on its books adequate reserves or (b) to the extent that the failure to do so could not reasonably be expected to result in a Material Adverse Effect.</w:t>
      </w:r>
    </w:p>
    <w:p>
      <w:pPr>
        <w:spacing w:after="0" w:line="18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ERISA</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4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The Company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Neither the Information Memorandum nor any of the other reports, financial statements, certificates or other information furnished by or on behalf of the Company or any Subsidiary to the Administrative Agent or any Lender in connection with the negotiation of this Agreement or delivered hereunder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the Borrowers represent only that such information was prepared in good faith based upon assumptions believed to be reasonable at the time.</w:t>
      </w:r>
    </w:p>
    <w:p>
      <w:pPr>
        <w:spacing w:after="0" w:line="19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SECTION 3.12. Federal Reserve Regulations. No part of the proceeds of any Loan have been used or will be used, whether directly or indirectly, for any purpose that entails a violation of any of the Regulations of the Board, including Regulations T, U and X.</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8" w:name="page149"/>
    <w:bookmarkEnd w:id="148"/>
    <w:p>
      <w:pPr>
        <w:jc w:val="both"/>
        <w:ind w:firstLine="1297"/>
        <w:spacing w:after="0" w:line="277" w:lineRule="auto"/>
        <w:rPr>
          <w:sz w:val="20"/>
          <w:szCs w:val="20"/>
          <w:color w:val="auto"/>
        </w:rPr>
      </w:pPr>
      <w:r>
        <w:rPr>
          <w:rFonts w:ascii="Arial" w:cs="Arial" w:eastAsia="Arial" w:hAnsi="Arial"/>
          <w:sz w:val="18"/>
          <w:szCs w:val="18"/>
          <w:color w:val="auto"/>
        </w:rPr>
        <w:t>SECTION 3.13. Liens. There are no Liens on any of the real or personal properties of the Company or any Subsidiary except for Liens permitted by Section 6.02.</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No Default</w:t>
      </w:r>
      <w:r>
        <w:rPr>
          <w:rFonts w:ascii="Arial" w:cs="Arial" w:eastAsia="Arial" w:hAnsi="Arial"/>
          <w:sz w:val="17"/>
          <w:szCs w:val="17"/>
          <w:color w:val="auto"/>
        </w:rPr>
        <w:t>. Each Borrower is in full compliance with this Agreement and no Default or Event of Default has occurred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and is continuing.</w:t>
      </w:r>
    </w:p>
    <w:p>
      <w:pPr>
        <w:spacing w:after="0" w:line="21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Security Interest in Collateral</w:t>
      </w:r>
      <w:r>
        <w:rPr>
          <w:rFonts w:ascii="Arial" w:cs="Arial" w:eastAsia="Arial" w:hAnsi="Arial"/>
          <w:sz w:val="18"/>
          <w:szCs w:val="18"/>
          <w:color w:val="auto"/>
        </w:rPr>
        <w:t>. The provisions of this Agreement and the other Loan Documents create legal and valid Liens on all the Collateral covered thereby in favor of the Collateral Agent, for the benefit of the Holders of Secured Obligations, and (i) when all appropriate filings, recordings, registrations, stampings or notifications are made and (ii) upon the taking of possession or control by the Collateral Agent of such Collateral with respect to which a security interest may be perfected only by possession or control, such Liens shall constitute perfected and continuing Liens on the Collateral, securing the Secured Obligations, and having priority over all other Liens on the Collateral except in the case of (a) Permitted Encumbrances, to the extent any such Permitted Encumbrances would have priority over the Liens in favor of the Collateral Agent pursuant to any applicable law and (b) Liens perfected only by possession (including possession of any certificate of title) to the extent the Collateral Agent has not obtained or does not maintain possession of such Collateral.</w:t>
      </w:r>
    </w:p>
    <w:p>
      <w:pPr>
        <w:spacing w:after="0" w:line="19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has implemented and maintains in effect policies and procedures designed to ensure compliance in all material respects by the Company, its Subsidiaries and their respective directors, officers, employees and agents with Anti-Corruption Laws and applicable Sanctions, and the Company, its Subsidiaries and their respective officers and employees and to the knowledge of the Company its directors and agents, are in compliance with Anti-Corruption Laws and applicable Sanctions in all material respects.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No Borrowing or Letter of Credit, use of proceeds or other Transactions will violate Anti-Corruption Laws or applicable Sanctions.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Effective Date</w:t>
      </w:r>
      <w:r>
        <w:rPr>
          <w:rFonts w:ascii="Arial" w:cs="Arial" w:eastAsia="Arial" w:hAnsi="Arial"/>
          <w:sz w:val="17"/>
          <w:szCs w:val="17"/>
          <w:color w:val="auto"/>
        </w:rPr>
        <w:t>. 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147" w:lineRule="exact"/>
        <w:rPr>
          <w:sz w:val="20"/>
          <w:szCs w:val="20"/>
          <w:color w:val="auto"/>
        </w:rPr>
      </w:pPr>
    </w:p>
    <w:p>
      <w:pPr>
        <w:jc w:val="both"/>
        <w:ind w:left="660" w:firstLine="645"/>
        <w:spacing w:after="0" w:line="264" w:lineRule="auto"/>
        <w:tabs>
          <w:tab w:leader="none" w:pos="161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from each party hereto either (i) a counterpart of this Agreement signed on behalf of such party or (ii) written evidence satisfactory to the Administrative Agent (which may include telecopy or electronic transmission of a signed signature page of this Agreement) that such party has signed a counterpart of this Agreement.</w:t>
      </w:r>
    </w:p>
    <w:p>
      <w:pPr>
        <w:spacing w:after="0" w:line="181" w:lineRule="exact"/>
        <w:rPr>
          <w:rFonts w:ascii="Arial" w:cs="Arial" w:eastAsia="Arial" w:hAnsi="Arial"/>
          <w:sz w:val="18"/>
          <w:szCs w:val="18"/>
          <w:color w:val="auto"/>
        </w:rPr>
      </w:pPr>
    </w:p>
    <w:p>
      <w:pPr>
        <w:jc w:val="both"/>
        <w:ind w:left="660" w:firstLine="645"/>
        <w:spacing w:after="0" w:line="257" w:lineRule="auto"/>
        <w:tabs>
          <w:tab w:leader="none" w:pos="162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Administrative Agent shall have received favorable written opinions (addressed to the Administrative Agent and the Lenders and dated the Effective Date) of (i) Richelle Burr, General Counsel of the Company, and (ii) Brenner, Saltzman &amp; Wallman LLP, outside counsel for the initial Loan Parties, in each case substantially in the form of Exhibit B, and covering such other matters relating to the Loan Parties, the Loan Documents or the Transactions as the Administrative Agent shall reasonably request. The Company hereby requests such counsel to deliver such opinion.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9" w:name="page150"/>
    <w:bookmarkEnd w:id="149"/>
    <w:p>
      <w:pPr>
        <w:jc w:val="both"/>
        <w:ind w:left="660" w:firstLine="645"/>
        <w:spacing w:after="0" w:line="279" w:lineRule="auto"/>
        <w:tabs>
          <w:tab w:leader="none" w:pos="1676"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Administrative Agent shall have received such documents and certificates as the Administrative Agent or its counsel may reasonably request relating to the organization, existence and good standing of the initial Loan Parties, the authorization of the Transactions and any other legal matters relating to such Loan Parties, the Loan Documents or the Transactions, all in form and substance satisfactory to the Administrative Agent and its counsel and as further described in the list of closing documents attached as Exhibit E.</w:t>
      </w:r>
    </w:p>
    <w:p>
      <w:pPr>
        <w:spacing w:after="0" w:line="171" w:lineRule="exact"/>
        <w:rPr>
          <w:rFonts w:ascii="Arial" w:cs="Arial" w:eastAsia="Arial" w:hAnsi="Arial"/>
          <w:sz w:val="17"/>
          <w:szCs w:val="17"/>
          <w:color w:val="auto"/>
        </w:rPr>
      </w:pPr>
    </w:p>
    <w:p>
      <w:pPr>
        <w:ind w:left="660" w:firstLine="645"/>
        <w:spacing w:after="0" w:line="308" w:lineRule="auto"/>
        <w:tabs>
          <w:tab w:leader="none" w:pos="1623"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Administrative Agent shall have received a certificate, dated the Effective Date and signed by the President, a Vice President or a Financial Officer of the Company, confirming compliance with the conditions set forth in paragraphs (a) and (b) of Section 4.02.</w:t>
      </w:r>
    </w:p>
    <w:p>
      <w:pPr>
        <w:spacing w:after="0" w:line="146" w:lineRule="exact"/>
        <w:rPr>
          <w:rFonts w:ascii="Arial" w:cs="Arial" w:eastAsia="Arial" w:hAnsi="Arial"/>
          <w:sz w:val="17"/>
          <w:szCs w:val="17"/>
          <w:color w:val="auto"/>
        </w:rPr>
      </w:pPr>
    </w:p>
    <w:p>
      <w:pPr>
        <w:ind w:left="660" w:right="20" w:firstLine="645"/>
        <w:spacing w:after="0" w:line="342" w:lineRule="auto"/>
        <w:tabs>
          <w:tab w:leader="none" w:pos="1598"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Administrative Agent shall have received all fees and other amounts due and payable on or prior to the Effective Date, including, to the extent invoiced, reimbursement or payment of all out-of-pocket expenses required to be reimbursed or paid by the Company hereunder.</w:t>
      </w:r>
    </w:p>
    <w:p>
      <w:pPr>
        <w:spacing w:after="0" w:line="123" w:lineRule="exact"/>
        <w:rPr>
          <w:rFonts w:ascii="Arial" w:cs="Arial" w:eastAsia="Arial" w:hAnsi="Arial"/>
          <w:sz w:val="16"/>
          <w:szCs w:val="16"/>
          <w:color w:val="auto"/>
        </w:rPr>
      </w:pPr>
    </w:p>
    <w:p>
      <w:pPr>
        <w:jc w:val="both"/>
        <w:ind w:left="660" w:firstLine="645"/>
        <w:spacing w:after="0" w:line="264" w:lineRule="auto"/>
        <w:tabs>
          <w:tab w:leader="none" w:pos="161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reasonably satisfactory to it that all governmental and third party approvals necessary or, in the discretion of the Administrative Agent, advisable in connection with the Transactions have been obtained and are in full force and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shall notify the Company and the Lenders of the Effective Date, and such notice shall be conclusive and binding.</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and of the Issuing Banks to issue, amend, renew or extend any Letter of Credit, is subject to the satisfaction of the following conditions:</w:t>
      </w:r>
    </w:p>
    <w:p>
      <w:pPr>
        <w:spacing w:after="0" w:line="170" w:lineRule="exact"/>
        <w:rPr>
          <w:sz w:val="20"/>
          <w:szCs w:val="20"/>
          <w:color w:val="auto"/>
        </w:rPr>
      </w:pPr>
    </w:p>
    <w:p>
      <w:pPr>
        <w:ind w:left="660" w:firstLine="645"/>
        <w:spacing w:after="0" w:line="277" w:lineRule="auto"/>
        <w:tabs>
          <w:tab w:leader="none" w:pos="161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Borrowers set forth in this Agreement shall be true and correct on and as of the date of such Borrowing or the date of issuance, amendment, renewal or extension of such Letter of Credit, as applicable.</w:t>
      </w:r>
    </w:p>
    <w:p>
      <w:pPr>
        <w:spacing w:after="0" w:line="170" w:lineRule="exact"/>
        <w:rPr>
          <w:rFonts w:ascii="Arial" w:cs="Arial" w:eastAsia="Arial" w:hAnsi="Arial"/>
          <w:sz w:val="18"/>
          <w:szCs w:val="18"/>
          <w:color w:val="auto"/>
        </w:rPr>
      </w:pPr>
    </w:p>
    <w:p>
      <w:pPr>
        <w:ind w:left="660" w:firstLine="645"/>
        <w:spacing w:after="0" w:line="277" w:lineRule="auto"/>
        <w:tabs>
          <w:tab w:leader="none" w:pos="1622"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applicable, no Default shall have occurred and be continuing.</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614"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law or regulation shall prohibit, and no order, judgment or decree of any Governmental Authority shall enjoin, prohibit or restrain, any Lender from making the requested Loan or any Issuing Bank or any Lender from issuing, renewing, extending or increasing the face amount of or participating in the Letter of Credit requested to be issued, renewed, extended or increased.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Borrowing and each issuance, amendment, renewal or extension of a Letter of Credit shall be deemed to constitute a representation and warranty by the Borrowers on the date thereof as to the matters specified in paragraphs (a) and (b) of this Section.</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Designation of a Foreign Subsidiary Borrower</w:t>
      </w:r>
      <w:r>
        <w:rPr>
          <w:rFonts w:ascii="Arial" w:cs="Arial" w:eastAsia="Arial" w:hAnsi="Arial"/>
          <w:sz w:val="18"/>
          <w:szCs w:val="18"/>
          <w:color w:val="auto"/>
        </w:rPr>
        <w:t>. The designation of a Foreign Subsidiary Borrower pursuant to Section 2.23 is subject to the condition precedent that the Company or such proposed Foreign Subsidiary Borrower shall have furnished or caused to be furnished to the Administrative Agent: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0" w:name="page151"/>
    <w:bookmarkEnd w:id="150"/>
    <w:p>
      <w:pPr>
        <w:jc w:val="both"/>
        <w:ind w:left="660" w:firstLine="645"/>
        <w:spacing w:after="0" w:line="279" w:lineRule="auto"/>
        <w:tabs>
          <w:tab w:leader="none" w:pos="1625"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Copies, certified by the Secretary or Assistant Secretary of such Subsidiary, of its Board of Directors’ resolutions (and resolutions of other bodies, if any are deemed necessary by counsel for the Administrative Agent) approving the Borrowing Subsidiary Agreement and any other Loan Documents to which such Subsidiary is becoming a party and such documents and certificates as the Administrative Agent or its counsel may reasonably request relating to the organization, existence and, if applicable, good standing of such Subsidiary;</w:t>
      </w:r>
    </w:p>
    <w:p>
      <w:pPr>
        <w:spacing w:after="0" w:line="171" w:lineRule="exact"/>
        <w:rPr>
          <w:rFonts w:ascii="Arial" w:cs="Arial" w:eastAsia="Arial" w:hAnsi="Arial"/>
          <w:sz w:val="17"/>
          <w:szCs w:val="17"/>
          <w:color w:val="auto"/>
        </w:rPr>
      </w:pPr>
    </w:p>
    <w:p>
      <w:pPr>
        <w:jc w:val="both"/>
        <w:ind w:left="660" w:firstLine="645"/>
        <w:spacing w:after="0" w:line="279" w:lineRule="auto"/>
        <w:tabs>
          <w:tab w:leader="none" w:pos="1622"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 incumbency certificate, executed by the Secretary or Assistant Secretary of such Subsidiary, which shall identify by name and title and bear the signature of the officers of such Subsidiary authorized to request Borrowings hereunder and sign the Borrowing Subsidiary Agreement and the other Loan Documents to which such Subsidiary is becoming a party, upon which certificate the Administrative Agent and the Lenders shall be entitled to rely until informed of any change in writing by the Company or such Subsidiary;</w:t>
      </w:r>
    </w:p>
    <w:p>
      <w:pPr>
        <w:spacing w:after="0" w:line="171" w:lineRule="exact"/>
        <w:rPr>
          <w:rFonts w:ascii="Arial" w:cs="Arial" w:eastAsia="Arial" w:hAnsi="Arial"/>
          <w:sz w:val="17"/>
          <w:szCs w:val="17"/>
          <w:color w:val="auto"/>
        </w:rPr>
      </w:pPr>
    </w:p>
    <w:p>
      <w:pPr>
        <w:jc w:val="both"/>
        <w:ind w:left="660" w:firstLine="645"/>
        <w:spacing w:after="0" w:line="264" w:lineRule="auto"/>
        <w:tabs>
          <w:tab w:leader="none" w:pos="1603" w:val="left"/>
        </w:tabs>
        <w:numPr>
          <w:ilvl w:val="0"/>
          <w:numId w:val="94"/>
        </w:numPr>
        <w:rPr>
          <w:rFonts w:ascii="Arial" w:cs="Arial" w:eastAsia="Arial" w:hAnsi="Arial"/>
          <w:sz w:val="18"/>
          <w:szCs w:val="18"/>
          <w:color w:val="auto"/>
        </w:rPr>
      </w:pPr>
      <w:r>
        <w:rPr>
          <w:rFonts w:ascii="Arial" w:cs="Arial" w:eastAsia="Arial" w:hAnsi="Arial"/>
          <w:sz w:val="18"/>
          <w:szCs w:val="18"/>
          <w:color w:val="auto"/>
        </w:rPr>
        <w:t>Opinions of counsel to such Subsidiary, in form and substance reasonably satisfactory to the Administrative Agent and its counsel, with respect to the laws of its jurisdiction of organization and such other matters as are reasonably requested by counsel to the Administrative Agent and addressed to the Administrative Agent and the Lenders; and</w:t>
      </w:r>
    </w:p>
    <w:p>
      <w:pPr>
        <w:spacing w:after="0" w:line="181" w:lineRule="exact"/>
        <w:rPr>
          <w:rFonts w:ascii="Arial" w:cs="Arial" w:eastAsia="Arial" w:hAnsi="Arial"/>
          <w:sz w:val="18"/>
          <w:szCs w:val="18"/>
          <w:color w:val="auto"/>
        </w:rPr>
      </w:pPr>
    </w:p>
    <w:p>
      <w:pPr>
        <w:ind w:left="1620" w:hanging="315"/>
        <w:spacing w:after="0"/>
        <w:tabs>
          <w:tab w:leader="none" w:pos="16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promissory notes requested by any Lender, and any other instruments and documents reasonably requested by the Administrative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Letters of Credit shall have expired or terminated and all LC Disbursements shall have been reimbursed, the Company covenants and agrees with the Lenders that: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The Company will furnish to the Administrative Agent for distribution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each Lender:</w:t>
      </w:r>
    </w:p>
    <w:p>
      <w:pPr>
        <w:spacing w:after="0" w:line="211" w:lineRule="exact"/>
        <w:rPr>
          <w:sz w:val="20"/>
          <w:szCs w:val="20"/>
          <w:color w:val="auto"/>
        </w:rPr>
      </w:pPr>
    </w:p>
    <w:p>
      <w:pPr>
        <w:jc w:val="both"/>
        <w:ind w:left="660" w:firstLine="645"/>
        <w:spacing w:after="0" w:line="293" w:lineRule="auto"/>
        <w:tabs>
          <w:tab w:leader="none" w:pos="1619" w:val="left"/>
        </w:tabs>
        <w:numPr>
          <w:ilvl w:val="0"/>
          <w:numId w:val="95"/>
        </w:numPr>
        <w:rPr>
          <w:rFonts w:ascii="Arial" w:cs="Arial" w:eastAsia="Arial" w:hAnsi="Arial"/>
          <w:sz w:val="16"/>
          <w:szCs w:val="16"/>
          <w:color w:val="auto"/>
        </w:rPr>
      </w:pPr>
      <w:r>
        <w:rPr>
          <w:rFonts w:ascii="Arial" w:cs="Arial" w:eastAsia="Arial" w:hAnsi="Arial"/>
          <w:sz w:val="16"/>
          <w:szCs w:val="16"/>
          <w:color w:val="auto"/>
        </w:rPr>
        <w:t>as soon as the same is available but in any event within ninety (90) days after the end of each fiscal year of the Company, its audited consolidated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64" w:lineRule="exact"/>
        <w:rPr>
          <w:rFonts w:ascii="Arial" w:cs="Arial" w:eastAsia="Arial" w:hAnsi="Arial"/>
          <w:sz w:val="16"/>
          <w:szCs w:val="16"/>
          <w:color w:val="auto"/>
        </w:rPr>
      </w:pPr>
    </w:p>
    <w:p>
      <w:pPr>
        <w:jc w:val="both"/>
        <w:ind w:left="660" w:firstLine="645"/>
        <w:spacing w:after="0" w:line="293" w:lineRule="auto"/>
        <w:tabs>
          <w:tab w:leader="none" w:pos="1612" w:val="left"/>
        </w:tabs>
        <w:numPr>
          <w:ilvl w:val="0"/>
          <w:numId w:val="95"/>
        </w:numPr>
        <w:rPr>
          <w:rFonts w:ascii="Arial" w:cs="Arial" w:eastAsia="Arial" w:hAnsi="Arial"/>
          <w:sz w:val="16"/>
          <w:szCs w:val="16"/>
          <w:color w:val="auto"/>
        </w:rPr>
      </w:pPr>
      <w:r>
        <w:rPr>
          <w:rFonts w:ascii="Arial" w:cs="Arial" w:eastAsia="Arial" w:hAnsi="Arial"/>
          <w:sz w:val="16"/>
          <w:szCs w:val="16"/>
          <w:color w:val="auto"/>
        </w:rPr>
        <w:t>as soon as the same is available but in any event within forty five (45) days after the end of each of the first three fiscal quarters of each fiscal year of the Company,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1" w:name="page152"/>
    <w:bookmarkEnd w:id="151"/>
    <w:p>
      <w:pPr>
        <w:ind w:left="1600" w:hanging="295"/>
        <w:spacing w:after="0"/>
        <w:tabs>
          <w:tab w:leader="none" w:pos="16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concurrently with any delivery of financial statements under clause (a) or (b) above, a certificate of a Financial Officer of the Company</w:t>
      </w:r>
    </w:p>
    <w:p>
      <w:pPr>
        <w:spacing w:after="0" w:line="46" w:lineRule="exact"/>
        <w:rPr>
          <w:rFonts w:ascii="Arial" w:cs="Arial" w:eastAsia="Arial" w:hAnsi="Arial"/>
          <w:sz w:val="16"/>
          <w:szCs w:val="16"/>
          <w:color w:val="auto"/>
        </w:rPr>
      </w:pPr>
    </w:p>
    <w:p>
      <w:pPr>
        <w:jc w:val="both"/>
        <w:ind w:left="660" w:hanging="4"/>
        <w:spacing w:after="0" w:line="295" w:lineRule="auto"/>
        <w:tabs>
          <w:tab w:leader="none" w:pos="883" w:val="left"/>
        </w:tabs>
        <w:numPr>
          <w:ilvl w:val="0"/>
          <w:numId w:val="97"/>
        </w:numPr>
        <w:rPr>
          <w:rFonts w:ascii="Arial" w:cs="Arial" w:eastAsia="Arial" w:hAnsi="Arial"/>
          <w:sz w:val="16"/>
          <w:szCs w:val="16"/>
          <w:color w:val="auto"/>
        </w:rPr>
      </w:pPr>
      <w:r>
        <w:rPr>
          <w:rFonts w:ascii="Arial" w:cs="Arial" w:eastAsia="Arial" w:hAnsi="Arial"/>
          <w:sz w:val="16"/>
          <w:szCs w:val="16"/>
          <w:color w:val="auto"/>
        </w:rPr>
        <w:t>certifying as to whether a Default has occurred and, if a Default has occurred, specifying the details thereof and any action taken or proposed to be taken with respect thereto, (ii) setting forth reasonably detailed calculations demonstrating compliance with Section 6.11 and (iii)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61" w:lineRule="exact"/>
        <w:rPr>
          <w:rFonts w:ascii="Arial" w:cs="Arial" w:eastAsia="Arial" w:hAnsi="Arial"/>
          <w:sz w:val="16"/>
          <w:szCs w:val="16"/>
          <w:color w:val="auto"/>
        </w:rPr>
      </w:pPr>
    </w:p>
    <w:p>
      <w:pPr>
        <w:ind w:left="660" w:firstLine="645"/>
        <w:spacing w:after="0" w:line="277" w:lineRule="auto"/>
        <w:tabs>
          <w:tab w:leader="none" w:pos="1611" w:val="left"/>
        </w:tabs>
        <w:numPr>
          <w:ilvl w:val="1"/>
          <w:numId w:val="97"/>
        </w:numPr>
        <w:rPr>
          <w:rFonts w:ascii="Arial" w:cs="Arial" w:eastAsia="Arial" w:hAnsi="Arial"/>
          <w:sz w:val="18"/>
          <w:szCs w:val="18"/>
          <w:color w:val="auto"/>
        </w:rPr>
      </w:pPr>
      <w:r>
        <w:rPr>
          <w:rFonts w:ascii="Arial" w:cs="Arial" w:eastAsia="Arial" w:hAnsi="Arial"/>
          <w:sz w:val="18"/>
          <w:szCs w:val="18"/>
          <w:color w:val="auto"/>
        </w:rPr>
        <w:t>within 75 days of the commencement of each fiscal year of the Company, projected consolidated balance sheets, income statements and cash flow statements of the Company and its consolidated Subsidiaries for such fiscal year;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616" w:val="left"/>
        </w:tabs>
        <w:numPr>
          <w:ilvl w:val="1"/>
          <w:numId w:val="97"/>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10-Ks, 10-Qs and 8-Ks filed by the Company or any Subsidiary with the SEC, or any Governmental Authority succeeding to any or all of the functions of the SEC, or with any national securities exchange, or distributed by the Company to its shareholders generally, as the case may be; and</w:t>
      </w:r>
    </w:p>
    <w:p>
      <w:pPr>
        <w:spacing w:after="0" w:line="181" w:lineRule="exact"/>
        <w:rPr>
          <w:rFonts w:ascii="Arial" w:cs="Arial" w:eastAsia="Arial" w:hAnsi="Arial"/>
          <w:sz w:val="18"/>
          <w:szCs w:val="18"/>
          <w:color w:val="auto"/>
        </w:rPr>
      </w:pPr>
    </w:p>
    <w:p>
      <w:pPr>
        <w:ind w:left="660" w:firstLine="645"/>
        <w:spacing w:after="0" w:line="342" w:lineRule="auto"/>
        <w:tabs>
          <w:tab w:leader="none" w:pos="1585" w:val="left"/>
        </w:tabs>
        <w:numPr>
          <w:ilvl w:val="1"/>
          <w:numId w:val="97"/>
        </w:numPr>
        <w:rPr>
          <w:rFonts w:ascii="Arial" w:cs="Arial" w:eastAsia="Arial" w:hAnsi="Arial"/>
          <w:sz w:val="16"/>
          <w:szCs w:val="16"/>
          <w:color w:val="auto"/>
        </w:rPr>
      </w:pPr>
      <w:r>
        <w:rPr>
          <w:rFonts w:ascii="Arial" w:cs="Arial" w:eastAsia="Arial" w:hAnsi="Arial"/>
          <w:sz w:val="16"/>
          <w:szCs w:val="16"/>
          <w:color w:val="auto"/>
        </w:rPr>
        <w:t>promptly following any request therefor, such other information regarding the operations, business affairs and financial condition of the Company or any Subsidiary, or compliance with the terms of this Agreement, as the Administrative Agent or any Lender may reasonably request.</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Documents required to be delivered pursuant to clauses (a), (b) or (e) of this Section 5.01 may be delivered electronically and if so delivered, shall be deemed to have been delivered on the date (i) on which the Company posts such documents, or provides a link thereto on the Company’s website on the Internet at the website address &lt;www.photronics.com&gt;; (ii) on which such documents are posted on the Company’s behalf on IntraLinks™ or a substantially similar electronic platform, if any, to which each Lender and the Administrative Agent have access (whether a commercial, third-party website or whether sponsored by the Administrative Agent); or (iii) on which such documents are filed for public availability on the SEC’s Electronic Data Gathering and Retrieval System;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notify (which may be by facsimile or electronic mail) the Administrative Agent of the posting of any such documents and provide to the Administrative Agent by electronic mail electronic versions (i.e., soft copies) of such documents. Notwithstanding anything contained herein, in every instance the Company shall be required to provide paper or electronic copies of the compliance certificates required by clause (c) of this Section 5.01 to the Administrative Agent.</w:t>
      </w:r>
    </w:p>
    <w:p>
      <w:pPr>
        <w:spacing w:after="0" w:line="209" w:lineRule="exact"/>
        <w:rPr>
          <w:sz w:val="20"/>
          <w:szCs w:val="20"/>
          <w:color w:val="auto"/>
        </w:rPr>
      </w:pPr>
    </w:p>
    <w:p>
      <w:pPr>
        <w:ind w:left="1300"/>
        <w:spacing w:after="0"/>
        <w:tabs>
          <w:tab w:leader="none" w:pos="2640" w:val="left"/>
          <w:tab w:leader="none" w:pos="49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 will furnish to the Administrative Agent prompt written notice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occurrence of any Default;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2" w:name="page153"/>
    <w:bookmarkEnd w:id="152"/>
    <w:p>
      <w:pPr>
        <w:ind w:left="660" w:firstLine="645"/>
        <w:spacing w:after="0" w:line="342" w:lineRule="auto"/>
        <w:tabs>
          <w:tab w:leader="none" w:pos="1609"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filing or commencement of any action, suit or proceeding by or before any arbitrator or Governmental Authority against or affecting the Company or any Affiliate thereof that, if adversely determined, could reasonably be expected to result in a Material Adverse Effect;</w:t>
      </w:r>
    </w:p>
    <w:p>
      <w:pPr>
        <w:spacing w:after="0" w:line="123" w:lineRule="exact"/>
        <w:rPr>
          <w:rFonts w:ascii="Arial" w:cs="Arial" w:eastAsia="Arial" w:hAnsi="Arial"/>
          <w:sz w:val="16"/>
          <w:szCs w:val="16"/>
          <w:color w:val="auto"/>
        </w:rPr>
      </w:pPr>
    </w:p>
    <w:p>
      <w:pPr>
        <w:ind w:left="660" w:firstLine="645"/>
        <w:spacing w:after="0" w:line="277" w:lineRule="auto"/>
        <w:tabs>
          <w:tab w:leader="none" w:pos="16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a Material Adverse Effect; and</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7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xml:space="preserve">. The Company will, and will cause each of its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any merger, consolidation, liquidation or dissolution permitted under Section 6.03.</w:t>
      </w:r>
    </w:p>
    <w:p>
      <w:pPr>
        <w:spacing w:after="0" w:line="14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The Company will, and will cause each of its Subsidiaries to, pay its obligations, including Tax liabilities, that, if not paid, could result in a Material Adverse Effect before the same shall become delinquent or in default,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could not reasonably be expected to result in a Material Adverse Effect.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Maintenance of Properties; Insurance</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55" w:lineRule="auto"/>
        <w:tabs>
          <w:tab w:leader="none" w:pos="158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will, and will cause each of its Subsidiaries to, (i) keep and maintain all property material to the conduct of its business in good working order and condition, ordinary wear and tear excepted, and (ii) maintain with financially sound and reputable carriers (1)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(2) all insurance required pursuant to the Collateral Documents. The Company will furnish to the Lenders, upon request of the Collateral Agent, information in reasonable detail as to the insurance so maintained.</w:t>
      </w:r>
    </w:p>
    <w:p>
      <w:pPr>
        <w:spacing w:after="0" w:line="189" w:lineRule="exact"/>
        <w:rPr>
          <w:rFonts w:ascii="Arial" w:cs="Arial" w:eastAsia="Arial" w:hAnsi="Arial"/>
          <w:sz w:val="18"/>
          <w:szCs w:val="18"/>
          <w:color w:val="auto"/>
        </w:rPr>
      </w:pPr>
    </w:p>
    <w:p>
      <w:pPr>
        <w:jc w:val="both"/>
        <w:ind w:firstLine="1305"/>
        <w:spacing w:after="0" w:line="287" w:lineRule="auto"/>
        <w:tabs>
          <w:tab w:leader="none" w:pos="1611"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shall deliver to the Collateral Agent endorsements (x) to all “All Risk” physical damage insurance policies on the Loan Parties’ tangible personal property and assets located in the United States of America and business interruption insurance policies naming the Collateral Agent as lender loss payee, and (y) to all general liability and other liability policies naming the Collateral Agent an additional insured. Each policy for liability insurance shall provide for all losses to be paid on behalf of the Collateral Agent and the Company or its Subsidiaries as their interests may appear. In the event the Company or any of its Subsidiaries at any time or times hereafter shall fail to obtain or maintain any of the policies or insurance required herein or to pay any premium in whole or in part relating thereto, then the Collateral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Collateral Agent deems advisable. All sums so disbursed by the Collateral Agent shall constitute part of the Secured Obligations, payable as provided in this Agreement. The Company will furnish to the Collateral Agent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3" w:name="page154"/>
    <w:bookmarkEnd w:id="153"/>
    <w:p>
      <w:pPr>
        <w:jc w:val="both"/>
        <w:ind w:firstLine="1305"/>
        <w:spacing w:after="0" w:line="264" w:lineRule="auto"/>
        <w:tabs>
          <w:tab w:leader="none" w:pos="163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all insurance payments received by the Collateral Agent in connection with any loss, damage or destruction of any property of the Company or any of its Subsidiaries will be released by the Collateral Agent to the applicable Company or such Subsidiary for the repair, replacement or restoration thereof.</w:t>
      </w:r>
    </w:p>
    <w:p>
      <w:pPr>
        <w:spacing w:after="0" w:line="18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The Company will, and will cause each of its Subsidiaries to, keep proper books of record and account in which entries that are full, true and correct in all material respects are made of all dealings and transactions in relation to its business and activities. The Company will, and will cause each of its Subsidiaries to, permit any representatives designated by the Administrative Agent or any Lender, upon reasonable prior notice, to visit and inspect its properties, to examine and make extracts from its relevant books and records, including environmental assessment reports and Phase I or Phase II studies, and to discuss its affairs, finances and condition with its officers and independent accountants, all at such reasonable times and as often as reasonably requested. The Company acknowledges that the Administrative Agent, after exercising its rights of inspection, may prepare and distribute to the Lenders certain reports pertaining to the Company and its Subsidiaries’ assets for internal use by the Administrative Agent and the Lenders.</w:t>
      </w:r>
    </w:p>
    <w:p>
      <w:pPr>
        <w:spacing w:after="0" w:line="19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 and Material Contractual Obligations</w:t>
      </w:r>
      <w:r>
        <w:rPr>
          <w:rFonts w:ascii="Arial" w:cs="Arial" w:eastAsia="Arial" w:hAnsi="Arial"/>
          <w:sz w:val="18"/>
          <w:szCs w:val="18"/>
          <w:color w:val="auto"/>
        </w:rPr>
        <w:t>. The Company will, and will cause each of its Subsidiaries to, (i) comply with all laws, rules, regulations and orders of any Governmental Authority applicable to it or its property (including without limitation Environmental Laws) and (ii) perform in all material respects its obligations under material agreements to which it is a party, in each case except where the failure to do so, individually or in the aggregate, could not reasonably be expected to result in a Material Adverse Effect. The Company will maintain in effect and enforce policies and procedures designed to ensure compliance in all material respects by the Company, its Subsidiaries and their respective directors, officers, employees and agents with Anti-Corruption Laws and applicable Sanctions.</w:t>
      </w:r>
    </w:p>
    <w:p>
      <w:pPr>
        <w:spacing w:after="0" w:line="19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will be used only to repay certain existing Indebtedness, finance the working capital needs, and for general corporate purposes, of the Company and its Subsidiaries in the ordinary course of business. No part of the proceeds of any Loan will be used, whether directly or indirectly, for any purpose that entails a violation of any of the Regulations of the Board, including Regulations T, U and X.</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Subsidiary Guarantors; Pledges; Additional Collateral; Further Assurances</w:t>
      </w:r>
    </w:p>
    <w:p>
      <w:pPr>
        <w:spacing w:after="0" w:line="225" w:lineRule="exact"/>
        <w:rPr>
          <w:sz w:val="20"/>
          <w:szCs w:val="20"/>
          <w:color w:val="auto"/>
        </w:rPr>
      </w:pPr>
    </w:p>
    <w:p>
      <w:pPr>
        <w:jc w:val="both"/>
        <w:ind w:firstLine="1305"/>
        <w:spacing w:after="0" w:line="271" w:lineRule="auto"/>
        <w:tabs>
          <w:tab w:leader="none" w:pos="160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As promptly as possible but in any event within forty-five (45) days (or such later date as may be agreed upon by the Administrative Agent) after any Person becomes a Subsidiary or any Subsidiary qualifies independently as, or is designated by the Company or the Administrative Agent as, a Subsidiary Guarantor pursuant to the definition of “Subsidiary Guarantor”, the Company shall provide the Administrative Agent with written notice thereof setting forth information in reasonable detail describing the earnings and material assets of such Person and shall cause each such Subsidiary which also qualifies as a Subsidiary Guarantor to deliver to the Administrative Agent a joinder to the Subsidiary Guaranty and the Security Agreement (in each case in the form contemplated thereby) pursuant to which such Subsidiary agrees to be bound by the terms and provisions of thereof, such Subsidiary Guaranty to be accompanied by appropriate corporate resolutions, other corporate documentation and legal and joinder opinions in form and substance reasonably satisfactory to the Administrative Agent and its counsel.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4" w:name="page155"/>
    <w:bookmarkEnd w:id="154"/>
    <w:p>
      <w:pPr>
        <w:jc w:val="both"/>
        <w:ind w:firstLine="1305"/>
        <w:spacing w:after="0" w:line="285" w:lineRule="auto"/>
        <w:tabs>
          <w:tab w:leader="none" w:pos="162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The Company will cause, and will cause each other Subsidiary qualifying as a Loan Party to cause, within the time periods set forth below with respect to real property, all of its owned property (whether real, personal, tangible, intangible, or mixed) to be subject at all times to first priority and perfected (subject in each case to the qualifications specified in Section 3.15 with respect to priority and perfection) Liens in favor of the Collateral Agent for the benefit of the Holders of Secured Obligations to secure the Secured Obligations in accordance with the terms and conditions of the Collateral Documents (including amendments, restatements, supplements or other modifications to the Collateral Documents in effect prior to the Effective Date, in each case to the extent, and within such time period, as is reasonably requested by the Collateral Agent), subject in any case to Liens permitted by Section 6.02. Without limiting the generality of the foregoing, the Company (i) will cause the Applicable Pledge Percentage of the issued and outstanding Equity Interests of each Pledge Subsidiary directly owned by the Company or any other Subsidiary qualifying as a Loan Party to be subject at all times to a first priority and perfected (subject in each case to the qualifications specified in Section 3.15 with respect to priority and perfection) Lien in favor of the Collateral Agent to secure the Secured Obligations in accordance with the terms and conditions of the Collateral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of the Equity Interests of, or provision of Collateral by, a Foreign Subsidiary shall be required hereunder to the extent such pledge or Collateral would create a Deemed Dividend Problem, is prohibited by applicable law or the Collateral Agent and its counsel reasonably determine that, in light of the cost and expense associated therewith, such pledge or Collateral would be unduly burdensome or not provide material Pledged Equity or Collateral for the benefit of the Holders of Secured Obligations pursuant to legally binding, valid and enforceable Pledge Agreements, and (ii) will, and will cause each other Subsidiary qualifying as a Loan Party to, deliver amendments, restatements, supplements or other modifications to the Mortgages, Mortgage Instruments and foreign law governed Pledge Agreements existing on the Effective Date, in each case to the extent, and within such time period as is, reasonably required by the Collateral Agent. Notwithstanding the foregoing, no new foreign law governed Pledge Agreements, Mortgages and Mortgage Instruments, and no amendments, restatements, supplements or other modifications to Mortgages, Mortgage Instruments and foreign law governed Pledge Agreements existing on the Effective Date, in each case are required to be delivered hereunder until the date that is sixty (60) days after the Effective Date or such later date as the Collateral Agent may agree in the exercise of its reasonable discretion with respect thereto.</w:t>
      </w:r>
    </w:p>
    <w:p>
      <w:pPr>
        <w:spacing w:after="0" w:line="168" w:lineRule="exact"/>
        <w:rPr>
          <w:rFonts w:ascii="Arial" w:cs="Arial" w:eastAsia="Arial" w:hAnsi="Arial"/>
          <w:sz w:val="16"/>
          <w:szCs w:val="16"/>
          <w:color w:val="auto"/>
        </w:rPr>
      </w:pPr>
    </w:p>
    <w:p>
      <w:pPr>
        <w:jc w:val="both"/>
        <w:ind w:firstLine="1305"/>
        <w:spacing w:after="0" w:line="273" w:lineRule="auto"/>
        <w:tabs>
          <w:tab w:leader="none" w:pos="1602"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Without limiting the foregoing, the Company will, and will cause each Subsidiary to, execute and deliver, or cause to be executed and delivered, to the Collateral Agent such documents, agreements and instruments, and will take or cause to be taken such further actions (including the filing and recording of financing statements, fixture filings, Mortgages, Mortgage Instruments, deeds of trust and other documents and such other actions or deliveries of the type required by Section 4.01, as applicable), which may be required by law or which the Collateral Agent may, from time to time, reasonably request to carry out the terms and conditions of this Agreement and the other Loan Documents and to ensure perfection and priority of the Liens created or intended to be created by the Collateral Documents, all at the expense of the Company.</w:t>
      </w:r>
    </w:p>
    <w:p>
      <w:pPr>
        <w:spacing w:after="0" w:line="178" w:lineRule="exact"/>
        <w:rPr>
          <w:rFonts w:ascii="Arial" w:cs="Arial" w:eastAsia="Arial" w:hAnsi="Arial"/>
          <w:sz w:val="17"/>
          <w:szCs w:val="17"/>
          <w:color w:val="auto"/>
        </w:rPr>
      </w:pPr>
    </w:p>
    <w:p>
      <w:pPr>
        <w:jc w:val="both"/>
        <w:ind w:firstLine="1305"/>
        <w:spacing w:after="0" w:line="276" w:lineRule="auto"/>
        <w:tabs>
          <w:tab w:leader="none" w:pos="161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any real property or improvements thereto or any interests therein are acquired by a Loan Party after the Effective Date (other than assets already constituting Collateral under the Security Agreement or any Mortgage), the Company will notify the Collateral Agent thereof, and, if requested by the Collateral Agent, the Company will cause such assets to be subjected to a Lien securing the Secured Obligations and will take, and cause the other Loan Parties to take, such actions as shall be necessary or reasonably requested by the Collateral Agent to grant and perfect such Liens, including actions described in paragraph (c) of this Section, all at the expense of the Company.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5" w:name="page156"/>
    <w:bookmarkEnd w:id="155"/>
    <w:p>
      <w:pPr>
        <w:jc w:val="both"/>
        <w:ind w:firstLine="1297"/>
        <w:spacing w:after="0" w:line="272"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Depository Banks</w:t>
      </w:r>
      <w:r>
        <w:rPr>
          <w:rFonts w:ascii="Arial" w:cs="Arial" w:eastAsia="Arial" w:hAnsi="Arial"/>
          <w:sz w:val="17"/>
          <w:szCs w:val="17"/>
          <w:color w:val="auto"/>
        </w:rPr>
        <w:t>. The Company and each Subsidiary will maintain one or more of the Lenders (or their subsidiaries or affiliates) as its principal depository bank for the bank accounts it maintains in the United States of America and the United Kingdom, including for the maintenance of operating, administrative, cash management, collection activity, and other deposit accounts for the conduct of its business, in each case so long as the Lenders or their subsidiaries or affiliates provide the applicable depository services in the applicable jurisdiction. In the event that any Lender ceases to be a Lender hereunder, the Company and its applicable Subsidiaries shall have 30 days, or such longer period as may be agreed by the Collateral Agent in its reasonable discretion, to move its accounts to one or more of the other Lenders (or their subsidiaries or affiliates) so long as the Lenders or their subsidiaries or affiliates provide the applicable depository services in the applicable jurisdiction.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Until the Commitments have expired or terminated and the principal of and interest on each Loan and all fees payable hereunder have been paid in full and all Letters of Credit have expired or terminated and all LC Disbursements shall have been reimbursed, the Company covenants and agrees with the Lenders that: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Indebtedness</w:t>
      </w:r>
      <w:r>
        <w:rPr>
          <w:rFonts w:ascii="Arial" w:cs="Arial" w:eastAsia="Arial" w:hAnsi="Arial"/>
          <w:sz w:val="16"/>
          <w:szCs w:val="16"/>
          <w:color w:val="auto"/>
        </w:rPr>
        <w:t>. The Company will not, and will not permit any Subsidiary to, create, incur, assume or permit to exist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211" w:lineRule="exact"/>
        <w:rPr>
          <w:sz w:val="20"/>
          <w:szCs w:val="20"/>
          <w:color w:val="auto"/>
        </w:rPr>
      </w:pPr>
    </w:p>
    <w:p>
      <w:pPr>
        <w:ind w:left="1600" w:hanging="295"/>
        <w:spacing w:after="0"/>
        <w:tabs>
          <w:tab w:leader="none" w:pos="16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Secured Obligations and any other Indebtedness created under the Loan Documents;</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63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subject to the limitations applicable to Purchase Money Indebtedness set forth in clause (e) below, Indebtedness existing on the date hereof and set forth in Schedule 6.01 and extensions, renewals and replacements of any such Indebtedness with Indebtedness of a similar type that does not increase the outstanding principal amount thereof;</w:t>
      </w:r>
    </w:p>
    <w:p>
      <w:pPr>
        <w:spacing w:after="0" w:line="181" w:lineRule="exact"/>
        <w:rPr>
          <w:rFonts w:ascii="Arial" w:cs="Arial" w:eastAsia="Arial" w:hAnsi="Arial"/>
          <w:sz w:val="18"/>
          <w:szCs w:val="18"/>
          <w:color w:val="auto"/>
        </w:rPr>
      </w:pPr>
    </w:p>
    <w:p>
      <w:pPr>
        <w:ind w:left="660" w:firstLine="645"/>
        <w:spacing w:after="0" w:line="342" w:lineRule="auto"/>
        <w:tabs>
          <w:tab w:leader="none" w:pos="160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Indebtedness of (i) any Loan Party to any other Loan Party, (ii) any Subsidiary to any Loan Party, (iii) any Subsidiary that is not a Loan Party to any other Subsidiary that is not a Loan Party and (iv) subject to Section 6.04(d), any Loan Party to any Subsidiary that is not a Loan Party;</w:t>
      </w:r>
    </w:p>
    <w:p>
      <w:pPr>
        <w:spacing w:after="0" w:line="123" w:lineRule="exact"/>
        <w:rPr>
          <w:rFonts w:ascii="Arial" w:cs="Arial" w:eastAsia="Arial" w:hAnsi="Arial"/>
          <w:sz w:val="16"/>
          <w:szCs w:val="16"/>
          <w:color w:val="auto"/>
        </w:rPr>
      </w:pPr>
    </w:p>
    <w:p>
      <w:pPr>
        <w:ind w:left="1640" w:hanging="335"/>
        <w:spacing w:after="0"/>
        <w:tabs>
          <w:tab w:leader="none" w:pos="16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Guarantees by the Company of Indebtedness of any Subsidiary and by any Subsidiary of Indebtedness of the Company or any other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210" w:lineRule="exact"/>
        <w:rPr>
          <w:rFonts w:ascii="Arial" w:cs="Arial" w:eastAsia="Arial" w:hAnsi="Arial"/>
          <w:sz w:val="16"/>
          <w:szCs w:val="16"/>
          <w:color w:val="auto"/>
        </w:rPr>
      </w:pPr>
    </w:p>
    <w:p>
      <w:pPr>
        <w:jc w:val="both"/>
        <w:ind w:left="660" w:firstLine="645"/>
        <w:spacing w:after="0" w:line="290" w:lineRule="auto"/>
        <w:tabs>
          <w:tab w:leader="none" w:pos="160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Indebtedness of the Company or any Subsidiary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(collectively, “</w:t>
      </w:r>
      <w:r>
        <w:rPr>
          <w:rFonts w:ascii="Arial" w:cs="Arial" w:eastAsia="Arial" w:hAnsi="Arial"/>
          <w:sz w:val="16"/>
          <w:szCs w:val="16"/>
          <w:u w:val="single" w:color="auto"/>
          <w:color w:val="auto"/>
        </w:rPr>
        <w:t>Purchase Money Indebtedness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Purchase Money Indebtedness is (or, in the case of any extension, renewal or replacement, originally was) incurred prior to or within 90 days after such acquisition or the completion of such construction or improvement and (ii) the aggregate outstanding principal amount of Purchase Money Indebtedness permitted by this clause (e), when aggregated with the aggregate outstanding principal amount of Purchase Money Indebtedness permitted under Section 6.01(b) and other Purchase Money Indebtedness outstanding on the Effective Date, shall not exceed $125,000,000 at any time outstanding;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6" w:name="page157"/>
    <w:bookmarkEnd w:id="156"/>
    <w:p>
      <w:pPr>
        <w:jc w:val="both"/>
        <w:ind w:left="660" w:firstLine="645"/>
        <w:spacing w:after="0" w:line="264" w:lineRule="auto"/>
        <w:tabs>
          <w:tab w:leader="none" w:pos="157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Subordinated Indebtedness so long as, after giving effect to the incurrence thereof, no Default shall have occurred and be continuing and the Borrowers shall be in compliance, on a pro forma basis after giving effect to such incurrence, with the covenants contained in Section 6.11 recomputed as if such incurrence had occurred on the first day of the period for testing such compliance;</w:t>
      </w:r>
    </w:p>
    <w:p>
      <w:pPr>
        <w:spacing w:after="0" w:line="181" w:lineRule="exact"/>
        <w:rPr>
          <w:rFonts w:ascii="Arial" w:cs="Arial" w:eastAsia="Arial" w:hAnsi="Arial"/>
          <w:sz w:val="18"/>
          <w:szCs w:val="18"/>
          <w:color w:val="auto"/>
        </w:rPr>
      </w:pPr>
    </w:p>
    <w:p>
      <w:pPr>
        <w:ind w:left="1600" w:hanging="295"/>
        <w:spacing w:after="0"/>
        <w:tabs>
          <w:tab w:leader="none" w:pos="1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Indebtedness of the Company or any Subsidiary as an account party in respect of trade letters of credit;</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167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Indebtedness of the Company or any Subsidiary under any Swap Agreement otherwise permitted under Section 6.05, (ii) the Guarantee of any Loan Party of any such Indebtedness and (iii) the Guarantee of any Loan Party of the obligations of PSMC, PKL or any of their respective subsidiaries under any Swap Agreement entered into in the ordinary course of business and, solely with respect to PSMC and its subsidiaries, so long as PSMC is a Subsidiary of the Company;</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Indebtedness of the Company or any Subsidiary as an account party in respect of trade letters of credit;</w:t>
      </w:r>
    </w:p>
    <w:p>
      <w:pPr>
        <w:spacing w:after="0" w:line="225" w:lineRule="exact"/>
        <w:rPr>
          <w:rFonts w:ascii="Arial" w:cs="Arial" w:eastAsia="Arial" w:hAnsi="Arial"/>
          <w:sz w:val="18"/>
          <w:szCs w:val="18"/>
          <w:color w:val="auto"/>
        </w:rPr>
      </w:pPr>
    </w:p>
    <w:p>
      <w:pPr>
        <w:ind w:left="660" w:firstLine="645"/>
        <w:spacing w:after="0" w:line="342" w:lineRule="auto"/>
        <w:tabs>
          <w:tab w:leader="none" w:pos="157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obligations of the Company or any Subsidiary arising out of interest rate, foreign currency, and commodity hedging agreements entered into with financial institutions in connection with bona fide hedging activities in the ordinary course of business and not for speculative purposes;</w:t>
      </w:r>
    </w:p>
    <w:p>
      <w:pPr>
        <w:spacing w:after="0" w:line="123" w:lineRule="exact"/>
        <w:rPr>
          <w:rFonts w:ascii="Arial" w:cs="Arial" w:eastAsia="Arial" w:hAnsi="Arial"/>
          <w:sz w:val="16"/>
          <w:szCs w:val="16"/>
          <w:color w:val="auto"/>
        </w:rPr>
      </w:pPr>
    </w:p>
    <w:p>
      <w:pPr>
        <w:ind w:left="1600" w:hanging="295"/>
        <w:spacing w:after="0"/>
        <w:tabs>
          <w:tab w:leader="none" w:pos="1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unsecured Indebtedness in an aggregate principal amount not exceeding $20,000,000 at any time outstanding;</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Permitted Unsecured Indebtedness of the Company; and</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Indebtedness securing a Lien permitted under Section 6.02(c).</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Company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81" w:lineRule="exact"/>
        <w:rPr>
          <w:sz w:val="20"/>
          <w:szCs w:val="20"/>
          <w:color w:val="auto"/>
        </w:rPr>
      </w:pPr>
    </w:p>
    <w:p>
      <w:pPr>
        <w:ind w:left="660" w:right="20" w:firstLine="645"/>
        <w:spacing w:after="0" w:line="277" w:lineRule="auto"/>
        <w:tabs>
          <w:tab w:leader="none" w:pos="16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Permitted Encumbrances, Liens created under any Loan Document and Liens granted by any Foreign Subsidiary (including the Taiwan JV) to the Company or any other Subsidiary;</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60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Lien on any property or asset of the Company or any Subsidiary existing on the date hereof and set forth in Schedule 6.02; provided that (i) such Lien shall not apply to any other property or asset of the Company or any Subsidiary and (ii) such Lien shall secure only those obligations which it secures on the date hereof and extensions, renewals and replacements thereof that do not increase the outstanding principal amount thereof;</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7" w:name="page158"/>
    <w:bookmarkEnd w:id="157"/>
    <w:p>
      <w:pPr>
        <w:jc w:val="both"/>
        <w:ind w:left="660" w:firstLine="645"/>
        <w:spacing w:after="0" w:line="273" w:lineRule="auto"/>
        <w:tabs>
          <w:tab w:leader="none" w:pos="159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any Lien existing on any property or asset prior to the acquisition thereof by the Company or any Subsidiary or existing on any property or asset of any Person that becomes a Subsidiary after the date hereof prior to the time such Person becomes a Subsidiary; provided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78" w:lineRule="exact"/>
        <w:rPr>
          <w:rFonts w:ascii="Arial" w:cs="Arial" w:eastAsia="Arial" w:hAnsi="Arial"/>
          <w:sz w:val="17"/>
          <w:szCs w:val="17"/>
          <w:color w:val="auto"/>
        </w:rPr>
      </w:pPr>
    </w:p>
    <w:p>
      <w:pPr>
        <w:jc w:val="both"/>
        <w:ind w:left="660" w:firstLine="645"/>
        <w:spacing w:after="0" w:line="276" w:lineRule="auto"/>
        <w:tabs>
          <w:tab w:leader="none" w:pos="163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acquired, constructed or improved by the Company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security interests secure Indebtedness permitted by clause (e) of Section 6.01, (ii) such security interests and the Indebtedness secured thereby are incurred prior to or within ninety (90) days after such acquisition or the completion of such construction or improvement, (iii) the Indebtedness secured thereby does not exceed 100% of the cost of acquiring, constructing, installing or improving such fixed or capital assets and (iv) such security interests shall not apply to any other property or assets of the Company or any Subsidiary; and</w:t>
      </w:r>
    </w:p>
    <w:p>
      <w:pPr>
        <w:spacing w:after="0" w:line="172" w:lineRule="exact"/>
        <w:rPr>
          <w:rFonts w:ascii="Arial" w:cs="Arial" w:eastAsia="Arial" w:hAnsi="Arial"/>
          <w:sz w:val="17"/>
          <w:szCs w:val="17"/>
          <w:color w:val="auto"/>
        </w:rPr>
      </w:pPr>
    </w:p>
    <w:p>
      <w:pPr>
        <w:ind w:left="1640" w:hanging="335"/>
        <w:spacing w:after="0"/>
        <w:tabs>
          <w:tab w:leader="none" w:pos="16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customary bankers’ Liens and rights of setoff arising by operation of law and incurred on deposits made in the ordinary course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10" w:lineRule="exact"/>
        <w:rPr>
          <w:rFonts w:ascii="Arial" w:cs="Arial" w:eastAsia="Arial" w:hAnsi="Arial"/>
          <w:sz w:val="17"/>
          <w:szCs w:val="17"/>
          <w:color w:val="auto"/>
        </w:rPr>
      </w:pPr>
    </w:p>
    <w:p>
      <w:pPr>
        <w:jc w:val="both"/>
        <w:ind w:left="660" w:firstLine="645"/>
        <w:spacing w:after="0" w:line="259" w:lineRule="auto"/>
        <w:tabs>
          <w:tab w:leader="none" w:pos="158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attachments, appeal bonds, judgments and other similar Liens, for sums not exceeding $1,000,000 in the aggregate arising in connection with court proceedings; provided, that the execution or other enforcement of such Liens is effectively stayed and the claims secured thereby are being contested in good faith and by appropriate proceedings and adequate reserves in respect thereof have been established on the books of the Company to the extent required by GAAP and</w:t>
      </w:r>
    </w:p>
    <w:p>
      <w:pPr>
        <w:spacing w:after="0" w:line="186" w:lineRule="exact"/>
        <w:rPr>
          <w:rFonts w:ascii="Arial" w:cs="Arial" w:eastAsia="Arial" w:hAnsi="Arial"/>
          <w:sz w:val="18"/>
          <w:szCs w:val="18"/>
          <w:color w:val="auto"/>
        </w:rPr>
      </w:pPr>
    </w:p>
    <w:p>
      <w:pPr>
        <w:ind w:left="660" w:firstLine="645"/>
        <w:spacing w:after="0" w:line="308" w:lineRule="auto"/>
        <w:tabs>
          <w:tab w:leader="none" w:pos="161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Liens on assets (not constituting Collateral) of the Company and its Subsidiaries not otherwise permitted above so long as the aggregate principal amount of the Indebtedness and other obligations subject to such Liens does not at any time exceed $2,500,000.</w:t>
      </w:r>
    </w:p>
    <w:p>
      <w:pPr>
        <w:spacing w:after="0" w:line="147"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Fundamental Changes and Asset Sales</w:t>
      </w:r>
      <w:r>
        <w:rPr>
          <w:rFonts w:ascii="Arial" w:cs="Arial" w:eastAsia="Arial" w:hAnsi="Arial"/>
          <w:sz w:val="16"/>
          <w:szCs w:val="16"/>
          <w:color w:val="auto"/>
        </w:rPr>
        <w:t xml:space="preserve">. (a) The Company will not, and will not permit any Subsidiary to, merge into or consolidate with any other Person, or permit any other Person to merge into or consolidate with it, or sell, transfer, lease or otherwise dispose of (in one transaction or in a series of transactions) any of its assets, (including pursuant to a Sale and Leaseback Transaction), or all or any of the Equity Interests of any of its Subsidiaries (in each case, whether now owned or hereafter acquired), or liquidate or dissolve, except that, if at the time thereof and immediately after giving effect thereto no Default shall have occurred and be continuing (i) any Person may merge into the Company in a transaction in which the Company is the surviving corporation, (ii) any Subsidiary may merge into a Loan Party in a transaction in which the surviving entity is such Loan Party (provided that any such merger involving the Company must result in the Company as the surviving entity), (iii) any Loan Party (other than the Company) or any Subsidiary may sell, transfer, lease or otherwise dispose of its assets to, or otherwise dissolve into, a Loan Party and (iv) the Company and its Subsidiaries may (A) sell inventory, used or surplus equipment and Permitted Investments in the ordinary course of business and real estate located in Dresden, Germany not currently used in the operation of the Company’s business, (B) effect sales, trade-ins or dispositions of used equipment for value in the ordinary course of business consistent with past practice, (C) enter into licenses of technology in the ordinary course of business. (D) enter into the Taiwan JV Transactions and (E) make any other sales, transfers, leases or dispositions of assets with an aggregate book value that, together with the aggregate book value of all other assets of the Company and its Subsidiaries previously leased, sold or disposed of as permitted by this clause (E) (1) during any fiscal year of the Company, does not exceed 7.5% of Consolidated Total Assets and (2) during the term of this Agreement, does not exceed 25% of Consolidated Total Assets (in the case of each of the foregoing clauses (1) and (2), as reflected in the most recent consolidated balance sheet of the Company delivered to the Lenders), (v) the Company and its Subsidiaries may consummate the PSMC Acquisition and (vi) any Subsidiary (other than a Foreign Subsidiary Borrower or a Material Subsidiary) may liquidate or dissolve if the Company determines in good faith that such liquidation or dissolution is in the best interests of the Company and is not materially disadvantageous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merger involving a Person that is not a wholly owned Subsidiary immediately prior to such merger shall not be permitted unless also permitted by Section 6.04.</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8" w:name="page159"/>
    <w:bookmarkEnd w:id="158"/>
    <w:p>
      <w:pPr>
        <w:jc w:val="both"/>
        <w:ind w:firstLine="1305"/>
        <w:spacing w:after="0" w:line="264" w:lineRule="auto"/>
        <w:tabs>
          <w:tab w:leader="none" w:pos="166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Subsidiaries to, engage to any material extent in any business other than businesses of the type conducted by the Company and its Subsidiaries on the date of execution of this Agreement and businesses reasonably related thereto, including semi-conductor application processes.</w:t>
      </w:r>
    </w:p>
    <w:p>
      <w:pPr>
        <w:spacing w:after="0" w:line="181" w:lineRule="exact"/>
        <w:rPr>
          <w:rFonts w:ascii="Arial" w:cs="Arial" w:eastAsia="Arial" w:hAnsi="Arial"/>
          <w:sz w:val="18"/>
          <w:szCs w:val="18"/>
          <w:color w:val="auto"/>
        </w:rPr>
      </w:pPr>
    </w:p>
    <w:p>
      <w:pPr>
        <w:ind w:firstLine="1305"/>
        <w:spacing w:after="0" w:line="277" w:lineRule="auto"/>
        <w:tabs>
          <w:tab w:leader="none" w:pos="163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will not change its fiscal year from the annual period which ends on the Sunday closest to October 29 or its fiscal quarters which, during the term of this Agreement, consist of four equal 13 week periods.</w:t>
      </w:r>
    </w:p>
    <w:p>
      <w:pPr>
        <w:spacing w:after="0" w:line="17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Investments, Loans, Advances, Guarantees and Acquisitions</w:t>
      </w:r>
      <w:r>
        <w:rPr>
          <w:rFonts w:ascii="Arial" w:cs="Arial" w:eastAsia="Arial" w:hAnsi="Arial"/>
          <w:sz w:val="16"/>
          <w:szCs w:val="16"/>
          <w:color w:val="auto"/>
        </w:rPr>
        <w:t>. The Company will not, and will not permit any of its Subsidiaries to, purchase, hold or acquire (including pursuant to any merger with any Person that was not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Person or any assets of any other Person constituting a business unit, except:</w:t>
      </w:r>
    </w:p>
    <w:p>
      <w:pPr>
        <w:spacing w:after="0" w:line="158" w:lineRule="exact"/>
        <w:rPr>
          <w:sz w:val="20"/>
          <w:szCs w:val="20"/>
          <w:color w:val="auto"/>
        </w:rPr>
      </w:pPr>
    </w:p>
    <w:p>
      <w:pPr>
        <w:ind w:left="1600" w:hanging="295"/>
        <w:spacing w:after="0"/>
        <w:tabs>
          <w:tab w:leader="none" w:pos="1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 respect to any Foreign Subsidiary, direct obligations of, or obligations the principal of and interest on which are unconditionally guaranteed by, the government of the country in which such Foreign Subsidiary is organized or has its principal place of business, in each case maturing within one year from the date of acquisition thereof, so long as the aggregate amount of all such obligations for all Foreign Subsidiaries does not exceed $5,000,000 in the aggregate at any time outstanding;</w:t>
      </w:r>
    </w:p>
    <w:p>
      <w:pPr>
        <w:spacing w:after="0" w:line="186" w:lineRule="exact"/>
        <w:rPr>
          <w:rFonts w:ascii="Arial" w:cs="Arial" w:eastAsia="Arial" w:hAnsi="Arial"/>
          <w:sz w:val="18"/>
          <w:szCs w:val="18"/>
          <w:color w:val="auto"/>
        </w:rPr>
      </w:pPr>
    </w:p>
    <w:p>
      <w:pPr>
        <w:ind w:left="1600" w:hanging="295"/>
        <w:spacing w:after="0"/>
        <w:tabs>
          <w:tab w:leader="none" w:pos="16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loans, advances or investments existing on the date hereof by the Company and the Subsidiaries to or in their respective subsidiaries;</w:t>
      </w:r>
    </w:p>
    <w:p>
      <w:pPr>
        <w:spacing w:after="0" w:line="248" w:lineRule="exact"/>
        <w:rPr>
          <w:rFonts w:ascii="Arial" w:cs="Arial" w:eastAsia="Arial" w:hAnsi="Arial"/>
          <w:sz w:val="16"/>
          <w:szCs w:val="16"/>
          <w:color w:val="auto"/>
        </w:rPr>
      </w:pPr>
    </w:p>
    <w:p>
      <w:pPr>
        <w:jc w:val="both"/>
        <w:ind w:right="20" w:firstLine="1305"/>
        <w:spacing w:after="0" w:line="264" w:lineRule="auto"/>
        <w:tabs>
          <w:tab w:leader="none" w:pos="159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investments, loans or advances made by the Company in or to any Subsidiary and made by any Subsidiary to the Company or any other Subsidiary (provided that not more than $25,000,000 in investments, loans or advances or capital contributions may be made and remain outstanding, during the term of this Agreement, by any Loan Party to a Subsidiary which is not a Loan Party;</w:t>
      </w:r>
    </w:p>
    <w:p>
      <w:pPr>
        <w:spacing w:after="0" w:line="181" w:lineRule="exact"/>
        <w:rPr>
          <w:rFonts w:ascii="Arial" w:cs="Arial" w:eastAsia="Arial" w:hAnsi="Arial"/>
          <w:sz w:val="18"/>
          <w:szCs w:val="18"/>
          <w:color w:val="auto"/>
        </w:rPr>
      </w:pPr>
    </w:p>
    <w:p>
      <w:pPr>
        <w:ind w:firstLine="1305"/>
        <w:spacing w:after="0" w:line="277" w:lineRule="auto"/>
        <w:tabs>
          <w:tab w:leader="none" w:pos="163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Guarantees constituting Indebtedness permitted by Section 6.01 and Guarantees by the Company of rental obligations or accounts payable of any Subsidiary;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9" w:name="page160"/>
    <w:bookmarkEnd w:id="159"/>
    <w:p>
      <w:pPr>
        <w:ind w:firstLine="1305"/>
        <w:spacing w:after="0" w:line="277" w:lineRule="auto"/>
        <w:tabs>
          <w:tab w:leader="none" w:pos="159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investments received in connection with the bankruptcy or reorganization of, or settlement of delinquent accounts and disputes with, customers and suppliers, in each case in the ordinary course of business;</w:t>
      </w:r>
    </w:p>
    <w:p>
      <w:pPr>
        <w:spacing w:after="0" w:line="170" w:lineRule="exact"/>
        <w:rPr>
          <w:rFonts w:ascii="Arial" w:cs="Arial" w:eastAsia="Arial" w:hAnsi="Arial"/>
          <w:sz w:val="18"/>
          <w:szCs w:val="18"/>
          <w:color w:val="auto"/>
        </w:rPr>
      </w:pPr>
    </w:p>
    <w:p>
      <w:pPr>
        <w:ind w:firstLine="1305"/>
        <w:spacing w:after="0" w:line="277" w:lineRule="auto"/>
        <w:tabs>
          <w:tab w:leader="none" w:pos="160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investments made in connection with a sale of assets permitted by Section 6.03 to the extent of the non-cash consideration received by the Company or a Subsidiary;</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right="20" w:firstLine="1305"/>
        <w:spacing w:after="0" w:line="342" w:lineRule="auto"/>
        <w:tabs>
          <w:tab w:leader="none" w:pos="155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Investments, loans and advances existing on the date hereof and set forth in Schedule 6.04 and extensions, renewals and replacements of any such investments, loans or advances with investments, loans or advances of a similar type that do not increase the outstanding amount thereof;</w:t>
      </w:r>
    </w:p>
    <w:p>
      <w:pPr>
        <w:spacing w:after="0" w:line="123" w:lineRule="exact"/>
        <w:rPr>
          <w:rFonts w:ascii="Arial" w:cs="Arial" w:eastAsia="Arial" w:hAnsi="Arial"/>
          <w:sz w:val="16"/>
          <w:szCs w:val="16"/>
          <w:color w:val="auto"/>
        </w:rPr>
      </w:pPr>
    </w:p>
    <w:p>
      <w:pPr>
        <w:ind w:right="20" w:firstLine="1305"/>
        <w:spacing w:after="0" w:line="277" w:lineRule="auto"/>
        <w:tabs>
          <w:tab w:leader="none" w:pos="155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investments by the Company or any Subsidiary made solely in the form of Equity Interests of the Company or any Subsidiary (including the investment by the Company in the form of Equity Interests of PSMC in the Taiwan JV);</w:t>
      </w:r>
    </w:p>
    <w:p>
      <w:pPr>
        <w:spacing w:after="0" w:line="170" w:lineRule="exact"/>
        <w:rPr>
          <w:rFonts w:ascii="Arial" w:cs="Arial" w:eastAsia="Arial" w:hAnsi="Arial"/>
          <w:sz w:val="18"/>
          <w:szCs w:val="18"/>
          <w:color w:val="auto"/>
        </w:rPr>
      </w:pPr>
    </w:p>
    <w:p>
      <w:pPr>
        <w:jc w:val="both"/>
        <w:ind w:firstLine="1305"/>
        <w:spacing w:after="0" w:line="276" w:lineRule="auto"/>
        <w:tabs>
          <w:tab w:leader="none" w:pos="164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investments, loans and advances by the Company or any Subsidiary in the Taiwan JV or any other Joint Venture in an aggregate outstanding amount not to exceed $50,000,000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outstanding amount of any investment, loan or advance made in reliance on this clause (k) shall be reduced by any amount paid, repaid, returned, distributed or otherwise received in cash by the Company or such Subsidiary in respect of such investment, loan or advance) so long as immediately prior to and after giving effect (including giving effect on a Pro Forma Basis) to any such investment, loan or advance, the Company shall be in compliance with the covenants contained in Section 6.11;</w:t>
      </w:r>
    </w:p>
    <w:p>
      <w:pPr>
        <w:spacing w:after="0" w:line="172" w:lineRule="exact"/>
        <w:rPr>
          <w:rFonts w:ascii="Arial" w:cs="Arial" w:eastAsia="Arial" w:hAnsi="Arial"/>
          <w:sz w:val="17"/>
          <w:szCs w:val="17"/>
          <w:color w:val="auto"/>
        </w:rPr>
      </w:pPr>
    </w:p>
    <w:p>
      <w:pPr>
        <w:ind w:left="1560" w:hanging="255"/>
        <w:spacing w:after="0"/>
        <w:tabs>
          <w:tab w:leader="none" w:pos="15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PSMC Acquisition and the Taiwan JV Transactions; and</w:t>
      </w:r>
    </w:p>
    <w:p>
      <w:pPr>
        <w:spacing w:after="0" w:line="225" w:lineRule="exact"/>
        <w:rPr>
          <w:rFonts w:ascii="Arial" w:cs="Arial" w:eastAsia="Arial" w:hAnsi="Arial"/>
          <w:sz w:val="18"/>
          <w:szCs w:val="18"/>
          <w:color w:val="auto"/>
        </w:rPr>
      </w:pPr>
    </w:p>
    <w:p>
      <w:pPr>
        <w:jc w:val="both"/>
        <w:ind w:right="20" w:firstLine="1305"/>
        <w:spacing w:after="0" w:line="264" w:lineRule="auto"/>
        <w:tabs>
          <w:tab w:leader="none" w:pos="165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other investment (other than acquisitions), loan or advance (including investments made to meet minimum capital requirements of foreign jurisdictions) so long as the aggregate amount of all such investments, loans and advances during any fiscal year of the Company does not exceed $25,000,000.</w:t>
      </w:r>
    </w:p>
    <w:p>
      <w:pPr>
        <w:spacing w:after="0" w:line="181"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Swap Agreements</w:t>
      </w:r>
      <w:r>
        <w:rPr>
          <w:rFonts w:ascii="Arial" w:cs="Arial" w:eastAsia="Arial" w:hAnsi="Arial"/>
          <w:sz w:val="16"/>
          <w:szCs w:val="16"/>
          <w:color w:val="auto"/>
        </w:rPr>
        <w:t>. The Company will not, and will not permit any of its Subsidiaries to, enter into any Swap Agreement, except (a) Swap Agreements entered into to hedge or mitigate risks to which the Company or any Subsidiary has actual exposure (other than those in respect of Equity Interests of the Company or any of its Subsidiaries), (b) Swap Agreements entered into in order to effectively cap, collar or exchange interest rates (from fixed to floating rates, from one floating rate to another floating rate or otherwise) with respect to any interest-bearing liability or investment of the Company or any Subsidiary and (c) the Company may enter into, and perform its obligations under, Permitted Call Spread Swap Agreements.</w:t>
      </w:r>
    </w:p>
    <w:p>
      <w:pPr>
        <w:spacing w:after="0" w:line="15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(a) The Company will not, and will not permit any of its Subsidiaries to, declare or make, or agree to pay or make, directly or indirectly, any Restricted Payment, except (i) the Company may declare and pay dividends with respect to its Equity Interests payable solely in additional shares of its common stock, (ii) Subsidiaries may declare and pay dividends ratably with respect to their Equity Interests, (iii) the Company may make Restricted Payments pursuant to and in accordance with stock option plans or other benefit plans for management or employees of the Company and its Subsidiaries, (iv) PSMC may make dividends to its shareholders, (v) the Company or any other Subsidiary may make any other Restricted Payment so long as (1) no Default or Event of Default has occurred and is continuing prior to making such Restricted Payment or would arise after giving effect (including pro forma effect) thereto and (2) the aggregate amount of such Restricted Payments made by the Company or any Subsidiary does not exceed $20,000,000 during any fiscal year of the Company and (vi) the Company may enter into, exercise its rights and perform its obligations under Permitted Call Spread Swap Agreements.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0" w:name="page161"/>
    <w:bookmarkEnd w:id="160"/>
    <w:p>
      <w:pPr>
        <w:jc w:val="both"/>
        <w:ind w:firstLine="1305"/>
        <w:spacing w:after="0" w:line="286" w:lineRule="auto"/>
        <w:tabs>
          <w:tab w:leader="none" w:pos="159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Company will not, and will not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 (i) payment of Indebtedness created under the Loan Documents; (ii) payment of regularly scheduled interest and principal payments as and when due in respect of any Indebtedness (subject to any subordination provisions thereof); (iii) payment of secured Indebtedness that becomes due as a result of the voluntary sale or transfer of the property or assets securing such Indebtedness; (iv) prepayment of any Permitted Unsecured Indebtedness from the proceeds of any other Permitted Unsecured Indebtedness (including premiums and fees associated therewith); (v) prepayment, purchase, redemption, retirement or other acquisition of any Permitted Unsecured Indebtedness by exchange for or out of the proceeds received from a substantially concurrent issue of (1) new shares of its non-mandatorily redeemable Equity Interests pursuant to the conversion terms (if any) described in the agreements related to such Permitted Unsecured Indebtedness or (2) Subordinated Indebtedness or other Permitted Unsecured Indebtedness; (vi) the Company may issue Equity Interests or make cash payments in connection with or as part of the conversion, redemption, retirement, prepayment or cancellation of the any Permitted Convertible Notes; (vii) prepayment of the Aera Tool Lease and the EBM Tool Lease set forth on Schedule 6.01; and (viii) prepayment, purchase, redemption, retirement or other acquisitions of the Existing Convertible Notes so long as, at the time thereof and after giving effect thereto (including on a Pro Forma Basis), Liquidity shall not be less than $50,000,000.</w:t>
      </w:r>
    </w:p>
    <w:p>
      <w:pPr>
        <w:spacing w:after="0" w:line="199"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The Company will not, and will not permit any of its Subsidiaries to, sell, lease or otherwise transfer any property or assets to, or purchase, lease or otherwise acquire any property or assets from, or otherwise engage in any other transactions with, any of its Affiliates, except (a) in the ordinary course of business at prices and on terms and conditions not less favorable to the Company or such Subsidiary than could be obtained on an arm’s-length basis from unrelated third parties, (b) transactions between or among the Company and its wholly owned Subsidiaries not involving any other Affiliate, (c) Indebtedness permitted by Sections 6.01(b) and 6.01(c), investments permitted by Section 6.04 and fundamental changes permitted by Section 6.03 so long as each such transaction is at a price and on terms and conditions not less favorable to the Company or such Subsidiary than could be obtained on an arm’s-length basis from unrelated third parties, (d) any Restricted Payment permitted by Section 6.06, (e) transactions existing on the date hereof and set forth in Schedule 6.07 and (f) any Affiliate who is an individual may serve as a director, officer or employee of the Company or such Subsidiary and receive compensation (including stock options) for his or her services in such capacity.</w:t>
      </w:r>
    </w:p>
    <w:p>
      <w:pPr>
        <w:spacing w:after="0" w:line="16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xml:space="preserve">. The Company will not, and will not permit any of its Subsidiaries to, directly or indirectly, enter into, incur or permit to exist any agreement or other arrangement that prohibits, restricts or imposes any condition upon (a) the ability of the Company or any Subsidiary to create, incur or permit to exist any Lien upon any of its property or assets, or (b) the ability of any Subsidiary to pay dividends or other distributions with respect to holders of its Equity Interests or to make or repay loans or advances to the Company or any other Subsidiary or to Guarantee Indebtedness of the Company or any other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foregoing shall not apply to restrictions and conditions imposed by law or by this Agreement, (ii) the foregoing shall not apply to restrictions and conditions existing on the date hereof identified on Schedule 6.08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(iv) the foregoing shall not apply to restrictions and conditions contained in agreements relating to Permitted Unsecured Indebtedness, (v) clause (a) of the foregoing shall not apply to restrictions or conditions imposed by any agreement relating to secured Indebtedness permitted by this Agreement if such restrictions or conditions apply only to the property or assets securing such Indebtedness, (vi) clause (a) of the foregoing shall not apply to customary provisions in leases and other contracts restricting the assignment thereof and (vii) clause (b) of the foregoing shall not apply to restrictions or conditions imposed by the organizational documents of the Taiwan JV or imposed by any formation agreement related to a Joint Venture, including but not limited to the operating agreement or shareholders agreement of any Joint Venture, to the extent that an investment in such Joint Venture is not prohibited by Section 6.04.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1" w:name="page162"/>
    <w:bookmarkEnd w:id="161"/>
    <w:p>
      <w:pPr>
        <w:jc w:val="both"/>
        <w:ind w:firstLine="1297"/>
        <w:spacing w:after="0" w:line="257"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Issuances of Equity Interests by Subsidiaries.</w:t>
      </w:r>
      <w:r>
        <w:rPr>
          <w:rFonts w:ascii="Arial" w:cs="Arial" w:eastAsia="Arial" w:hAnsi="Arial"/>
          <w:sz w:val="18"/>
          <w:szCs w:val="18"/>
          <w:color w:val="auto"/>
        </w:rPr>
        <w:t xml:space="preserve"> The Company will not permit any Subsidiary to issue any additional shares of its Equity Interests other than (a) to the Company or a wholly-owned Subsidiary, (b) any such issuance that does not change the Company’s direct or indirect percentage ownership interest in such Subsidiary, (c) any such issuance that is permitted pursuant to Section 6.03 or 6.04 and (d) any such issuance by PKL, PKLT or the Taiwan JV, so long as the Company or any wholly-owned Subsidiary continues to own and control more than 50% of the voting and economic power of such Subsidiary.</w:t>
      </w:r>
    </w:p>
    <w:p>
      <w:pPr>
        <w:spacing w:after="0" w:line="18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Amendment of Material Documents.</w:t>
      </w:r>
      <w:r>
        <w:rPr>
          <w:rFonts w:ascii="Arial" w:cs="Arial" w:eastAsia="Arial" w:hAnsi="Arial"/>
          <w:sz w:val="18"/>
          <w:szCs w:val="18"/>
          <w:color w:val="auto"/>
        </w:rPr>
        <w:t xml:space="preserve"> The Company will not, and will not permit any Subsidiary to, amend, modify or waive (a) any of its rights under its certificate of incorporation, by-laws or other organizational documents, in each case in any respect adverse to the Lenders or (b) any of the terms of any Subordinated Indebtedness, in each case in any respect adverse to the Lenders (for the purposes of this Section 6.10(b) and without limitation of the scope of the definition of “adverse”, any amendment to increase the principal amount, the interest rate or fees or other amounts payable, to advance the dates upon which payments are made or to alter any subordination provision (or any definition related thereto) shall be deemed to be “adverse”)</w:t>
      </w:r>
      <w:r>
        <w:rPr>
          <w:rFonts w:ascii="Arial" w:cs="Arial" w:eastAsia="Arial" w:hAnsi="Arial"/>
          <w:sz w:val="18"/>
          <w:szCs w:val="18"/>
          <w:u w:val="single" w:color="auto"/>
          <w:color w:val="auto"/>
        </w:rPr>
        <w: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59" w:lineRule="auto"/>
        <w:tabs>
          <w:tab w:leader="none" w:pos="158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Minimum Interest Coverage Ratio</w:t>
      </w:r>
      <w:r>
        <w:rPr>
          <w:rFonts w:ascii="Arial" w:cs="Arial" w:eastAsia="Arial" w:hAnsi="Arial"/>
          <w:sz w:val="18"/>
          <w:szCs w:val="18"/>
          <w:color w:val="auto"/>
        </w:rPr>
        <w:t>. The Company will not permit the ratio (the “</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xml:space="preserve">”), determined as of the end of each of its fiscal quarters set forth below, of (i) Consolidated EBITDA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Capital Expenditures to (ii) Consolidated Interest Expense, in each case for the period of 4 consecutive fiscal quarters ending with the end of such fiscal quarter, all calculated for the Company and its Subsidiaries on a consolidated basis, to be less than the ratio set forth opposite such fiscal quarter:</w:t>
      </w:r>
    </w:p>
    <w:p>
      <w:pPr>
        <w:spacing w:after="0" w:line="170" w:lineRule="exact"/>
        <w:rPr>
          <w:sz w:val="20"/>
          <w:szCs w:val="20"/>
          <w:color w:val="auto"/>
        </w:rPr>
      </w:pPr>
    </w:p>
    <w:tbl>
      <w:tblPr>
        <w:tblLayout w:type="fixed"/>
        <w:tblInd w:w="2160" w:type="dxa"/>
        <w:tblCellMar>
          <w:top w:w="0" w:type="dxa"/>
          <w:left w:w="0" w:type="dxa"/>
          <w:bottom w:w="0" w:type="dxa"/>
          <w:right w:w="0" w:type="dxa"/>
        </w:tblCellMar>
      </w:tblPr>
      <w:tr>
        <w:trPr>
          <w:trHeight w:val="207"/>
        </w:trPr>
        <w:tc>
          <w:tcPr>
            <w:tcW w:w="4600" w:type="dxa"/>
            <w:vAlign w:val="bottom"/>
            <w:gridSpan w:val="2"/>
          </w:tcPr>
          <w:p>
            <w:pPr>
              <w:jc w:val="center"/>
              <w:ind w:right="2060"/>
              <w:spacing w:after="0"/>
              <w:rPr>
                <w:sz w:val="20"/>
                <w:szCs w:val="20"/>
                <w:color w:val="auto"/>
              </w:rPr>
            </w:pPr>
            <w:r>
              <w:rPr>
                <w:rFonts w:ascii="Arial" w:cs="Arial" w:eastAsia="Arial" w:hAnsi="Arial"/>
                <w:sz w:val="18"/>
                <w:szCs w:val="18"/>
                <w:color w:val="auto"/>
                <w:w w:val="91"/>
              </w:rPr>
              <w:t>Fiscal Quarter Ending On or About</w:t>
            </w: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Minimum Interest Coverage Ratio</w:t>
            </w:r>
          </w:p>
        </w:tc>
      </w:tr>
      <w:tr>
        <w:trPr>
          <w:trHeight w:val="222"/>
        </w:trPr>
        <w:tc>
          <w:tcPr>
            <w:tcW w:w="2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January 31, 2014</w:t>
            </w:r>
          </w:p>
        </w:tc>
        <w:tc>
          <w:tcPr>
            <w:tcW w:w="206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1.75 to 1.00</w:t>
            </w:r>
          </w:p>
        </w:tc>
      </w:tr>
      <w:tr>
        <w:trPr>
          <w:trHeight w:val="216"/>
        </w:trPr>
        <w:tc>
          <w:tcPr>
            <w:tcW w:w="4600" w:type="dxa"/>
            <w:vAlign w:val="bottom"/>
            <w:gridSpan w:val="2"/>
          </w:tcPr>
          <w:p>
            <w:pPr>
              <w:jc w:val="center"/>
              <w:ind w:right="2060"/>
              <w:spacing w:after="0"/>
              <w:rPr>
                <w:sz w:val="20"/>
                <w:szCs w:val="20"/>
                <w:color w:val="auto"/>
              </w:rPr>
            </w:pPr>
            <w:r>
              <w:rPr>
                <w:rFonts w:ascii="Arial" w:cs="Arial" w:eastAsia="Arial" w:hAnsi="Arial"/>
                <w:sz w:val="18"/>
                <w:szCs w:val="18"/>
                <w:color w:val="auto"/>
                <w:w w:val="95"/>
              </w:rPr>
              <w:t>April 30, 2014</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1.75 to 1.00</w:t>
            </w:r>
          </w:p>
        </w:tc>
      </w:tr>
      <w:tr>
        <w:trPr>
          <w:trHeight w:val="216"/>
        </w:trPr>
        <w:tc>
          <w:tcPr>
            <w:tcW w:w="4600" w:type="dxa"/>
            <w:vAlign w:val="bottom"/>
            <w:gridSpan w:val="2"/>
          </w:tcPr>
          <w:p>
            <w:pPr>
              <w:jc w:val="center"/>
              <w:ind w:right="2060"/>
              <w:spacing w:after="0"/>
              <w:rPr>
                <w:sz w:val="20"/>
                <w:szCs w:val="20"/>
                <w:color w:val="auto"/>
              </w:rPr>
            </w:pPr>
            <w:r>
              <w:rPr>
                <w:rFonts w:ascii="Arial" w:cs="Arial" w:eastAsia="Arial" w:hAnsi="Arial"/>
                <w:sz w:val="18"/>
                <w:szCs w:val="18"/>
                <w:color w:val="auto"/>
                <w:w w:val="91"/>
              </w:rPr>
              <w:t>July 31, 2014</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1.75 to 1.00</w:t>
            </w:r>
          </w:p>
        </w:tc>
      </w:tr>
      <w:tr>
        <w:trPr>
          <w:trHeight w:val="216"/>
        </w:trPr>
        <w:tc>
          <w:tcPr>
            <w:tcW w:w="4600" w:type="dxa"/>
            <w:vAlign w:val="bottom"/>
            <w:gridSpan w:val="2"/>
          </w:tcPr>
          <w:p>
            <w:pPr>
              <w:jc w:val="center"/>
              <w:ind w:right="2060"/>
              <w:spacing w:after="0"/>
              <w:rPr>
                <w:sz w:val="20"/>
                <w:szCs w:val="20"/>
                <w:color w:val="auto"/>
              </w:rPr>
            </w:pPr>
            <w:r>
              <w:rPr>
                <w:rFonts w:ascii="Arial" w:cs="Arial" w:eastAsia="Arial" w:hAnsi="Arial"/>
                <w:sz w:val="18"/>
                <w:szCs w:val="18"/>
                <w:color w:val="auto"/>
                <w:w w:val="90"/>
              </w:rPr>
              <w:t>October 31, 2014</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2.00 to 1.00</w:t>
            </w:r>
          </w:p>
        </w:tc>
      </w:tr>
      <w:tr>
        <w:trPr>
          <w:trHeight w:val="216"/>
        </w:trPr>
        <w:tc>
          <w:tcPr>
            <w:tcW w:w="4600" w:type="dxa"/>
            <w:vAlign w:val="bottom"/>
            <w:gridSpan w:val="2"/>
          </w:tcPr>
          <w:p>
            <w:pPr>
              <w:jc w:val="center"/>
              <w:ind w:right="2060"/>
              <w:spacing w:after="0"/>
              <w:rPr>
                <w:sz w:val="20"/>
                <w:szCs w:val="20"/>
                <w:color w:val="auto"/>
              </w:rPr>
            </w:pPr>
            <w:r>
              <w:rPr>
                <w:rFonts w:ascii="Arial" w:cs="Arial" w:eastAsia="Arial" w:hAnsi="Arial"/>
                <w:sz w:val="18"/>
                <w:szCs w:val="18"/>
                <w:color w:val="auto"/>
                <w:w w:val="87"/>
              </w:rPr>
              <w:t>January 31, 2015</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2.25 to 1.00</w:t>
            </w:r>
          </w:p>
        </w:tc>
      </w:tr>
      <w:tr>
        <w:trPr>
          <w:trHeight w:val="216"/>
        </w:trPr>
        <w:tc>
          <w:tcPr>
            <w:tcW w:w="4600" w:type="dxa"/>
            <w:vAlign w:val="bottom"/>
            <w:gridSpan w:val="2"/>
          </w:tcPr>
          <w:p>
            <w:pPr>
              <w:jc w:val="center"/>
              <w:ind w:right="2060"/>
              <w:spacing w:after="0"/>
              <w:rPr>
                <w:sz w:val="20"/>
                <w:szCs w:val="20"/>
                <w:color w:val="auto"/>
              </w:rPr>
            </w:pPr>
            <w:r>
              <w:rPr>
                <w:rFonts w:ascii="Arial" w:cs="Arial" w:eastAsia="Arial" w:hAnsi="Arial"/>
                <w:sz w:val="18"/>
                <w:szCs w:val="18"/>
                <w:color w:val="auto"/>
                <w:w w:val="92"/>
              </w:rPr>
              <w:t>April 30, 2015 and each fiscal</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2.50 to 1.00</w:t>
            </w:r>
          </w:p>
        </w:tc>
      </w:tr>
      <w:tr>
        <w:trPr>
          <w:trHeight w:val="230"/>
        </w:trPr>
        <w:tc>
          <w:tcPr>
            <w:tcW w:w="4600" w:type="dxa"/>
            <w:vAlign w:val="bottom"/>
            <w:gridSpan w:val="2"/>
          </w:tcPr>
          <w:p>
            <w:pPr>
              <w:jc w:val="center"/>
              <w:ind w:right="2060"/>
              <w:spacing w:after="0"/>
              <w:rPr>
                <w:sz w:val="20"/>
                <w:szCs w:val="20"/>
                <w:color w:val="auto"/>
              </w:rPr>
            </w:pPr>
            <w:r>
              <w:rPr>
                <w:rFonts w:ascii="Arial" w:cs="Arial" w:eastAsia="Arial" w:hAnsi="Arial"/>
                <w:sz w:val="18"/>
                <w:szCs w:val="18"/>
                <w:color w:val="auto"/>
                <w:w w:val="89"/>
              </w:rPr>
              <w:t>quarter ending thereafter</w:t>
            </w:r>
          </w:p>
        </w:tc>
        <w:tc>
          <w:tcPr>
            <w:tcW w:w="2480" w:type="dxa"/>
            <w:vAlign w:val="bottom"/>
          </w:tcPr>
          <w:p>
            <w:pPr>
              <w:spacing w:after="0"/>
              <w:rPr>
                <w:sz w:val="20"/>
                <w:szCs w:val="20"/>
                <w:color w:val="auto"/>
              </w:rPr>
            </w:pPr>
          </w:p>
        </w:tc>
      </w:tr>
    </w:tbl>
    <w:p>
      <w:pPr>
        <w:spacing w:after="0" w:line="229" w:lineRule="exact"/>
        <w:rPr>
          <w:sz w:val="20"/>
          <w:szCs w:val="20"/>
          <w:color w:val="auto"/>
        </w:rPr>
      </w:pPr>
    </w:p>
    <w:p>
      <w:pPr>
        <w:jc w:val="both"/>
        <w:ind w:firstLine="1305"/>
        <w:spacing w:after="0" w:line="259" w:lineRule="auto"/>
        <w:tabs>
          <w:tab w:leader="none" w:pos="1596"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Total Leverage Ratio</w:t>
      </w:r>
      <w:r>
        <w:rPr>
          <w:rFonts w:ascii="Arial" w:cs="Arial" w:eastAsia="Arial" w:hAnsi="Arial"/>
          <w:sz w:val="18"/>
          <w:szCs w:val="18"/>
          <w:color w:val="auto"/>
        </w:rPr>
        <w:t>. The Company will not permit the ratio (the “</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determined as of the end of each of its fiscal quarters ending on or about, or after, January 31, 2014, of (i) Consolidated Total Indebtedness to (ii) Consolidated EBITDA, in each case for the period of 4 consecutive fiscal quarters ending with the end of such fiscal quarter, all calculated for the Company and its Subsidiaries on a consolidated basis, to be greater than 2.50 to 1.00.</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2" w:name="page163"/>
    <w:bookmarkEnd w:id="162"/>
    <w:p>
      <w:pPr>
        <w:jc w:val="both"/>
        <w:ind w:firstLine="1305"/>
        <w:spacing w:after="0" w:line="272" w:lineRule="auto"/>
        <w:tabs>
          <w:tab w:leader="none" w:pos="1613"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Minimum Unrestricted Cash Balances</w:t>
      </w:r>
      <w:r>
        <w:rPr>
          <w:rFonts w:ascii="Arial" w:cs="Arial" w:eastAsia="Arial" w:hAnsi="Arial"/>
          <w:sz w:val="17"/>
          <w:szCs w:val="17"/>
          <w:color w:val="auto"/>
        </w:rPr>
        <w:t>. The Company will not permit the aggregate amount of unrestricted and unencumbered cash balances and Permitted Investments maintained by the Company and its Subsidiaries (collectively, “</w:t>
      </w:r>
      <w:r>
        <w:rPr>
          <w:rFonts w:ascii="Arial" w:cs="Arial" w:eastAsia="Arial" w:hAnsi="Arial"/>
          <w:sz w:val="17"/>
          <w:szCs w:val="17"/>
          <w:u w:val="single" w:color="auto"/>
          <w:color w:val="auto"/>
        </w:rPr>
        <w:t>Liquidity</w:t>
      </w:r>
      <w:r>
        <w:rPr>
          <w:rFonts w:ascii="Arial" w:cs="Arial" w:eastAsia="Arial" w:hAnsi="Arial"/>
          <w:sz w:val="17"/>
          <w:szCs w:val="17"/>
          <w:color w:val="auto"/>
        </w:rPr>
        <w:t>”) to be less than $50,000,000. Furthermore, and in addition to the foregoing, at all times during any six-month period immediately prior to (x) any date on which the holders of any Permitted Unsecured Indebtedness have the option to require the Company to repurchase such securities and (y) the maturity date of any Permitted Unsecured Indebtedness, in each case the Company will not permit Liquidity to be less than $50,000,000 on a Pro Forma Basis after giving effect to the repayment or conversion of such Permitted Unsecured Indebtedness. For the avoidance of doubt, any cash deposited with the Collateral Agent pursuant to the terms of the Collateral Documents shall be deemed to be unrestricted or unencumbered cash.</w:t>
      </w:r>
    </w:p>
    <w:p>
      <w:pPr>
        <w:spacing w:after="0" w:line="17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No Borrower will request any Borrowing or Letter of Credit, and no Borrower shall use, and the Company shall procure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w:t>
      </w:r>
    </w:p>
    <w:p>
      <w:pPr>
        <w:spacing w:after="0" w:line="225" w:lineRule="exact"/>
        <w:rPr>
          <w:sz w:val="20"/>
          <w:szCs w:val="20"/>
          <w:color w:val="auto"/>
        </w:rPr>
      </w:pPr>
    </w:p>
    <w:p>
      <w:pPr>
        <w:ind w:firstLine="1305"/>
        <w:spacing w:after="0" w:line="277" w:lineRule="auto"/>
        <w:tabs>
          <w:tab w:leader="none" w:pos="159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9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three (3) Business Days;</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160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any Borrower or any Subsidiary in or in connection with this Agreement or any other Loan Document or any amendment or modification thereof or waiver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when made or deemed made;</w:t>
      </w:r>
    </w:p>
    <w:p>
      <w:pPr>
        <w:spacing w:after="0" w:line="171" w:lineRule="exact"/>
        <w:rPr>
          <w:rFonts w:ascii="Arial" w:cs="Arial" w:eastAsia="Arial" w:hAnsi="Arial"/>
          <w:sz w:val="17"/>
          <w:szCs w:val="17"/>
          <w:color w:val="auto"/>
        </w:rPr>
      </w:pPr>
    </w:p>
    <w:p>
      <w:pPr>
        <w:jc w:val="both"/>
        <w:ind w:firstLine="1305"/>
        <w:spacing w:after="0" w:line="259" w:lineRule="auto"/>
        <w:tabs>
          <w:tab w:leader="none" w:pos="160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the Company shall fail to observe or perform any covenant, condition or agreement contained in Section 5.02, 5.03 (with respect to any Borrower’s existence), 5.08, 5.09 or 5.10, in Article VI or in Article X or (ii) any Loan Document shall for any reason not be or shall cease to be in full force and effect or is declared to be null and void, or the Company or any Subsidiary takes any action for the purpose of terminating, repudiating or rescinding any Loan Document or any of its obligations thereunder;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3" w:name="page164"/>
    <w:bookmarkEnd w:id="163"/>
    <w:p>
      <w:pPr>
        <w:jc w:val="both"/>
        <w:ind w:firstLine="1305"/>
        <w:spacing w:after="0" w:line="259" w:lineRule="auto"/>
        <w:tabs>
          <w:tab w:leader="none" w:pos="165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Borrower or any Subsidiary Guarantor,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notice thereof from the Administrative Agent to the Company (which notice will be given at the request of any Lender);</w:t>
      </w:r>
    </w:p>
    <w:p>
      <w:pPr>
        <w:spacing w:after="0" w:line="186" w:lineRule="exact"/>
        <w:rPr>
          <w:rFonts w:ascii="Arial" w:cs="Arial" w:eastAsia="Arial" w:hAnsi="Arial"/>
          <w:sz w:val="18"/>
          <w:szCs w:val="18"/>
          <w:color w:val="auto"/>
        </w:rPr>
      </w:pPr>
    </w:p>
    <w:p>
      <w:pPr>
        <w:ind w:right="20" w:firstLine="1305"/>
        <w:spacing w:after="0" w:line="277" w:lineRule="auto"/>
        <w:tabs>
          <w:tab w:leader="none" w:pos="157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Company or any Subsidiary shall fail to make any payment (whether of principal or interest and regardless of amount) in respect of any Material Indebtedness, when and as the same shall become due and payable;</w:t>
      </w:r>
    </w:p>
    <w:p>
      <w:pPr>
        <w:spacing w:after="0" w:line="170" w:lineRule="exact"/>
        <w:rPr>
          <w:rFonts w:ascii="Arial" w:cs="Arial" w:eastAsia="Arial" w:hAnsi="Arial"/>
          <w:sz w:val="18"/>
          <w:szCs w:val="18"/>
          <w:color w:val="auto"/>
        </w:rPr>
      </w:pPr>
    </w:p>
    <w:p>
      <w:pPr>
        <w:jc w:val="both"/>
        <w:ind w:firstLine="1305"/>
        <w:spacing w:after="0" w:line="291" w:lineRule="auto"/>
        <w:tabs>
          <w:tab w:leader="none" w:pos="1611" w:val="left"/>
        </w:tabs>
        <w:numPr>
          <w:ilvl w:val="1"/>
          <w:numId w:val="115"/>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(g) shall not apply to (x) secured Indebtedness that becomes due as a result of the voluntary sale or transfer of the property or assets securing such Indebtedness, (y) any redemption, repurchase, conversion or settlement with respect to any Permitted Convertible Notes pursuant to their terms unless such redemption, repurchase, conversion or settlement results from a default thereunder or an event of the type that constitutes an Event of Default or (z) any early payment requirement or unwinding or termination with respect to any Permitted Call Spread Swap Agreement;</w:t>
      </w:r>
    </w:p>
    <w:p>
      <w:pPr>
        <w:spacing w:after="0" w:line="167" w:lineRule="exact"/>
        <w:rPr>
          <w:rFonts w:ascii="Arial" w:cs="Arial" w:eastAsia="Arial" w:hAnsi="Arial"/>
          <w:sz w:val="16"/>
          <w:szCs w:val="16"/>
          <w:color w:val="auto"/>
        </w:rPr>
      </w:pPr>
    </w:p>
    <w:p>
      <w:pPr>
        <w:jc w:val="both"/>
        <w:ind w:firstLine="1305"/>
        <w:spacing w:after="0" w:line="286" w:lineRule="auto"/>
        <w:tabs>
          <w:tab w:leader="none" w:pos="1614"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reorganization or other relief in respect of the Company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Company or any Subsidiary or for a substantial part of its assets, and, in any such case, such proceeding or petition shall continue undismissed for sixty</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days or an order or decree approving or ordering any of the foregoing shall be entered;</w:t>
      </w:r>
    </w:p>
    <w:p>
      <w:pPr>
        <w:spacing w:after="0" w:line="210" w:lineRule="exact"/>
        <w:rPr>
          <w:rFonts w:ascii="Arial" w:cs="Arial" w:eastAsia="Arial" w:hAnsi="Arial"/>
          <w:sz w:val="18"/>
          <w:szCs w:val="18"/>
          <w:color w:val="auto"/>
        </w:rPr>
      </w:pPr>
    </w:p>
    <w:p>
      <w:pPr>
        <w:jc w:val="both"/>
        <w:ind w:firstLine="1305"/>
        <w:spacing w:after="0" w:line="273" w:lineRule="auto"/>
        <w:tabs>
          <w:tab w:leader="none" w:pos="156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 Company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Company or any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78" w:lineRule="exact"/>
        <w:rPr>
          <w:rFonts w:ascii="Arial" w:cs="Arial" w:eastAsia="Arial" w:hAnsi="Arial"/>
          <w:sz w:val="17"/>
          <w:szCs w:val="17"/>
          <w:color w:val="auto"/>
        </w:rPr>
      </w:pPr>
    </w:p>
    <w:p>
      <w:pPr>
        <w:ind w:left="1560" w:hanging="255"/>
        <w:spacing w:after="0"/>
        <w:tabs>
          <w:tab w:leader="none" w:pos="15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Company or any Subsidiary shall become unable, admit in writing its inability or fail generally to pay its debts as they become due;</w:t>
      </w:r>
    </w:p>
    <w:p>
      <w:pPr>
        <w:spacing w:after="0" w:line="248" w:lineRule="exact"/>
        <w:rPr>
          <w:rFonts w:ascii="Arial" w:cs="Arial" w:eastAsia="Arial" w:hAnsi="Arial"/>
          <w:sz w:val="16"/>
          <w:szCs w:val="16"/>
          <w:color w:val="auto"/>
        </w:rPr>
      </w:pPr>
    </w:p>
    <w:p>
      <w:pPr>
        <w:jc w:val="both"/>
        <w:ind w:firstLine="1305"/>
        <w:spacing w:after="0" w:line="259" w:lineRule="auto"/>
        <w:tabs>
          <w:tab w:leader="none" w:pos="164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$10,000,000 shall be rendered against the Company, any Subsidiary or any combination thereof and the same shall remain undischarged for a period of thirty (30) consecutive days during which execution shall not be effectively stayed, or any action shall be legally taken by a judgment creditor to attach or levy upon any assets of the Company or any Subsidiary to enforce any such judgment;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4" w:name="page165"/>
    <w:bookmarkEnd w:id="164"/>
    <w:p>
      <w:pPr>
        <w:ind w:firstLine="1305"/>
        <w:spacing w:after="0" w:line="277" w:lineRule="auto"/>
        <w:tabs>
          <w:tab w:leader="none" w:pos="15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ERISA Event shall have occurred that, in the opinion of the Required Lenders, when taken together with all other ERISA Events that have occurred, could reasonably be expected to result in a Material Adverse Effect;</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Change in Control shall occur; or</w:t>
      </w:r>
    </w:p>
    <w:p>
      <w:pPr>
        <w:spacing w:after="0" w:line="225" w:lineRule="exact"/>
        <w:rPr>
          <w:rFonts w:ascii="Arial" w:cs="Arial" w:eastAsia="Arial" w:hAnsi="Arial"/>
          <w:sz w:val="18"/>
          <w:szCs w:val="18"/>
          <w:color w:val="auto"/>
        </w:rPr>
      </w:pPr>
    </w:p>
    <w:p>
      <w:pPr>
        <w:ind w:firstLine="1305"/>
        <w:spacing w:after="0" w:line="277" w:lineRule="auto"/>
        <w:tabs>
          <w:tab w:leader="none" w:pos="160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Collateral Document shall for any reason fail to create a valid and perfected first priority security interest in any material portion of the Collateral purported to be covered thereby, except as permitted by the terms of any Loan Document;</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then, and in every such event (other than an event with respect to the Company described in clause (h) or (i) of this Article), and at any time thereafter during the continuance of such event, the Administrative Agent may, and at the request of the Required Lenders shall, by notice to the Company,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and under the other Loan Documents, shall become due and payable immediately, without presentment, demand, protest or other notice of any kind, all of which are hereby waived by the Borrowers; and in case of any event with respect to any Borrower described in clause (h) or (i) of this Article, the Commitments shall automatically terminate and the principal of the Loans then outstanding, together with accrued interest thereon and all fees and other Secured Obligations accrued hereunder and under the other Loan Documents, shall automatically become due and payable, without presentment, demand, protest or other notice of any kind, all of which are hereby waived by the Borrowers.</w:t>
      </w:r>
    </w:p>
    <w:p>
      <w:pPr>
        <w:spacing w:after="0" w:line="16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Any proceeds of Collateral received by the Administrative Agent after an Event of Default has occurred and is continuing and the Administrative Agent so elects or the Required Lenders so direct, such funds shall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pay any reasonable out-of-pocket fees, indemnities, or expense reimbursements including amounts then due to the Administrative Agent and the Issuing Banks from the Loan Parties,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 any fees or expense reimbursements then due to the Lenders from the Loan Parties,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 interest then due and payable on the Loans ratably,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on a ratable basis, to prepay principal on the Loans and unreimbursed LC Disbursements, to pay an amount to the Administrative Agent equal to one hundred five percent (105%) of the aggregate undrawn face amount of all outstanding Letters of Credit and the aggregate amount of any unpaid LC Disbursements to be held as cash collateral for such Secured Obligations, to payment of any amounts owing with respect to Banking Services Obligations and Swap Obligations, and </w:t>
      </w:r>
      <w:r>
        <w:rPr>
          <w:rFonts w:ascii="Arial" w:cs="Arial" w:eastAsia="Arial" w:hAnsi="Arial"/>
          <w:sz w:val="17"/>
          <w:szCs w:val="17"/>
          <w:u w:val="single" w:color="auto"/>
          <w:color w:val="auto"/>
        </w:rPr>
        <w:t>fifth</w:t>
      </w:r>
      <w:r>
        <w:rPr>
          <w:rFonts w:ascii="Arial" w:cs="Arial" w:eastAsia="Arial" w:hAnsi="Arial"/>
          <w:sz w:val="17"/>
          <w:szCs w:val="17"/>
          <w:color w:val="auto"/>
        </w:rPr>
        <w:t>, to the payment of any other Secured Obligations due to the Administrative Agent or any Lender by the Loan Parties. The Administrative Agent and the Lenders shall have the continuing and exclusive right to apply and reverse and reapply any and all such proceeds and payments to any portion of the Secured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-726440</wp:posOffset>
            </wp:positionV>
            <wp:extent cx="285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Upon the occurrence and during the continuance of an Event of Default, the Collateral Agent may exercise any rights and remedies provided to the Collateral Agent under the Loan Documents or at law or equity, including all remedies provided under the UCC.</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 and the Collateral Agent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Each of the Lenders and each of the Issuing Banks hereby irrevocably appoints JPMorgan Chase Bank, N.A. as Administrative Agent and Collateral Agent hereunder and under each other Loan Document, and each of the Lenders and each of the Issuing Banks authorizes each of the Agents to take such actions on its behalf and to exercise such powers as are delegated to the Agents by the terms hereof and the terms of the other Loan Documents, together with such actions and powers as are reasonably incidental thereto.</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Company or any Subsidiary or other Affiliate thereof as if it were not the Administrative Agent hereunder.</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No Agent shall have any duties or obligations except those expressly set forth herein. Without limiting the generality of the foregoing, (a) no Agent shall be subject to any fiduciary or other implied duties, regardless of whether a Default has occurred and is continuing, (b) no Agent shall have any duty to take any discretionary action or exercise any discretionary powers, except discretionary rights and powers expressly contemplated hereby that such Agent is required to exercise in writing as directed by the Required Lenders (or such other number or percentage of the Lenders as shall be necessary under the circumstances as provided in Section 9.02), and (c) except as expressly set forth herein, no Agent shall have any duty to disclose, and shall not be liable for the failure to disclose, any information relating to the Company or any of its Subsidiaries that is communicated to or obtained by the bank serving as either Agent or any of its Affiliates in any capacity. No Agent shall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No Agent shall be deemed to have knowledge of any Default unless and until written notice thereof is given to such Agent by the Company or a Lender, and neither Agent shall be responsible for or have any duty to ascertain or inquire into (i) any statement, warranty or representation made in or in connection with this Agreement, (ii) the contents of any certificate, report or other document delivered hereunder or in connection herewith, (iii) the performance or observance of any of the covenants, agreements or other terms or conditions set forth herein, (iv) the validity, enforceability, effectiveness or genuineness of this Agreement or any other agreement, instrument or document, (v) the satisfaction of any condition set forth in Article IV or elsewhere herein, other than to confirm receipt of items expressly required to be delivered to such Agent or (vi) the creation, perfection or priority of Liens on the Collateral or the existence of the Collateral.</w:t>
      </w:r>
    </w:p>
    <w:p>
      <w:pPr>
        <w:spacing w:after="0" w:line="169"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The Agents shall be entitled to rely upon, and shall not incur any liability for relying upon, any notice, request, certificate, consent, statement, instrument, document or other writing believed by it to be genuine and to have been signed or sent by the proper Person. The Agents also may rely upon any statement made to it orally or by telephone and believed by it to be made by the proper Person, and shall not incur any liability for relying thereon. The Agents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7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Either Agent may perform any and all its duties and exercise its rights and powers by or through any one or more sub-agents appointed by such Agent. The Agents and any such sub-agent may perform any and all its duties and exercise its rights and powers through their respective Related Parties. The exculpatory provisions of the preceding paragraphs shall apply to any such sub-agent and to the Related Parties of the Agents and any such sub-agent, and shall apply to their respective activities in connection with the syndication of the credit facilities provided for herein as well as activities as an Agent.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6" w:name="page167"/>
    <w:bookmarkEnd w:id="166"/>
    <w:p>
      <w:pPr>
        <w:jc w:val="both"/>
        <w:ind w:firstLine="1297"/>
        <w:spacing w:after="0" w:line="288" w:lineRule="auto"/>
        <w:rPr>
          <w:sz w:val="20"/>
          <w:szCs w:val="20"/>
          <w:color w:val="auto"/>
        </w:rPr>
      </w:pPr>
      <w:r>
        <w:rPr>
          <w:rFonts w:ascii="Arial" w:cs="Arial" w:eastAsia="Arial" w:hAnsi="Arial"/>
          <w:sz w:val="16"/>
          <w:szCs w:val="16"/>
          <w:color w:val="auto"/>
        </w:rPr>
        <w:t>Subject to the appointment and acceptance of a successor Agent as provided in this paragraph, any Agent may resign at any time by notifying the Lenders, the Issuing Banks and the Company. Upon any such resignation, the Required Lenders shall have the right, in consultation with the Company, to appoint a successor. If no successor shall have been so appointed by the Required Lenders and shall have accepted such appointment within thirty (30) days after the retiring Agent gives notice of its resignation, then the retiring Agent may, on behalf of the Lenders and the Issuing Banks, appoint a successor Agent which shall be a bank with an office in New York, New York, or an Affiliate of any such bank. Upon the acceptance of its appointment as the applicable Agent hereunder by a successor, such successor shall succeed to and become vested with all the rights, powers, privileges and duties of the retiring Agent, and the retiring Agent shall be discharged from its duties and obligations hereunder. The fees payable by any Borrower to a successor Agent shall be the same as those payable to its predecessor unless otherwise agreed between such Borrower and such successor. After any Agent’s resignation hereunder, the provisions of this Article and Section 9.03 shall continue in effect for the benefit of such retiring Agent, its sub-agents and their respective Related Parties in respect of any actions taken or omitted to be taken by any of them while it was acting as Agent.</w:t>
      </w:r>
    </w:p>
    <w:p>
      <w:pPr>
        <w:spacing w:after="0" w:line="16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its business and has, independently and without reliance upon either Agent or any other Lender and based on such documents and information as it has deemed appropriate, made its own credit analysis and decision to enter into this Agreement as a Lender, and to make, acquire or hold Loans hereunder. Each Lender also acknowledges that it will, independently and without reliance upon either Agent or any other Lender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spacing w:after="0" w:line="18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None of the Lenders, if any, identified in this Agreement as a Syndication Agent or Documentation Agent shall have any right, power, obligation, liability, responsibility or duty under this Agreement other than those applicable to all Lenders as such. Without limiting the foregoing, none of such Lenders shall have or be deemed to have a fiduciary relationship with any Lender. Each Lender hereby makes the same acknowledgments with respect to the relevant Lenders in their respective capacities as Syndication Agent and Documentation Agent as it makes with respect to the Administrative Agent in the preceding paragraph.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7" w:name="page168"/>
    <w:bookmarkEnd w:id="167"/>
    <w:p>
      <w:pPr>
        <w:jc w:val="both"/>
        <w:ind w:firstLine="1297"/>
        <w:spacing w:after="0" w:line="283" w:lineRule="auto"/>
        <w:rPr>
          <w:sz w:val="20"/>
          <w:szCs w:val="20"/>
          <w:color w:val="auto"/>
        </w:rPr>
      </w:pPr>
      <w:r>
        <w:rPr>
          <w:rFonts w:ascii="Arial" w:cs="Arial" w:eastAsia="Arial" w:hAnsi="Arial"/>
          <w:sz w:val="16"/>
          <w:szCs w:val="16"/>
          <w:color w:val="auto"/>
        </w:rPr>
        <w:t>In its capacity, the Collateral Agent is a “representative” of the Holders of Secured Obligations within the meaning of the term “secured party” as defined in the New York Uniform Commercial Code. Each Lender authorizes the Collateral Agent to enter into each of the Collateral Documents to which it is a party and to take all action contemplated by such documents. Each Lender agrees that no Holder of Secured Obligations (other than the Collateral Agent) shall have the right individually to seek to realize upon the security granted by any Collateral Document, it being understood and agreed that such rights and remedies may be exercised solely by the Collateral Agent for the benefit of the Holders of Secured Obligations upon the terms of the Collateral Documents. In the event that any Collateral is hereafter pledged by any Person as collateral security for the Secured Obligations, the Collateral Agent is hereby authorized, and hereby granted a power of attorney, to execute and deliver on behalf of the Holders of Secured Obligations any Loan Documents necessary or appropriate to grant and perfect a Lien on such Collateral in favor of the Collateral Agent on behalf of the Holders of Secured Obligations. The Lenders hereby authorize the Collateral Agent, at its option and in its discretion, to release any Lien granted to or held by the Collateral Agent upon any Collateral (i) as described in Section 9.02(b); (ii) as permitted by, but only in accordance with, the terms of the applicable Loan Document; or</w:t>
      </w:r>
    </w:p>
    <w:p>
      <w:pPr>
        <w:spacing w:after="0" w:line="6" w:lineRule="exact"/>
        <w:rPr>
          <w:sz w:val="20"/>
          <w:szCs w:val="20"/>
          <w:color w:val="auto"/>
        </w:rPr>
      </w:pPr>
    </w:p>
    <w:p>
      <w:pPr>
        <w:jc w:val="both"/>
        <w:ind w:firstLine="8"/>
        <w:spacing w:after="0" w:line="286" w:lineRule="auto"/>
        <w:tabs>
          <w:tab w:leader="none" w:pos="32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if approved, authorized or ratified in writing by the Required Lenders, unless such release is required to be approved by all of the Lenders hereunder. Upon request by the Collateral Agent at any time, the Lenders will confirm in writing the Collateral Agent’s authority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upon at least five Business Days’ prior written request by the Company to the Collateral Agent, the Collateral Agent shall (and is hereby irrevocably authorized by the Lenders to) execute such documents as may be necessary to evidence the release of the Liens granted to the Collateral Agent for the benefit of the Holders of Secured Obligations herein or pursuant hereto upon the Collateral that was sold or transferred;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Collateral Agent shall not be required to execute any such document on terms which, in the Collateral Agent’s opinion, would expose the Collateral Agent to liability or create any obligation or entail any consequence other than the release of such Liens without recourse or warranty, and (ii) such release shall not in any manner discharge, affect or impair the Secured Obligations or any Liens upon (or obligations of the Company or any Subsidiary in respect of) all interests retained by the Company or any Subsidiary, including (without limitation) the proceeds of the sale, all of which shall continue to constitute part of the Collateral.</w:t>
      </w:r>
    </w:p>
    <w:p>
      <w:pPr>
        <w:spacing w:after="0" w:line="16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Each Borrower, on its behalf and on behalf of its Subsidiaries, and each Lender, on its behalf and on the behalf of its affiliated Holders of Secured Obligations, hereby irrevocably constitute the Collateral Agent as the holder of an irrevocable power of attorney (</w:t>
      </w:r>
      <w:r>
        <w:rPr>
          <w:rFonts w:ascii="Arial" w:cs="Arial" w:eastAsia="Arial" w:hAnsi="Arial"/>
          <w:sz w:val="17"/>
          <w:szCs w:val="17"/>
          <w:i w:val="1"/>
          <w:iCs w:val="1"/>
          <w:color w:val="auto"/>
        </w:rPr>
        <w:t>fondé de pouvoir</w:t>
      </w:r>
      <w:r>
        <w:rPr>
          <w:rFonts w:ascii="Arial" w:cs="Arial" w:eastAsia="Arial" w:hAnsi="Arial"/>
          <w:sz w:val="17"/>
          <w:szCs w:val="17"/>
          <w:color w:val="auto"/>
        </w:rPr>
        <w:t xml:space="preserve"> within the meaning of Article 2692 of the Civil Code of Québec) in order to hold hypothecs and security granted by each Borrower or any Subsidiary on property pursuant to the laws of the Province of Quebec to secure obligations of any Borrower or any Subsidiary under any bond, debenture or similar title of indebtedness issued by any Borrower or any Subsidiary in connection with this Agreement, and agree that the Collateral Agent may act as the bondholder and mandatary with respect to any bond, debenture or similar title of indebtedness that may be issued by any Borrower or any Subsidiary and pledged in favor of the Holder of Secured Obligations in connection with this Agreement. Notwithstanding the provisions of Section 32 of the An Act respecting the special powers of legal persons (Quebec), JPMorgan Chase Bank, N.A. as Collateral Agent may acquire and be the holder of any bond issued by any Borrower or any Subsidiary in connection with this Agreement (i.e., the </w:t>
      </w:r>
      <w:r>
        <w:rPr>
          <w:rFonts w:ascii="Arial" w:cs="Arial" w:eastAsia="Arial" w:hAnsi="Arial"/>
          <w:sz w:val="17"/>
          <w:szCs w:val="17"/>
          <w:i w:val="1"/>
          <w:iCs w:val="1"/>
          <w:color w:val="auto"/>
        </w:rPr>
        <w:t>fondé de pouvoir</w:t>
      </w:r>
      <w:r>
        <w:rPr>
          <w:rFonts w:ascii="Arial" w:cs="Arial" w:eastAsia="Arial" w:hAnsi="Arial"/>
          <w:sz w:val="17"/>
          <w:szCs w:val="17"/>
          <w:color w:val="auto"/>
        </w:rPr>
        <w:t xml:space="preserve"> may acquire and hold the first bond issued under any deed of hypothec by any Borrower or any Subsidiary).</w:t>
      </w:r>
    </w:p>
    <w:p>
      <w:pPr>
        <w:spacing w:after="0" w:line="17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The Collateral Agent is hereby authorized to execute and deliver any documents necessary or appropriate to create and perfect the rights of pledge for the benefit of the Holders of Secured Obligations including a right of pledge with respect to the entitlements to profits, the balance left after winding up and the voting rights of the Company as ultimate parent of any subsidiary of the Company which is organized under the laws of the Netherlands and the Equity Interests of which are pledged in connection herewith (a “</w:t>
      </w:r>
      <w:r>
        <w:rPr>
          <w:rFonts w:ascii="Arial" w:cs="Arial" w:eastAsia="Arial" w:hAnsi="Arial"/>
          <w:sz w:val="17"/>
          <w:szCs w:val="17"/>
          <w:u w:val="single" w:color="auto"/>
          <w:color w:val="auto"/>
        </w:rPr>
        <w:t>Dutch Pledge</w:t>
      </w:r>
      <w:r>
        <w:rPr>
          <w:rFonts w:ascii="Arial" w:cs="Arial" w:eastAsia="Arial" w:hAnsi="Arial"/>
          <w:sz w:val="17"/>
          <w:szCs w:val="17"/>
          <w:color w:val="auto"/>
        </w:rPr>
        <w:t>”). Without prejudice to the provisions of this Agreement and the other Loan Documents, the parties hereto acknowledge and agree with the creation of parallel debt obligations of the Company or any relevant Subsidiary as will be described in any Dutch Pledge (the “</w:t>
      </w:r>
      <w:r>
        <w:rPr>
          <w:rFonts w:ascii="Arial" w:cs="Arial" w:eastAsia="Arial" w:hAnsi="Arial"/>
          <w:sz w:val="17"/>
          <w:szCs w:val="17"/>
          <w:u w:val="single" w:color="auto"/>
          <w:color w:val="auto"/>
        </w:rPr>
        <w:t>Parallel Debt</w:t>
      </w:r>
      <w:r>
        <w:rPr>
          <w:rFonts w:ascii="Arial" w:cs="Arial" w:eastAsia="Arial" w:hAnsi="Arial"/>
          <w:sz w:val="17"/>
          <w:szCs w:val="17"/>
          <w:color w:val="auto"/>
        </w:rPr>
        <w:t>”), including that any payment received by the Collateral Agent in respect of the Parallel Debt will - conditionally upon such payment not subsequently being avoided or reduced by virtue of any provisions or enactments relating to bankruptcy, insolvency, preference, liquidation or similar laws of general application - be deemed a satisfaction of a pro rata portion of the corresponding amounts of the Secured Obligations, and any payment to the Holders of Secured Obligations in satisfaction of the Secured Obligations shall - conditionally upon such payment not subsequently being avoided or reduced by virtue of any provisions or enactments relating to bankruptcy, insolvency, preference, liquidation or similar laws of general application - be deemed as satisfaction of the corresponding amount of the Parallel Debt. The parties hereto acknowledge and agree that, for purposes of a Dutch Pledge, any resignation by the Collateral Agent is not effective until its rights under the Parallel Debt are assigned to the successor Collateral Agent.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8" w:name="page169"/>
    <w:bookmarkEnd w:id="168"/>
    <w:p>
      <w:pPr>
        <w:jc w:val="both"/>
        <w:ind w:firstLine="1297"/>
        <w:spacing w:after="0" w:line="288" w:lineRule="auto"/>
        <w:rPr>
          <w:sz w:val="20"/>
          <w:szCs w:val="20"/>
          <w:color w:val="auto"/>
        </w:rPr>
      </w:pPr>
      <w:r>
        <w:rPr>
          <w:rFonts w:ascii="Arial" w:cs="Arial" w:eastAsia="Arial" w:hAnsi="Arial"/>
          <w:sz w:val="16"/>
          <w:szCs w:val="16"/>
          <w:color w:val="auto"/>
        </w:rPr>
        <w:t>The parties hereto acknowledge and agree for the purposes of taking and ensuring the continuing validity of German law governed pledges (</w:t>
      </w:r>
      <w:r>
        <w:rPr>
          <w:rFonts w:ascii="Arial" w:cs="Arial" w:eastAsia="Arial" w:hAnsi="Arial"/>
          <w:sz w:val="16"/>
          <w:szCs w:val="16"/>
          <w:i w:val="1"/>
          <w:iCs w:val="1"/>
          <w:color w:val="auto"/>
        </w:rPr>
        <w:t>Pfandrechte</w:t>
      </w:r>
      <w:r>
        <w:rPr>
          <w:rFonts w:ascii="Arial" w:cs="Arial" w:eastAsia="Arial" w:hAnsi="Arial"/>
          <w:sz w:val="16"/>
          <w:szCs w:val="16"/>
          <w:color w:val="auto"/>
        </w:rPr>
        <w:t>) with the creation of parallel debt obligations of the Borrowers as will be further described in a separate German law governed parallel debt undertaking. The Collateral Agent shall (i) hold such parallel debt undertaking as fiduciary agent (</w:t>
      </w:r>
      <w:r>
        <w:rPr>
          <w:rFonts w:ascii="Arial" w:cs="Arial" w:eastAsia="Arial" w:hAnsi="Arial"/>
          <w:sz w:val="16"/>
          <w:szCs w:val="16"/>
          <w:i w:val="1"/>
          <w:iCs w:val="1"/>
          <w:color w:val="auto"/>
        </w:rPr>
        <w:t>Treuhaender</w:t>
      </w:r>
      <w:r>
        <w:rPr>
          <w:rFonts w:ascii="Arial" w:cs="Arial" w:eastAsia="Arial" w:hAnsi="Arial"/>
          <w:sz w:val="16"/>
          <w:szCs w:val="16"/>
          <w:color w:val="auto"/>
        </w:rPr>
        <w:t>) and (ii) administer and hold as fiduciary agent (</w:t>
      </w:r>
      <w:r>
        <w:rPr>
          <w:rFonts w:ascii="Arial" w:cs="Arial" w:eastAsia="Arial" w:hAnsi="Arial"/>
          <w:sz w:val="16"/>
          <w:szCs w:val="16"/>
          <w:i w:val="1"/>
          <w:iCs w:val="1"/>
          <w:color w:val="auto"/>
        </w:rPr>
        <w:t>Treuhaender</w:t>
      </w:r>
      <w:r>
        <w:rPr>
          <w:rFonts w:ascii="Arial" w:cs="Arial" w:eastAsia="Arial" w:hAnsi="Arial"/>
          <w:sz w:val="16"/>
          <w:szCs w:val="16"/>
          <w:color w:val="auto"/>
        </w:rPr>
        <w:t>) any pledge created under a German law governed Collateral Document which is created in favor of any Holder of the Secured Obligations or transferred to any Holder of the Secured Obligations due to its accessory nature (</w:t>
      </w:r>
      <w:r>
        <w:rPr>
          <w:rFonts w:ascii="Arial" w:cs="Arial" w:eastAsia="Arial" w:hAnsi="Arial"/>
          <w:sz w:val="16"/>
          <w:szCs w:val="16"/>
          <w:i w:val="1"/>
          <w:iCs w:val="1"/>
          <w:color w:val="auto"/>
        </w:rPr>
        <w:t>Akzessorietaet</w:t>
      </w:r>
      <w:r>
        <w:rPr>
          <w:rFonts w:ascii="Arial" w:cs="Arial" w:eastAsia="Arial" w:hAnsi="Arial"/>
          <w:sz w:val="16"/>
          <w:szCs w:val="16"/>
          <w:color w:val="auto"/>
        </w:rPr>
        <w:t>), in each case in its own name and for the account of the Holders of the Secured Obligations. Each Lender, on its own behalf and on behalf of its affiliated Holders of Secured Obligations, hereby authorizes the Collateral Agent to enter as its agent in its name and on its behalf into any German law governed Collateral Document, to accept as its agent in its name and on its behalf any pledge under such Collateral Document and to agree to and execute as agent its in its name and on its behalf any amendments, supplements and other alterations to any such Collateral Document and to release any such Collateral Document and any pledge created under any such Collateral Document in accordance with the provisions herein and/or the provisions in any such Collateral Document.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181" w:lineRule="exact"/>
        <w:rPr>
          <w:sz w:val="20"/>
          <w:szCs w:val="20"/>
          <w:color w:val="auto"/>
        </w:rPr>
      </w:pPr>
    </w:p>
    <w:p>
      <w:pPr>
        <w:ind w:left="1580" w:hanging="275"/>
        <w:spacing w:after="0"/>
        <w:tabs>
          <w:tab w:leader="none" w:pos="15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if to any Borrower, to it c/o Photronics, Inc., 15 Secor Road, Brookfield, Connecticut 06804, Attention of Sean T. Smith (Telecopy No.</w:t>
      </w:r>
    </w:p>
    <w:p>
      <w:pPr>
        <w:spacing w:after="0" w:line="46" w:lineRule="exact"/>
        <w:rPr>
          <w:rFonts w:ascii="Arial" w:cs="Arial" w:eastAsia="Arial" w:hAnsi="Arial"/>
          <w:sz w:val="16"/>
          <w:szCs w:val="16"/>
          <w:color w:val="auto"/>
        </w:rPr>
      </w:pPr>
    </w:p>
    <w:p>
      <w:pPr>
        <w:ind w:left="1100" w:hanging="444"/>
        <w:spacing w:after="0"/>
        <w:tabs>
          <w:tab w:leader="none" w:pos="11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775-5601; Telephone No. (203) 740-5671), with a copy (in the case of notices of Default) to Attention of Richelle Burr, Esq. (Telecopy No.</w:t>
      </w:r>
    </w:p>
    <w:p>
      <w:pPr>
        <w:spacing w:after="0" w:line="32" w:lineRule="exact"/>
        <w:rPr>
          <w:rFonts w:ascii="Arial" w:cs="Arial" w:eastAsia="Arial" w:hAnsi="Arial"/>
          <w:sz w:val="16"/>
          <w:szCs w:val="16"/>
          <w:color w:val="auto"/>
        </w:rPr>
      </w:pPr>
    </w:p>
    <w:p>
      <w:pPr>
        <w:ind w:left="1100" w:hanging="444"/>
        <w:spacing w:after="0"/>
        <w:tabs>
          <w:tab w:leader="none" w:pos="11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775-5601; Telephone No. (203) 740-5285);</w:t>
      </w:r>
    </w:p>
    <w:p>
      <w:pPr>
        <w:spacing w:after="0" w:line="210" w:lineRule="exact"/>
        <w:rPr>
          <w:rFonts w:ascii="Arial" w:cs="Arial" w:eastAsia="Arial" w:hAnsi="Arial"/>
          <w:sz w:val="18"/>
          <w:szCs w:val="18"/>
          <w:color w:val="auto"/>
        </w:rPr>
      </w:pPr>
    </w:p>
    <w:p>
      <w:pPr>
        <w:jc w:val="both"/>
        <w:ind w:left="660" w:firstLine="645"/>
        <w:spacing w:after="0" w:line="243" w:lineRule="auto"/>
        <w:tabs>
          <w:tab w:leader="none" w:pos="1642" w:val="left"/>
        </w:tabs>
        <w:numPr>
          <w:ilvl w:val="1"/>
          <w:numId w:val="121"/>
        </w:numPr>
        <w:rPr>
          <w:rFonts w:ascii="Arial" w:cs="Arial" w:eastAsia="Arial" w:hAnsi="Arial"/>
          <w:sz w:val="17"/>
          <w:szCs w:val="17"/>
          <w:color w:val="auto"/>
        </w:rPr>
      </w:pPr>
      <w:r>
        <w:rPr>
          <w:rFonts w:ascii="Arial" w:cs="Arial" w:eastAsia="Arial" w:hAnsi="Arial"/>
          <w:sz w:val="17"/>
          <w:szCs w:val="17"/>
          <w:color w:val="auto"/>
        </w:rPr>
        <w:t>if to the Administrative Agent or Collateral Agent, (A) in the case of Borrowings denominated in Dollars, to JPMorgan Chase Bank, N.A., 10 South Dearborn Street, 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Chicago, Illinois 60603, Attention of Darren Cunningham (Telecopy No. (888) 292-9533) and (B) in the case of Borrowings in Foreign Currencies, to J.P. Morgan Europe Limited, 25 Bank Street, Canary Wharf, London E14 5JP, Attention of The Manager, Loan &amp; Agency Services (Telecopy No. 44 207 777 2360), and in each case with a copy to JPMorgan Chase Bank, N.A., 270 Park Avenue, 43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Floor, New York, New York 10017, Attention of Justin Burton (Telecopy No. (212) 622-8998);</w:t>
      </w:r>
    </w:p>
    <w:p>
      <w:pPr>
        <w:spacing w:after="0" w:line="77" w:lineRule="exact"/>
        <w:rPr>
          <w:rFonts w:ascii="Arial" w:cs="Arial" w:eastAsia="Arial" w:hAnsi="Arial"/>
          <w:sz w:val="17"/>
          <w:szCs w:val="17"/>
          <w:color w:val="auto"/>
        </w:rPr>
      </w:pPr>
    </w:p>
    <w:p>
      <w:pPr>
        <w:jc w:val="both"/>
        <w:ind w:left="660" w:firstLine="645"/>
        <w:spacing w:after="0" w:line="264" w:lineRule="auto"/>
        <w:tabs>
          <w:tab w:leader="none" w:pos="168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to an Issuing Bank, to it at (ii) JPMorgan Chase Bank N.A., Sarjapur Outer Ring Rd, Vathur Hobli, Floor 04, Bangalore, 560 087, India, Attention Ajay Prabhu (Telecopy No. (+91-80) 66762387), or in the case of any other Issuing Bank, to it at the address and telecopy number specified from time to time by such Issuing Bank to the Borrower and the Administrative Agent;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9" w:name="page170"/>
    <w:bookmarkEnd w:id="169"/>
    <w:p>
      <w:pPr>
        <w:ind w:left="660" w:right="20" w:firstLine="645"/>
        <w:spacing w:after="0" w:line="277" w:lineRule="auto"/>
        <w:tabs>
          <w:tab w:leader="none" w:pos="172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to the Swingline Lender, to it at JPMorgan Chase Bank, N.A., 10 South Dearborn Street, 7th Floor, Chicago, Illinois 60603, Attention of Darren Cunningham (Telecopy No. (888) 292-9533)); and</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to any other Lender, to it at its address (or telecopy number) set forth in its Administrative Questionnaire.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paragraph (b) below, shall be effective as provided in said paragraph (b).</w:t>
      </w:r>
    </w:p>
    <w:p>
      <w:pPr>
        <w:spacing w:after="0" w:line="187" w:lineRule="exact"/>
        <w:rPr>
          <w:sz w:val="20"/>
          <w:szCs w:val="20"/>
          <w:color w:val="auto"/>
        </w:rPr>
      </w:pPr>
    </w:p>
    <w:p>
      <w:pPr>
        <w:jc w:val="both"/>
        <w:ind w:firstLine="1305"/>
        <w:spacing w:after="0" w:line="257" w:lineRule="auto"/>
        <w:tabs>
          <w:tab w:leader="none" w:pos="161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Notices and other communications to the Lenders and the Issuing Banks hereunder may be delivered or furnished by using Electronic Systems pursuant to procedures approved by the Administrative Agent; provided that the foregoing shall not apply to notices pursuant to Article II unless otherwise agreed by the Administrative Agent and the applicable Lender. The Administrative Agent or the Company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8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Unless any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jc w:val="both"/>
        <w:ind w:firstLine="1305"/>
        <w:spacing w:after="0" w:line="264" w:lineRule="auto"/>
        <w:tabs>
          <w:tab w:leader="none" w:pos="161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81" w:lineRule="exact"/>
        <w:rPr>
          <w:rFonts w:ascii="Arial" w:cs="Arial" w:eastAsia="Arial" w:hAnsi="Arial"/>
          <w:sz w:val="18"/>
          <w:szCs w:val="18"/>
          <w:color w:val="auto"/>
        </w:rPr>
      </w:pPr>
    </w:p>
    <w:p>
      <w:pPr>
        <w:ind w:left="1600" w:hanging="295"/>
        <w:spacing w:after="0"/>
        <w:tabs>
          <w:tab w:leader="none" w:pos="160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Electronic Systems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64" w:lineRule="auto"/>
        <w:tabs>
          <w:tab w:leader="none" w:pos="161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agrees that the Agents may, but shall not be obligated to, make Communications (as defined below) available to the Issuing Banks and the Lenders by posting the Communications on Debt Domain, Intralinks, Syndtrak, ClearPar or a substantially similar Electronic System.</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0" w:name="page171"/>
    <w:bookmarkEnd w:id="170"/>
    <w:p>
      <w:pPr>
        <w:jc w:val="both"/>
        <w:ind w:left="660" w:firstLine="645"/>
        <w:spacing w:after="0" w:line="269" w:lineRule="auto"/>
        <w:tabs>
          <w:tab w:leader="none" w:pos="162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Any Electronic System used by the Agents is provided “as is” and “as available.” The Agent Parties (as defined below) do not warrant the adequacy of such Electronic Systems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any Electronic System. In no event shall either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have any liability to any Loan Party, any Lender, any Issuing Bank or any other Person or entity for damages of any kind, including, without limitation, direct or indirect, special, incidental or consequential damages, losses or expenses (whether in tort, contract or otherwise) arising out of any Loan Party’s or any Agent’s transmission of Communications through an Electronic System. “</w:t>
      </w:r>
      <w:r>
        <w:rPr>
          <w:rFonts w:ascii="Arial" w:cs="Arial" w:eastAsia="Arial" w:hAnsi="Arial"/>
          <w:sz w:val="17"/>
          <w:szCs w:val="17"/>
          <w:u w:val="single" w:color="auto"/>
          <w:color w:val="auto"/>
        </w:rPr>
        <w:t>Communications</w:t>
      </w:r>
      <w:r>
        <w:rPr>
          <w:rFonts w:ascii="Arial" w:cs="Arial" w:eastAsia="Arial" w:hAnsi="Arial"/>
          <w:sz w:val="17"/>
          <w:szCs w:val="17"/>
          <w:color w:val="auto"/>
        </w:rPr>
        <w:t>” means, collectively, any notice, demand, communication, information, document or other material provided by or on behalf of any Loan Party pursuant to any Loan Document or the transactions contemplated therein which is distributed by any Agent, any Lender or any Issuing Bank by means of electronic communications pursuant to this Section, including through an Electronic System.</w:t>
      </w:r>
    </w:p>
    <w:p>
      <w:pPr>
        <w:spacing w:after="0" w:line="18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Waivers; Amendments</w:t>
      </w:r>
      <w:r>
        <w:rPr>
          <w:rFonts w:ascii="Arial" w:cs="Arial" w:eastAsia="Arial" w:hAnsi="Arial"/>
          <w:sz w:val="17"/>
          <w:szCs w:val="17"/>
          <w:color w:val="auto"/>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2" w:lineRule="exact"/>
        <w:rPr>
          <w:sz w:val="20"/>
          <w:szCs w:val="20"/>
          <w:color w:val="auto"/>
        </w:rPr>
      </w:pPr>
    </w:p>
    <w:p>
      <w:pPr>
        <w:jc w:val="both"/>
        <w:ind w:firstLine="1305"/>
        <w:spacing w:after="0" w:line="282" w:lineRule="auto"/>
        <w:tabs>
          <w:tab w:leader="none" w:pos="162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 xml:space="preserve">Except as provided in Section 2.20 with respect to an Incremental Term Loan Amendment,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(iv) change Section 2.18(b) or (c) in a manner that would alter the pro rata sharing of payments required thereby, without the written consent of each Lender, (v)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to be parties to an Incremental Term Loan Amendment, Incremental Term Loans may be included in the determination of Required Lenders on substantially the same basis as the Commitments and the Revolving Loans are included on the Effective Date), or (vi) release the Company or all or substantially all of the Subsidiary Guarantors from their obligations under Article X or the Subsidiary Guaranty or release all or substantially all of the Collateral, as applicable, without the written consent of each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modify or otherwise affect the rights or duties of the Administrative Agent, the Collateral Agent, any Issuing Bank or the Swingline Lender hereunder without the prior written consent of the Administrative Agent, the Collateral Agent, such Issuing Bank or the Swingline Lender, as the case may be. Notwithstanding the foregoing, no consent with respect to any amendment, waiver or other modification of this Agreement shall be required of any Defaulting Lender, except with respect to any amendment, waiver or other modification referred to in clause (i),</w:t>
      </w:r>
    </w:p>
    <w:p>
      <w:pPr>
        <w:spacing w:after="0" w:line="12" w:lineRule="exact"/>
        <w:rPr>
          <w:rFonts w:ascii="Arial" w:cs="Arial" w:eastAsia="Arial" w:hAnsi="Arial"/>
          <w:sz w:val="16"/>
          <w:szCs w:val="16"/>
          <w:color w:val="auto"/>
        </w:rPr>
      </w:pPr>
    </w:p>
    <w:p>
      <w:pPr>
        <w:ind w:right="20" w:firstLine="8"/>
        <w:spacing w:after="0" w:line="261" w:lineRule="auto"/>
        <w:tabs>
          <w:tab w:leader="none" w:pos="27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or (iii) of the first proviso of this paragraph and then only in the event such Defaulting Lender shall be directly affected by such amendment, waiver or other modification.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1" w:name="page172"/>
    <w:bookmarkEnd w:id="171"/>
    <w:p>
      <w:pPr>
        <w:jc w:val="both"/>
        <w:ind w:firstLine="1305"/>
        <w:spacing w:after="0" w:line="273" w:lineRule="auto"/>
        <w:tabs>
          <w:tab w:leader="none" w:pos="1623" w:val="left"/>
        </w:tabs>
        <w:numPr>
          <w:ilvl w:val="0"/>
          <w:numId w:val="129"/>
        </w:numPr>
        <w:rPr>
          <w:rFonts w:ascii="Arial" w:cs="Arial" w:eastAsia="Arial" w:hAnsi="Arial"/>
          <w:sz w:val="17"/>
          <w:szCs w:val="17"/>
          <w:color w:val="auto"/>
        </w:rPr>
      </w:pPr>
      <w:r>
        <w:rPr>
          <w:rFonts w:ascii="Arial" w:cs="Arial" w:eastAsia="Arial" w:hAnsi="Arial"/>
          <w:sz w:val="17"/>
          <w:szCs w:val="17"/>
          <w:color w:val="auto"/>
        </w:rPr>
        <w:t>Notwithstanding the foregoing, this Agreement and any other Loan Document may be amended (or amended and restated) with the written consent of the Required Lenders, the Administrative Agent and the Borrowers to each relevant Loan Document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Incremental Term Loans and the accrued interest and fees in respect thereof and (y) to include appropriately the Lenders holding such credit facilities in any determination of the Required Lenders and Lenders.</w:t>
      </w:r>
    </w:p>
    <w:p>
      <w:pPr>
        <w:spacing w:after="0" w:line="178" w:lineRule="exact"/>
        <w:rPr>
          <w:rFonts w:ascii="Arial" w:cs="Arial" w:eastAsia="Arial" w:hAnsi="Arial"/>
          <w:sz w:val="17"/>
          <w:szCs w:val="17"/>
          <w:color w:val="auto"/>
        </w:rPr>
      </w:pPr>
    </w:p>
    <w:p>
      <w:pPr>
        <w:jc w:val="both"/>
        <w:ind w:firstLine="1305"/>
        <w:spacing w:after="0" w:line="285" w:lineRule="auto"/>
        <w:tabs>
          <w:tab w:leader="none" w:pos="161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Lenders hereby irrevocably authorize the Collateral Agent, at its option and in its sole discretion, to release any Liens granted to the Collateral Agent by the Loan Parties on any Collateral (i) upon the termination of all the Commitments, payment and satisfaction in full in cash of all Secured Obligations, and the cash collateralization of all LC Exposure in a manner satisfactory to the Administrative Agent, (ii) constituting property being sold or disposed of if the Company certifies to the Administrative Agent that the sale or disposition is made in compliance with the terms of this Agreement (and the Administrative Agent may rely conclusively on any such certificate, without further inquiry), (iii) constituting property leased to the Company or any Subsidiary under a lease which has expired or been terminated in a transaction permitted under this Agreement, or (iv) as required to effect any sale or other disposition of such Collateral in connection with any exercise of remedies of the Agents and the Lenders pursuant to Article VII. Any such release shall not in any manner discharge, affect, or impair the Secured Obligations or any Liens (other than those expressly being released) upon (or obligations of the Loan Parties in respect of) all interests retained by the Loan Parties, including the proceeds of any sale, all of which shall continue to constitute part of the Collateral. In addition to the foregoing, the Lenders hereby consent to (i) the release of, and hereby authorize the Collateral Agent to release, the pledge of Equity Interests of PSMC solely for purposes of consummating the PSMC Acquisition so long as, not later than ten (10) Business Days after consummation of the PSMC Acquisition (or such later date as the Administrative Agent agrees in its reasonable discretion), the Company causes the Applicable Pledge Percentage of the issued and outstanding Equity Interests of PAMC (in the case of consummation of the Cash Option (as defined in the definition of PSMC Acquisition)) or PSMC (in the case of consummation of the Merger Option (as defined in the definition of PSMC Acquisition)) to be subject to a first priority and perfected Lien in favor of the Collateral Agent to secure the Secured Obligations, pursuant to documentation reasonably satisfactory to the Collateral Agent and (ii) the release of, and hereby authorize the Collateral Agent to release, the pledge of Equity Interests of the Taiwan JV solely for purposes of consummating the Taiwan JV Transactions so long as, not later than ten (10) Business Days after consummation of the applicable Taiwan JV Transactions (or such later date as the Administrative Agent agrees in its reasonable discretion), the Company causes the Applicable Pledge Percentage of the issued and outstanding Equity Interests of the applicable Subsidiary that owns the Equity Interests in the Taiwan JV to be subject to a first priority and perfected Lien in favor of the Collateral Agent to secure the Secured Obligations, pursuant to documentation reasonably satisfactory to the Collateral Agent.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2" w:name="page173"/>
    <w:bookmarkEnd w:id="172"/>
    <w:p>
      <w:pPr>
        <w:ind w:firstLine="1305"/>
        <w:spacing w:after="0" w:line="308" w:lineRule="auto"/>
        <w:tabs>
          <w:tab w:leader="none" w:pos="16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Administrative Agent may, with the consent of the Company only, amend, modify or supplement this Agreement or any of the other Loan Documents to cure any ambiguity, omission, mistake, defect or inconsistency.</w:t>
      </w:r>
    </w:p>
    <w:p>
      <w:pPr>
        <w:spacing w:after="0" w:line="14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 (a) The Company shall pay (i) all reasonable out-of-pocket expenses incurred by the Agents and their Affiliates, including the reasonable fees, charges and disbursements of counsel for each Agent,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any demand for payment thereunder and (iii) all reasonable out-of-pocket expenses incurred by the Agents, any Issuing Bank or any Lender, including the fees, charges and disbursements of any counsel for either Agent, any Issuing Bank or any Lender, in connection with the enforcement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67" w:lineRule="exact"/>
        <w:rPr>
          <w:sz w:val="20"/>
          <w:szCs w:val="20"/>
          <w:color w:val="auto"/>
        </w:rPr>
      </w:pPr>
    </w:p>
    <w:p>
      <w:pPr>
        <w:jc w:val="both"/>
        <w:ind w:firstLine="1305"/>
        <w:spacing w:after="0" w:line="286" w:lineRule="auto"/>
        <w:tabs>
          <w:tab w:leader="none" w:pos="160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Company shall indemnify the Agents, each Issuing Bank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hereby or thereby, the performance by the parties hereto of their respective obligations 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whether brought by a third party of by the Company or any of its Subsidiaries,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or from the material breach of such Indemnitee’s obligations under the Loan Documents pursuant to a claim initiated by the Company.</w:t>
      </w:r>
    </w:p>
    <w:p>
      <w:pPr>
        <w:spacing w:after="0" w:line="171" w:lineRule="exact"/>
        <w:rPr>
          <w:rFonts w:ascii="Arial" w:cs="Arial" w:eastAsia="Arial" w:hAnsi="Arial"/>
          <w:sz w:val="16"/>
          <w:szCs w:val="16"/>
          <w:color w:val="auto"/>
        </w:rPr>
      </w:pPr>
    </w:p>
    <w:p>
      <w:pPr>
        <w:jc w:val="both"/>
        <w:ind w:firstLine="1305"/>
        <w:spacing w:after="0" w:line="273" w:lineRule="auto"/>
        <w:tabs>
          <w:tab w:leader="none" w:pos="162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To the extent that the Company fails to pay any amount required to be paid by it to the Agents, any Issuing Bank or the Swingline Lender under paragraph (a) or (b) of this Section, each Lender severally agrees to pay to the relevant Agent, any Issuing Bank or the Swingline Lender, as the case may be, such Lender’s Applicable Percentage (determined as of the time that the applicable unreimbursed expense or indemnity payment is sought) of such unpaid amount (it being understood that the Borrower’s failure to pay any such amount shall not relieve the Borrower of any default in the payment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relevant Agent, any Issuing Bank or the Swingline Lender in its capacity as such.</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3" w:name="page174"/>
    <w:bookmarkEnd w:id="173"/>
    <w:p>
      <w:pPr>
        <w:jc w:val="both"/>
        <w:ind w:firstLine="1305"/>
        <w:spacing w:after="0" w:line="276" w:lineRule="auto"/>
        <w:tabs>
          <w:tab w:leader="none" w:pos="167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To the extent permitted by applicable law, no Borrower shall assert, and each Borrower hereby waives, any claim against any Indemnitee (i) 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72" w:lineRule="exact"/>
        <w:rPr>
          <w:rFonts w:ascii="Arial" w:cs="Arial" w:eastAsia="Arial" w:hAnsi="Arial"/>
          <w:sz w:val="17"/>
          <w:szCs w:val="17"/>
          <w:color w:val="auto"/>
        </w:rPr>
      </w:pPr>
    </w:p>
    <w:p>
      <w:pPr>
        <w:ind w:left="1600" w:hanging="295"/>
        <w:spacing w:after="0"/>
        <w:tabs>
          <w:tab w:leader="none" w:pos="16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not later than fifteen (15) days after written demand therefor.</w:t>
      </w:r>
    </w:p>
    <w:p>
      <w:pPr>
        <w:spacing w:after="0" w:line="22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 The provisions of this Agreement shall be binding upon and inure to the benefit of the parties hereto and their respective successors and assigns permitted hereby (including any Affiliate of the relevant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relevant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197"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(b)(i) Subject to the conditions set forth in paragraph (b)(ii)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of:</w:t>
      </w:r>
    </w:p>
    <w:p>
      <w:pPr>
        <w:spacing w:after="0" w:line="181" w:lineRule="exact"/>
        <w:rPr>
          <w:sz w:val="20"/>
          <w:szCs w:val="20"/>
          <w:color w:val="auto"/>
        </w:rPr>
      </w:pPr>
    </w:p>
    <w:p>
      <w:pPr>
        <w:jc w:val="both"/>
        <w:ind w:left="1300" w:firstLine="653"/>
        <w:spacing w:after="0" w:line="259" w:lineRule="auto"/>
        <w:tabs>
          <w:tab w:leader="none" w:pos="226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the Company (provided that the Company shall be deemed to have consented to any such assignment unless it shall object thereto by written notice to the Administrative Agent within five (5) Business Days after having received notice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Company shall be required for an assignment to a Lender, an Affiliate of a Lender, an Approved Fund or, if an Event of Default has occurred and is continuing, any other assignee; and</w:t>
      </w:r>
    </w:p>
    <w:p>
      <w:pPr>
        <w:spacing w:after="0" w:line="186" w:lineRule="exact"/>
        <w:rPr>
          <w:rFonts w:ascii="Arial" w:cs="Arial" w:eastAsia="Arial" w:hAnsi="Arial"/>
          <w:sz w:val="18"/>
          <w:szCs w:val="18"/>
          <w:color w:val="auto"/>
        </w:rPr>
      </w:pPr>
    </w:p>
    <w:p>
      <w:pPr>
        <w:ind w:left="2240" w:hanging="287"/>
        <w:spacing w:after="0"/>
        <w:tabs>
          <w:tab w:leader="none" w:pos="22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jc w:val="both"/>
        <w:ind w:left="1300" w:firstLine="653"/>
        <w:spacing w:after="0" w:line="297" w:lineRule="auto"/>
        <w:tabs>
          <w:tab w:leader="none" w:pos="224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Company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Company shall be required if an Event of Default has occurred and is continuing;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4" w:name="page175"/>
    <w:bookmarkEnd w:id="174"/>
    <w:p>
      <w:pPr>
        <w:jc w:val="both"/>
        <w:ind w:left="1300" w:firstLine="653"/>
        <w:spacing w:after="0" w:line="264" w:lineRule="auto"/>
        <w:tabs>
          <w:tab w:leader="none" w:pos="226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spacing w:after="0" w:line="181" w:lineRule="exact"/>
        <w:rPr>
          <w:rFonts w:ascii="Arial" w:cs="Arial" w:eastAsia="Arial" w:hAnsi="Arial"/>
          <w:sz w:val="18"/>
          <w:szCs w:val="18"/>
          <w:color w:val="auto"/>
        </w:rPr>
      </w:pPr>
    </w:p>
    <w:p>
      <w:pPr>
        <w:ind w:left="1300" w:firstLine="653"/>
        <w:spacing w:after="0" w:line="277" w:lineRule="auto"/>
        <w:tabs>
          <w:tab w:leader="none" w:pos="223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 and</w:t>
      </w:r>
    </w:p>
    <w:p>
      <w:pPr>
        <w:spacing w:after="0" w:line="170" w:lineRule="exact"/>
        <w:rPr>
          <w:rFonts w:ascii="Arial" w:cs="Arial" w:eastAsia="Arial" w:hAnsi="Arial"/>
          <w:sz w:val="18"/>
          <w:szCs w:val="18"/>
          <w:color w:val="auto"/>
        </w:rPr>
      </w:pPr>
    </w:p>
    <w:p>
      <w:pPr>
        <w:ind w:left="2240" w:hanging="287"/>
        <w:spacing w:after="0"/>
        <w:tabs>
          <w:tab w:leader="none" w:pos="22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the purposes of this Section 9.04(b), the terms “Approved Fund” and “Ineligible Institution” have the following meanings:</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Institution</w:t>
      </w:r>
      <w:r>
        <w:rPr>
          <w:rFonts w:ascii="Arial" w:cs="Arial" w:eastAsia="Arial" w:hAnsi="Arial"/>
          <w:sz w:val="17"/>
          <w:szCs w:val="17"/>
          <w:color w:val="auto"/>
        </w:rPr>
        <w:t>” means (a) a natural person, (b) a Defaulting Lender, (c) the Company, any of its Subsidiaries or any of its Affiliates, or (d) a company, investment vehicle or trust for, or owned and operated for the primary benefit of, a natural person or relative(s) thereof.</w:t>
      </w:r>
    </w:p>
    <w:p>
      <w:pPr>
        <w:spacing w:after="0" w:line="147" w:lineRule="exact"/>
        <w:rPr>
          <w:sz w:val="20"/>
          <w:szCs w:val="20"/>
          <w:color w:val="auto"/>
        </w:rPr>
      </w:pPr>
    </w:p>
    <w:p>
      <w:pPr>
        <w:jc w:val="both"/>
        <w:ind w:firstLine="1305"/>
        <w:spacing w:after="0" w:line="254" w:lineRule="auto"/>
        <w:tabs>
          <w:tab w:leader="none" w:pos="166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92" w:lineRule="exact"/>
        <w:rPr>
          <w:rFonts w:ascii="Arial" w:cs="Arial" w:eastAsia="Arial" w:hAnsi="Arial"/>
          <w:sz w:val="18"/>
          <w:szCs w:val="18"/>
          <w:color w:val="auto"/>
        </w:rPr>
      </w:pPr>
    </w:p>
    <w:p>
      <w:pPr>
        <w:jc w:val="both"/>
        <w:ind w:firstLine="1305"/>
        <w:spacing w:after="0" w:line="255" w:lineRule="auto"/>
        <w:tabs>
          <w:tab w:leader="none" w:pos="1679"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an agent of each Borrower,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the Borrowers,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spacing w:after="0" w:line="189" w:lineRule="exact"/>
        <w:rPr>
          <w:rFonts w:ascii="Arial" w:cs="Arial" w:eastAsia="Arial" w:hAnsi="Arial"/>
          <w:sz w:val="18"/>
          <w:szCs w:val="18"/>
          <w:color w:val="auto"/>
        </w:rPr>
      </w:pPr>
    </w:p>
    <w:p>
      <w:pPr>
        <w:jc w:val="both"/>
        <w:ind w:firstLine="1305"/>
        <w:spacing w:after="0" w:line="291" w:lineRule="auto"/>
        <w:tabs>
          <w:tab w:leader="none" w:pos="1634" w:val="left"/>
        </w:tabs>
        <w:numPr>
          <w:ilvl w:val="1"/>
          <w:numId w:val="136"/>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w:t>
      </w:r>
    </w:p>
    <w:p>
      <w:pPr>
        <w:jc w:val="both"/>
        <w:ind w:firstLine="8"/>
        <w:spacing w:after="0" w:line="252" w:lineRule="auto"/>
        <w:tabs>
          <w:tab w:leader="none" w:pos="28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either the assigning Lender or the assignee shall have failed to make any payment required to be made by it pursuant to Section 2.05(c),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5" w:name="page176"/>
    <w:bookmarkEnd w:id="175"/>
    <w:p>
      <w:pPr>
        <w:jc w:val="both"/>
        <w:ind w:firstLine="1305"/>
        <w:spacing w:after="0" w:line="287" w:lineRule="auto"/>
        <w:tabs>
          <w:tab w:leader="none" w:pos="178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 Any Lender may, without the consent of the Company, the Administrative Agent, the Issuing Banks or the Swingline Lender,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other than an Ineligible Institution, in all or a portion of such Lender’s rights and obligations under this Agreement (including all or a portion of its Commitment and the Loans owing to it); provided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Section 9.02(b) that affects such Participant. Subject to paragraph (c)(ii) of this Section, each Borrower agrees that each Participant shall be entitled to the benefits of Sections 2.15, 2.16 and 2.17 to the same extent as if it were a Lender and had acquired its interest by assignment pursuant to paragraph (b) of this Section. To the extent permitted by law, each Participant also shall be entitled to the benefits of Section 9.08 as though it were a Lender, provided such Participant agrees to be subject to Section 2.18(c) as though it were a Lender.</w:t>
      </w:r>
    </w:p>
    <w:p>
      <w:pPr>
        <w:spacing w:after="0" w:line="196" w:lineRule="exact"/>
        <w:rPr>
          <w:sz w:val="20"/>
          <w:szCs w:val="20"/>
          <w:color w:val="auto"/>
        </w:rPr>
      </w:pPr>
    </w:p>
    <w:p>
      <w:pPr>
        <w:jc w:val="both"/>
        <w:ind w:firstLine="1305"/>
        <w:spacing w:after="0" w:line="255" w:lineRule="auto"/>
        <w:tabs>
          <w:tab w:leader="none" w:pos="182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Participant (x) agrees to be subject to the provisions of Sections 2.18 and 2.19 as if it were an assignee under paragraph (b) of this Section and (y) shall not be entitled to receive any greater payment under Section 2.15 or 2.17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Section 2.17 unless the Company is notified of the participation sold to such Participant and such Participant agrees, for the benefit of the Company, to comply with Section 2.17(e) as though it were a Lender.</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Lender that sells a participation shall, acting solely for this purpose as a non-fiduciary agent of each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6" w:name="page177"/>
    <w:bookmarkEnd w:id="176"/>
    <w:p>
      <w:pPr>
        <w:jc w:val="both"/>
        <w:ind w:firstLine="1305"/>
        <w:spacing w:after="0" w:line="279" w:lineRule="auto"/>
        <w:tabs>
          <w:tab w:leader="none" w:pos="190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spacing w:after="0" w:line="19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6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2"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7" w:name="page178"/>
    <w:bookmarkEnd w:id="177"/>
    <w:p>
      <w:pPr>
        <w:jc w:val="both"/>
        <w:ind w:firstLine="1297"/>
        <w:spacing w:after="0" w:line="255"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Right of Setoff</w:t>
      </w:r>
      <w:r>
        <w:rPr>
          <w:rFonts w:ascii="Arial" w:cs="Arial" w:eastAsia="Arial" w:hAnsi="Arial"/>
          <w:sz w:val="18"/>
          <w:szCs w:val="18"/>
          <w:color w:val="auto"/>
        </w:rPr>
        <w:t>.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any Borrower against any of and all the obligations of such Borrower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8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(a) This Agreement shall be construed in accordance with and governed by the law of the State of New York.</w:t>
      </w:r>
    </w:p>
    <w:p>
      <w:pPr>
        <w:spacing w:after="0" w:line="170" w:lineRule="exact"/>
        <w:rPr>
          <w:sz w:val="20"/>
          <w:szCs w:val="20"/>
          <w:color w:val="auto"/>
        </w:rPr>
      </w:pPr>
    </w:p>
    <w:p>
      <w:pPr>
        <w:jc w:val="both"/>
        <w:ind w:firstLine="1305"/>
        <w:spacing w:after="0" w:line="290" w:lineRule="auto"/>
        <w:tabs>
          <w:tab w:leader="none" w:pos="161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Each Borrower hereby irrevocably and unconditionally submits, for itself and its property, to the exclusive jurisdiction of the Supreme Court of the State of New York sitting in New York County, Borough of Manhattan, and of the United States District Court for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against any Borrower or its properties in the courts of any jurisdiction.</w:t>
      </w:r>
    </w:p>
    <w:p>
      <w:pPr>
        <w:spacing w:after="0" w:line="166" w:lineRule="exact"/>
        <w:rPr>
          <w:rFonts w:ascii="Arial" w:cs="Arial" w:eastAsia="Arial" w:hAnsi="Arial"/>
          <w:sz w:val="16"/>
          <w:szCs w:val="16"/>
          <w:color w:val="auto"/>
        </w:rPr>
      </w:pPr>
    </w:p>
    <w:p>
      <w:pPr>
        <w:jc w:val="both"/>
        <w:ind w:firstLine="1305"/>
        <w:spacing w:after="0" w:line="259" w:lineRule="auto"/>
        <w:tabs>
          <w:tab w:leader="none" w:pos="160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jc w:val="both"/>
        <w:ind w:firstLine="1305"/>
        <w:spacing w:after="0" w:line="285" w:lineRule="auto"/>
        <w:tabs>
          <w:tab w:leader="none" w:pos="16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Each party to this Agreement irrevocably consents to service of process in the manner provided for notices in Section 9.01. Each Foreign Subsidiary Borrower irrevocably designates and appoints the Company, as its authorized agent, to accept and acknowledge on its behalf, service of any and all process which may be served in any suit, action or proceeding of the nature referred to in Section 9.09(b) in any federal or New York State court sitting in New York City. The Company hereby represents, warrants and confirms that the Company has agreed to accept such appointment (and any similar appointment by a Subsidiary Guarantor which is a Foreign Subsidiary). Said designation and appointment shall be irrevocable by each such Foreign Subsidiary Borrower until all Loans, all reimbursement obligations, interest thereon and all other amounts payable by such Foreign Subsidiary Borrower hereunder and under the other Loan Documents shall have been paid in full in accordance with the provisions hereof and thereof and such Foreign Subsidiary Borrower shall have been terminated as a Borrower hereunder pursuant to Section 2.23. Each Foreign Subsidiary Borrower hereby consents to process being served in any suit, action or proceeding of the nature referred to in Section 9.09(b) in any federal or New York State court sitting in New York City by service of process upon the Company as provided in this Section 9.09(d);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lawful and possible, notice of said service upon such agent shall be mailed by registered or certified air mail, postage prepaid, return receipt requested, to the Company and (if applicable to) such Foreign Subsidiary Borrower at its address set forth in the Borrowing Subsidiary Agreement to which it is a party or to any other address of which such Foreign Subsidiary Borrower shall have given written notice to the Administrative Agent (with a copy thereof to the Company). Each Foreign Subsidiary Borrower irrevocably waives, to the fullest extent permitted by law, all claim of error by reason of any such service in such manner and agrees that such service shall be deemed in every respect effective service of process upon such Foreign Subsidiary Borrower in any such suit, action or proceeding and shall, to the fullest extent permitted by law, be taken and held to be valid and personal service upon and personal delivery to such Foreign Subsidiary Borrower. To the extent any Foreign Subsidiary Borrower has or hereafter may acquire any immunity from jurisdiction of any court or from any legal process (whether from service or notice, attachment prior to judgment, attachment in aid of execution of a judgment, execution or otherwise), each Foreign Subsidiary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8" w:name="page179"/>
    <w:bookmarkEnd w:id="178"/>
    <w:p>
      <w:pPr>
        <w:jc w:val="both"/>
        <w:ind w:firstLine="1297"/>
        <w:spacing w:after="0" w:line="254"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7"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laws or regulations or by any subpoena or similar legal process,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any Borrower and its obligations, (g) with the consent of the Company or (h) to the extent such Information (i) becomes publicly available other than as a result of a breach of this Section or (ii) becomes available to the Administrative Agent, any Issuing Bank or any Lender on a nonconfidential basis from a source other than the Company or any of its Subsidiaries. For the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the Company relating to the Company or its business, other than any such information that is available to the Administrative Agent, any Issuing Bank or any Lender on a nonconfidential basis prior to disclosure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information received from the Company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9" w:name="page180"/>
    <w:bookmarkEnd w:id="179"/>
    <w:p>
      <w:pPr>
        <w:jc w:val="both"/>
        <w:ind w:firstLine="1297"/>
        <w:spacing w:after="0" w:line="259"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Patriot Act hereby notifies each Borrower that pursuant to the requirements of the Patriot Act, it is required to obtain, verify and record information that identifies such Borrower, which information includes the name and address of such Borrower and other information that will allow such Lender to identify such Borrower in accordance with the Patriot Act.</w:t>
      </w:r>
    </w:p>
    <w:p>
      <w:pPr>
        <w:spacing w:after="0" w:line="18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Appointment for Perfection</w:t>
      </w:r>
      <w:r>
        <w:rPr>
          <w:rFonts w:ascii="Arial" w:cs="Arial" w:eastAsia="Arial" w:hAnsi="Arial"/>
          <w:sz w:val="17"/>
          <w:szCs w:val="17"/>
          <w:color w:val="auto"/>
        </w:rPr>
        <w:t>. Each Lender hereby appoints each other Lender as its agent for the purpose of perfecting Liens, for the benefit of the Collateral Agent and the Holders of Secured Obligations, in assets which, in accordance with Article 9 of the UCC or any other applicable law can be perfected only by possession. Should any Lender (other than the Collateral Agent) obtain possession of any such Collateral, such Lender shall notify the Collateral Agent thereof, and, promptly upon the Collateral Agent’s request therefor shall deliver such Collateral to the Collateral Agent or otherwise deal with such Collateral in accordance with the Collateral Agent’s instructions.</w:t>
      </w:r>
    </w:p>
    <w:p>
      <w:pPr>
        <w:spacing w:after="0" w:line="17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7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SECTION 9.16. </w:t>
      </w:r>
      <w:r>
        <w:rPr>
          <w:rFonts w:ascii="Arial" w:cs="Arial" w:eastAsia="Arial" w:hAnsi="Arial"/>
          <w:sz w:val="17"/>
          <w:szCs w:val="17"/>
          <w:u w:val="single" w:color="auto"/>
          <w:color w:val="auto"/>
        </w:rPr>
        <w:t>No Advisory or Fiduciary Responsibility</w:t>
      </w:r>
      <w:r>
        <w:rPr>
          <w:rFonts w:ascii="Arial" w:cs="Arial" w:eastAsia="Arial" w:hAnsi="Arial"/>
          <w:sz w:val="17"/>
          <w:szCs w:val="17"/>
          <w:color w:val="auto"/>
        </w:rPr>
        <w:t>. In connection with all aspects of each transaction contemplated hereby (including in connection with any amendment, waiver or other modification hereof or of any other Loan Document), the Company acknowledges and agrees that: (i) (A) the arranging and other services regarding this Agreement provided by the Lenders are arm’s-length commercial transactions between the Company and its Affiliates, on the one hand, and the Lenders and their Affiliates, on the other hand, (B) the Company has consulted its own legal, accounting, regulatory and tax advisors to the extent it has deemed appropriate, and (C) the Company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the Company or any of its Affiliates, or any other Person and (B) no Lender or any of its Affiliates has any obligation to the Company or any of its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the Company and its Affiliates, and no Lender or any of its Affiliates has any obligation to disclose any of such interests to the Borrower or its Affiliates. To the fullest extent permitted by law, the Company hereby waives and releases any claims that it may have against each of the Lenders and their Affiliates with respect to any breach or alleged breach of agency or fiduciary duty in connection with any aspect of any transaction contemplated hereby.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0" w:name="page181"/>
    <w:bookmarkEnd w:id="180"/>
    <w:p>
      <w:pPr>
        <w:ind w:left="1300"/>
        <w:spacing w:after="0"/>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Releases of Subsidiary Guarantors</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93" w:lineRule="auto"/>
        <w:tabs>
          <w:tab w:leader="none" w:pos="160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A Subsidiary Guarantor shall automatically be released from its obligations under the Subsidiary Guaranty upon the consummation of any transaction permitted by this Agreement as a result of which such Subsidiary Guarantor ceases to be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164" w:lineRule="exact"/>
        <w:rPr>
          <w:rFonts w:ascii="Arial" w:cs="Arial" w:eastAsia="Arial" w:hAnsi="Arial"/>
          <w:sz w:val="16"/>
          <w:szCs w:val="16"/>
          <w:color w:val="auto"/>
        </w:rPr>
      </w:pPr>
    </w:p>
    <w:p>
      <w:pPr>
        <w:jc w:val="both"/>
        <w:ind w:firstLine="1305"/>
        <w:spacing w:after="0" w:line="276" w:lineRule="auto"/>
        <w:tabs>
          <w:tab w:leader="none" w:pos="1609"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At such time as the principal and interest on the Loans, all LC Disbursements, the fees, expenses and other amounts payable under the Loan Documents and the other Secured Obligations (other than Swap Obligations, Banking Services Obligations, and other Obligations expressly stated to survive such payment and termination) shall have been paid in full in cash, the Commitments shall have been terminated and no Letters of Credit shall be outstanding, the Subsidiary Guaranty and all obligations (other than those expressly stated to survive such termination) of each Subsidiary Guarantor thereunder shall automatically terminate, all without delivery of any instrument or performance of any act by any Person.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Company Guarantee</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In order to induce the Lenders to extend credit to the other Borrowers hereunder, the Company hereby irrevocably and unconditionally guarantees, as a primary obligor and not merely as a surety, the payment when and as due of the Secured Obligations of such other Borrowers. The Company further agrees that the due and punctual payment of such Secured Obligations may be extended or renewed, in whole or in part, without notice to or further assent from it, and that it will remain bound upon its guarantee hereunder notwithstanding any such extension or renewal of any such Secured Obligation.</w:t>
      </w:r>
    </w:p>
    <w:p>
      <w:pPr>
        <w:spacing w:after="0" w:line="15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The Company waives presentment to, demand of payment from and protest to any Borrower of any of the Secured Obligations, and also waives notice of acceptance of its obligations and notice of protest for nonpayment. The obligations of the Company hereunder shall not be affected by (a) the failure of either Agent, any Issuing Bank or any Lender to assert any claim or demand or to enforce any right or remedy against any Borrower under the provisions of this Agreement, any other Loan Document or otherwise; (b) any extension or renewal of any of the Secured Obligations; (c) any rescission, waiver, amendment or modification of, or release from, any of the terms or provisions of this Agreement, or any other Loan Document or agreement; (d) any default, failure or delay, willful or otherwise, in the performance of any of the Secured Obligations; (e) the failure of either Agent to take any steps to perfect and maintain any security interest in, or to preserve any rights to, any security or collateral for the Secured Obligations, if any; (f) any change in the corporate, partnership or other existence, structure or ownership of any Borrower or any other guarantor of any of the Secured Obligations; (g) the enforceability or validity of the Secured Obligations or any part thereof or the genuineness, enforceability or validity of any agreement relating thereto or with respect to any collateral securing the Secured Obligations or any part thereof, or any other invalidity or unenforceability relating to or against any Borrower or any other guarantor of any of the Secured Obligations, for any reason related to this Agreement, any Swap Agreement, any Banking Services Agreement, any other Loan Document, or any provision of applicable law, decree, order or regulation of any jurisdiction purporting to prohibit the payment by such Borrower or any other guarantor of the Secured Obligations, of any of the Secured Obligations or otherwise affecting any term of any of the Secured Obligations; or (h) any other act, omission or delay to do any other act which may or might in any manner or to any extent vary the risk of such Borrower or otherwise operate as a discharge of a guarantor as a matter of law or equity or which would impair or eliminate any right of such Borrower to subrogation.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1" w:name="page182"/>
    <w:bookmarkEnd w:id="181"/>
    <w:p>
      <w:pPr>
        <w:jc w:val="both"/>
        <w:ind w:firstLine="1297"/>
        <w:spacing w:after="0" w:line="279" w:lineRule="auto"/>
        <w:rPr>
          <w:sz w:val="20"/>
          <w:szCs w:val="20"/>
          <w:color w:val="auto"/>
        </w:rPr>
      </w:pPr>
      <w:r>
        <w:rPr>
          <w:rFonts w:ascii="Arial" w:cs="Arial" w:eastAsia="Arial" w:hAnsi="Arial"/>
          <w:sz w:val="17"/>
          <w:szCs w:val="17"/>
          <w:color w:val="auto"/>
        </w:rPr>
        <w:t>The Company further agrees that its agreement hereunder constitutes a guarantee of payment when due (whether or not any bankruptcy or similar proceeding shall have stayed the accrual or collection of any of the Secured Obligations or operated as a discharge thereof) and not merely of collection, and waives any right to require that any resort be had by either Agent, any Issuing Bank or any Lender to any balance of any deposit account or credit on the books of either Agent, any Issuing Bank or any Lender in favor of any Borrower or any other Person.</w:t>
      </w:r>
    </w:p>
    <w:p>
      <w:pPr>
        <w:spacing w:after="0" w:line="17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obligations of the Company hereunder shall not be subject to any reduction, limitation, impairment or termination for any reason, and shall not be subject to any defense or set-off, counterclaim, recoupment or termination whatsoever, by reason of the invalidity, illegality or unenforceability of any of the Secured Obligations, any impossibility in the performance of any of the Secured Obligations or otherwise, except for the prior indefeasible payment in full in cash of all the Secured Obligations. Nothing contained in this Article X is intended to, or shall limit, restrict or preclude the Company from pursuing and maintaining a separate legal action based on the acts or omissions of the either Agent or any Lender in connection with any such Person’s gross negligence or willful misconduct.</w:t>
      </w:r>
    </w:p>
    <w:p>
      <w:pPr>
        <w:spacing w:after="0" w:line="19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Company further agrees that its obligations hereunder shall constitute a continuing and irrevocable guarantee of all Secured Obligations now or hereafter existing and shall continue to be effective or be reinstated, as the case may be, if at any time payment, or any part thereof, of any Secured Obligation (including a payment effected through exercise of a right of setoff) is rescinded, or is or must otherwise be restored or returned by either Agent, any Issuing Bank or any Lender upon the insolvency, bankruptcy or reorganization of any Borrower or otherwise (including pursuant to any settlement entered into by a Secured Party in its discretion).</w:t>
      </w:r>
    </w:p>
    <w:p>
      <w:pPr>
        <w:spacing w:after="0" w:line="18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In furtherance of the foregoing and not in limitation of any other right which either Agent, any Issuing Bank or any Lender may have at law or in equity against any Borrower by virtue hereof, upon the failure of any other Borrower to pay any Secured Obligation when and as the same shall become due, whether at maturity, by acceleration, after notice of prepayment or otherwise, the Company hereby promises to and will, upon receipt of written demand by either Agent, any Issuing Bank or any Lender, forthwith pay, or cause to be paid, to the relevant Agent, the relevant Issuing Bank or any Lender in cash an amount equal to the unpaid principal amount of such Secured Obligations then due, together with accrued and unpaid interest thereon. The Company further agrees that if payment in respect of any Secured Obligation shall be due in a currency other than Dollars and/or at a place of payment other than New York or any other Eurocurrency Payment Office and if, by reason of any Change in Law, disruption of currency or foreign exchange markets, war or civil disturbance or other event, payment of such Secured Obligation in such currency or at such place of payment shall be impossible or, in the reasonable judgment of either Agent, any Issuing Bank or any Lender, disadvantageous to the relevant Agent, the relevant Issuing Bank or any Lender in any material respect, then, at the election of the relevant Agent, the Company shall make payment of such Secured Obligation in Dollars (based upon the applicable Equivalent Amount in effect on the date of payment) and/or in New York or such other Eurocurrency Payment Office as is designated by the Administrative Agent and, as a separate and independent obligation, shall indemnify the Agents, any Issuing Bank and any Lender against any losses or reasonable out-of-pocket expenses that it shall sustain as a result of such alternative payment.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2" w:name="page183"/>
    <w:bookmarkEnd w:id="182"/>
    <w:p>
      <w:pPr>
        <w:jc w:val="both"/>
        <w:ind w:firstLine="1297"/>
        <w:spacing w:after="0" w:line="264" w:lineRule="auto"/>
        <w:rPr>
          <w:sz w:val="20"/>
          <w:szCs w:val="20"/>
          <w:color w:val="auto"/>
        </w:rPr>
      </w:pPr>
      <w:r>
        <w:rPr>
          <w:rFonts w:ascii="Arial" w:cs="Arial" w:eastAsia="Arial" w:hAnsi="Arial"/>
          <w:sz w:val="18"/>
          <w:szCs w:val="18"/>
          <w:color w:val="auto"/>
        </w:rPr>
        <w:t>Upon payment by the Company of any sums as provided above, all rights of the Company against any Borrower arising as a result thereof by way of right of subrogation or otherwise shall in all respects be subordinated and junior in right of payment to the prior indefeasible payment in full in cash of all the Secured Obligations owed by such Borrower to the Agents, the Issuing Banks and the Lenders.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Nothing shall discharge or satisfy the liability of the Company hereunder except the full performance and payment in cash of the Secured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211"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The Company hereby absolutely, unconditionally and irrevocably undertakes to provide such funds or other support as may be needed from time to time by each other Loan Party to honor all of its obligations under the Subsidiary Guaranty in respect of Specified Swap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Company shall only be liable under this paragraph for the maximum amount of such liability that can be hereby incurred without rendering its obligations under this paragraph or otherwise under this Article X voidable under applicable law relating to fraudulent conveyance or fraudulent transfer, and not for any greater amount). The Company intends that this paragraph constitute, and this paragraph shall be deemed to constitute, a “keepwell, support, or other agreement” for the benefit of each other Guarantor for all purposes of Section 1a(18)(A)(v)(II) of the Commodity Exchange Act.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3" w:name="page184"/>
    <w:bookmarkEnd w:id="183"/>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PHOTRONICS, INC., as the Company</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Third Amended and Restated Credit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Photronics,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4" w:name="page185"/>
    <w:bookmarkEnd w:id="184"/>
    <w:p>
      <w:pPr>
        <w:ind w:left="4520"/>
        <w:spacing w:after="0" w:line="342" w:lineRule="auto"/>
        <w:rPr>
          <w:sz w:val="20"/>
          <w:szCs w:val="20"/>
          <w:color w:val="auto"/>
        </w:rPr>
      </w:pPr>
      <w:r>
        <w:rPr>
          <w:rFonts w:ascii="Arial" w:cs="Arial" w:eastAsia="Arial" w:hAnsi="Arial"/>
          <w:sz w:val="16"/>
          <w:szCs w:val="16"/>
          <w:color w:val="auto"/>
        </w:rPr>
        <w:t>JPMORGAN CHASE BANK, N.A., individually as a Lender, as Swingline Lender, as an Issuing Bank, as Collateral Agent and as Administrative Agent</w:t>
      </w:r>
    </w:p>
    <w:p>
      <w:pPr>
        <w:spacing w:after="0" w:line="1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Third Amended and Restated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Photronics,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271780</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185" w:name="page186"/>
    <w:bookmarkEnd w:id="185"/>
    <w:p>
      <w:pPr>
        <w:ind w:left="4520"/>
        <w:spacing w:after="0" w:line="277" w:lineRule="auto"/>
        <w:rPr>
          <w:sz w:val="20"/>
          <w:szCs w:val="20"/>
          <w:color w:val="auto"/>
        </w:rPr>
      </w:pPr>
      <w:r>
        <w:rPr>
          <w:rFonts w:ascii="Arial" w:cs="Arial" w:eastAsia="Arial" w:hAnsi="Arial"/>
          <w:sz w:val="18"/>
          <w:szCs w:val="18"/>
          <w:color w:val="auto"/>
        </w:rPr>
        <w:t>RBS CITIZENS, NATIONAL ASSOCIATION, individually as a Lender, as an Issuing Bank and as Syndication Agent</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Third Amended and Restated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Photronics,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271780</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186" w:name="page187"/>
    <w:bookmarkEnd w:id="186"/>
    <w:p>
      <w:pPr>
        <w:ind w:left="4520"/>
        <w:spacing w:after="0"/>
        <w:rPr>
          <w:sz w:val="20"/>
          <w:szCs w:val="20"/>
          <w:color w:val="auto"/>
        </w:rPr>
      </w:pPr>
      <w:r>
        <w:rPr>
          <w:rFonts w:ascii="Arial" w:cs="Arial" w:eastAsia="Arial" w:hAnsi="Arial"/>
          <w:sz w:val="18"/>
          <w:szCs w:val="18"/>
          <w:color w:val="auto"/>
        </w:rPr>
        <w:t>TD BANK, N.A., as a Lender</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Signature Page to Third Amended and Restated Credit Agreement</w:t>
      </w:r>
    </w:p>
    <w:p>
      <w:pPr>
        <w:spacing w:after="0" w:line="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Photronics,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270510</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gridSpan w:val="3"/>
          </w:tcPr>
          <w:p>
            <w:pPr>
              <w:jc w:val="right"/>
              <w:ind w:right="2380"/>
              <w:spacing w:after="0"/>
              <w:rPr>
                <w:sz w:val="20"/>
                <w:szCs w:val="20"/>
                <w:color w:val="auto"/>
              </w:rPr>
            </w:pPr>
            <w:r>
              <w:rPr>
                <w:rFonts w:ascii="Arial" w:cs="Arial" w:eastAsia="Arial" w:hAnsi="Arial"/>
                <w:sz w:val="18"/>
                <w:szCs w:val="18"/>
                <w:color w:val="auto"/>
                <w:w w:val="92"/>
              </w:rPr>
              <w:t>SCHEDULE 2.01</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940" w:type="dxa"/>
            <w:vAlign w:val="bottom"/>
            <w:gridSpan w:val="4"/>
          </w:tcPr>
          <w:p>
            <w:pPr>
              <w:jc w:val="right"/>
              <w:ind w:right="2360"/>
              <w:spacing w:after="0"/>
              <w:rPr>
                <w:sz w:val="20"/>
                <w:szCs w:val="20"/>
                <w:color w:val="auto"/>
              </w:rPr>
            </w:pPr>
            <w:r>
              <w:rPr>
                <w:rFonts w:ascii="Arial" w:cs="Arial" w:eastAsia="Arial" w:hAnsi="Arial"/>
                <w:sz w:val="18"/>
                <w:szCs w:val="18"/>
                <w:color w:val="auto"/>
              </w:rPr>
              <w:t>COMMITMENTS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00" w:type="dxa"/>
            <w:vAlign w:val="bottom"/>
            <w:gridSpan w:val="4"/>
          </w:tcPr>
          <w:p>
            <w:pPr>
              <w:ind w:left="1140"/>
              <w:spacing w:after="0"/>
              <w:rPr>
                <w:sz w:val="20"/>
                <w:szCs w:val="20"/>
                <w:color w:val="auto"/>
              </w:rPr>
            </w:pPr>
            <w:r>
              <w:rPr>
                <w:rFonts w:ascii="Arial" w:cs="Arial" w:eastAsia="Arial" w:hAnsi="Arial"/>
                <w:sz w:val="18"/>
                <w:szCs w:val="18"/>
                <w:color w:val="auto"/>
              </w:rPr>
              <w:t>LENDER</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COMMITMENT</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3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16,666,666.68</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RBS CITIZENS, NATIONAL ASSOCIATION</w:t>
            </w:r>
          </w:p>
        </w:tc>
        <w:tc>
          <w:tcPr>
            <w:tcW w:w="3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16,666,666.66</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BANK, N.A.</w:t>
            </w:r>
          </w:p>
        </w:tc>
        <w:tc>
          <w:tcPr>
            <w:tcW w:w="3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16,666,666.66</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AGGREGATE COMMITMENT</w:t>
            </w:r>
          </w:p>
        </w:tc>
        <w:tc>
          <w:tcPr>
            <w:tcW w:w="3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50,000,000.00</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1"/>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9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21</w:t>
      </w:r>
    </w:p>
    <w:p>
      <w:pPr>
        <w:spacing w:after="0" w:line="24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SUBSIDIARIES OF PHOTRONICS, INC.</w:t>
      </w:r>
    </w:p>
    <w:p>
      <w:pPr>
        <w:sectPr>
          <w:pgSz w:w="11900" w:h="16838" w:orient="portrait"/>
          <w:cols w:equalWidth="0" w:num="1">
            <w:col w:w="11240"/>
          </w:cols>
          <w:pgMar w:left="240" w:top="30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Align-Rite International, Ltd.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Photronics (Wales) Limited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Photronics Taiwan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California,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Idaho,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Texas Allen,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MZD,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Advanced Mask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Photronics Semiconductor Mask Corporation (1)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Photronics Switzerland,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UK,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PK, Ltd. (2)</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PKLT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Trianja Technologies, Inc.</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State or Jurisdiction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of Incorporation or Organization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(Arizona,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(Idaho,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 R.O.C.)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 R.O.C.)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 R.O.C.)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USA)</w:t>
      </w:r>
    </w:p>
    <w:p>
      <w:pPr>
        <w:spacing w:after="0" w:line="200" w:lineRule="exact"/>
        <w:rPr>
          <w:sz w:val="20"/>
          <w:szCs w:val="20"/>
          <w:color w:val="auto"/>
        </w:rPr>
      </w:pPr>
    </w:p>
    <w:p>
      <w:pPr>
        <w:sectPr>
          <w:pgSz w:w="11900" w:h="16838" w:orient="portrait"/>
          <w:cols w:equalWidth="0" w:num="2">
            <w:col w:w="7980" w:space="720"/>
            <w:col w:w="2540"/>
          </w:cols>
          <w:pgMar w:left="240" w:top="301" w:right="419" w:bottom="1440" w:gutter="0" w:footer="0" w:header="0"/>
          <w:type w:val="continuous"/>
        </w:sectPr>
      </w:pPr>
    </w:p>
    <w:p>
      <w:pPr>
        <w:spacing w:after="0" w:line="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Note: Entities directly owned by subsidiaries of Photronics, Inc. are indented and listed below their immediate parent. Ownership is 100% unless otherwise indicated.</w:t>
      </w:r>
    </w:p>
    <w:p>
      <w:pPr>
        <w:spacing w:after="0" w:line="197"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98.63% owned by Photronics, Inc.</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79.98% owned by Photronics, Inc., and 19.71% owned by Photronics Singapore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40"/>
          </w:cols>
          <w:pgMar w:left="240" w:top="301" w:right="419" w:bottom="1440" w:gutter="0" w:footer="0" w:header="0"/>
          <w:type w:val="continuous"/>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Nos. 333-160235 and 333-161857 on Form S-3 and Registration Statement Nos. 333-169296, 333-169295, 333-02245, 333-42010, 333-50809, 333-86846, 333-78102 and 333-151763 on Form S-8 of our reports dated January 3, 2014, relating to the consolidated financial statements and financial statement schedule of Photronics, Inc. and subsidiaries and the effectiveness of Photronics, Inc. and its subsidiaries’ internal control over financial reporting appearing in this Annual Report on Form 10-K of Photronics, Inc. and its subsidiaries for the year ended November 3,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/s/Deloitte &amp; Touche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504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97" w:right="27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Constantine S. Macricostas, certify that:</w:t>
      </w:r>
    </w:p>
    <w:p>
      <w:pPr>
        <w:spacing w:after="0" w:line="225" w:lineRule="exact"/>
        <w:rPr>
          <w:sz w:val="20"/>
          <w:szCs w:val="20"/>
          <w:color w:val="auto"/>
        </w:rPr>
      </w:pP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25" w:lineRule="exact"/>
        <w:rPr>
          <w:rFonts w:ascii="Arial" w:cs="Arial" w:eastAsia="Arial" w:hAnsi="Arial"/>
          <w:sz w:val="18"/>
          <w:szCs w:val="18"/>
          <w:color w:val="auto"/>
        </w:rPr>
      </w:pPr>
    </w:p>
    <w:p>
      <w:pPr>
        <w:ind w:left="340" w:right="80" w:hanging="332"/>
        <w:spacing w:after="0" w:line="342" w:lineRule="auto"/>
        <w:tabs>
          <w:tab w:leader="none" w:pos="3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40" w:hanging="332"/>
        <w:spacing w:after="0" w:line="308" w:lineRule="auto"/>
        <w:tabs>
          <w:tab w:leader="none" w:pos="3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40" w:hanging="332"/>
        <w:spacing w:after="0" w:line="264" w:lineRule="auto"/>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480" w:hanging="328"/>
        <w:spacing w:after="0" w:line="342" w:lineRule="auto"/>
        <w:tabs>
          <w:tab w:leader="none" w:pos="6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3" w:lineRule="exact"/>
        <w:rPr>
          <w:rFonts w:ascii="Arial" w:cs="Arial" w:eastAsia="Arial" w:hAnsi="Arial"/>
          <w:sz w:val="16"/>
          <w:szCs w:val="16"/>
          <w:color w:val="auto"/>
        </w:rPr>
      </w:pPr>
    </w:p>
    <w:p>
      <w:pPr>
        <w:jc w:val="both"/>
        <w:ind w:left="660" w:right="140" w:hanging="328"/>
        <w:spacing w:after="0" w:line="264" w:lineRule="auto"/>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480" w:hanging="332"/>
        <w:spacing w:after="0" w:line="308" w:lineRule="auto"/>
        <w:tabs>
          <w:tab w:leader="none" w:pos="3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97" w:right="27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25"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25" w:lineRule="exact"/>
        <w:rPr>
          <w:rFonts w:ascii="Arial" w:cs="Arial" w:eastAsia="Arial" w:hAnsi="Arial"/>
          <w:sz w:val="18"/>
          <w:szCs w:val="18"/>
          <w:color w:val="auto"/>
        </w:rPr>
      </w:pPr>
    </w:p>
    <w:p>
      <w:pPr>
        <w:ind w:left="340" w:right="80" w:hanging="332"/>
        <w:spacing w:after="0" w:line="342"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40" w:hanging="332"/>
        <w:spacing w:after="0" w:line="308" w:lineRule="auto"/>
        <w:tabs>
          <w:tab w:leader="none" w:pos="3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40" w:hanging="332"/>
        <w:spacing w:after="0" w:line="264" w:lineRule="auto"/>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480" w:hanging="328"/>
        <w:spacing w:after="0" w:line="342" w:lineRule="auto"/>
        <w:tabs>
          <w:tab w:leader="none" w:pos="66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3" w:lineRule="exact"/>
        <w:rPr>
          <w:rFonts w:ascii="Arial" w:cs="Arial" w:eastAsia="Arial" w:hAnsi="Arial"/>
          <w:sz w:val="16"/>
          <w:szCs w:val="16"/>
          <w:color w:val="auto"/>
        </w:rPr>
      </w:pPr>
    </w:p>
    <w:p>
      <w:pPr>
        <w:jc w:val="both"/>
        <w:ind w:left="660" w:right="140" w:hanging="328"/>
        <w:spacing w:after="0" w:line="264"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480" w:hanging="332"/>
        <w:spacing w:after="0" w:line="308" w:lineRule="auto"/>
        <w:tabs>
          <w:tab w:leader="none" w:pos="3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97" w:right="27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 Constantine S. Macricostas, Chief Executive Officer of Photronics, Inc. (the "Company"), certify, pursuant to Section 906 of the Sarbanes-Oxley Act of 2002, 18 U.S.C. Section 1350, that:</w:t>
      </w:r>
    </w:p>
    <w:p>
      <w:pPr>
        <w:spacing w:after="0" w:line="170" w:lineRule="exact"/>
        <w:rPr>
          <w:sz w:val="20"/>
          <w:szCs w:val="20"/>
          <w:color w:val="auto"/>
        </w:rPr>
      </w:pPr>
    </w:p>
    <w:p>
      <w:pPr>
        <w:ind w:left="500" w:hanging="492"/>
        <w:spacing w:after="0" w:line="277" w:lineRule="auto"/>
        <w:tabs>
          <w:tab w:leader="none" w:pos="5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November 3, 2013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10" w:right="27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 Sean T. Smith, Chief Financial Officer of Photronics, Inc. (the "Company"), certify, pursuant to Section 906 of the Sarbanes-Oxley Act of 2002, 18 U.S.C.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1350, that:</w:t>
      </w:r>
    </w:p>
    <w:p>
      <w:pPr>
        <w:spacing w:after="0" w:line="211" w:lineRule="exact"/>
        <w:rPr>
          <w:sz w:val="20"/>
          <w:szCs w:val="20"/>
          <w:color w:val="auto"/>
        </w:rPr>
      </w:pPr>
    </w:p>
    <w:p>
      <w:pPr>
        <w:ind w:left="500" w:hanging="492"/>
        <w:spacing w:after="0" w:line="277" w:lineRule="auto"/>
        <w:tabs>
          <w:tab w:leader="none" w:pos="5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November 3, 2013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80"/>
      </w:cols>
      <w:pgMar w:left="240" w:top="31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x"/>
      <w:numFmt w:val="bullet"/>
      <w:start w:val="1"/>
    </w:lvl>
  </w:abstractNum>
  <w:abstractNum w:abstractNumId="1">
    <w:nsid w:val="540A471C"/>
    <w:multiLevelType w:val="hybridMultilevel"/>
    <w:lvl w:ilvl="0">
      <w:lvlJc w:val="left"/>
      <w:lvlText w:val="o"/>
      <w:numFmt w:val="bullet"/>
      <w:start w:val="1"/>
    </w:lvl>
  </w:abstractNum>
  <w:abstractNum w:abstractNumId="2">
    <w:nsid w:val="7BD3EE7B"/>
    <w:multiLevelType w:val="hybridMultilevel"/>
    <w:lvl w:ilvl="0">
      <w:lvlJc w:val="left"/>
      <w:lvlText w:val="(%1)"/>
      <w:numFmt w:val="decimal"/>
      <w:start w:val="2"/>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1)"/>
      <w:numFmt w:val="lowerLetter"/>
      <w:start w:val="1"/>
    </w:lvl>
  </w:abstractNum>
  <w:abstractNum w:abstractNumId="5">
    <w:nsid w:val="BF72B14"/>
    <w:multiLevelType w:val="hybridMultilevel"/>
    <w:lvl w:ilvl="0">
      <w:lvlJc w:val="left"/>
      <w:lvlText w:val="(%1)"/>
      <w:numFmt w:val="lowerLetter"/>
      <w:start w:val="1"/>
    </w:lvl>
  </w:abstractNum>
  <w:abstractNum w:abstractNumId="6">
    <w:nsid w:val="11447B73"/>
    <w:multiLevelType w:val="hybridMultilevel"/>
    <w:lvl w:ilvl="0">
      <w:lvlJc w:val="left"/>
      <w:lvlText w:val="%1."/>
      <w:numFmt w:val="decimal"/>
      <w:start w:val="1"/>
    </w:lvl>
  </w:abstractNum>
  <w:abstractNum w:abstractNumId="7">
    <w:nsid w:val="42963E5A"/>
    <w:multiLevelType w:val="hybridMultilevel"/>
    <w:lvl w:ilvl="0">
      <w:lvlJc w:val="left"/>
      <w:lvlText w:val="%1."/>
      <w:numFmt w:val="decimal"/>
      <w:start w:val="2"/>
    </w:lvl>
  </w:abstractNum>
  <w:abstractNum w:abstractNumId="8">
    <w:nsid w:val="A0382C5"/>
    <w:multiLevelType w:val="hybridMultilevel"/>
    <w:lvl w:ilvl="0">
      <w:lvlJc w:val="left"/>
      <w:lvlText w:val="(%1)"/>
      <w:numFmt w:val="lowerLetter"/>
      <w:start w:val="1"/>
    </w:lvl>
  </w:abstractNum>
  <w:abstractNum w:abstractNumId="9">
    <w:nsid w:val="8F2B15E"/>
    <w:multiLevelType w:val="hybridMultilevel"/>
    <w:lvl w:ilvl="0">
      <w:lvlJc w:val="left"/>
      <w:lvlText w:val="%1"/>
      <w:numFmt w:val="decimal"/>
      <w:start w:val="21"/>
    </w:lvl>
  </w:abstractNum>
  <w:abstractNum w:abstractNumId="10">
    <w:nsid w:val="1A32234B"/>
    <w:multiLevelType w:val="hybridMultilevel"/>
    <w:lvl w:ilvl="0">
      <w:lvlJc w:val="left"/>
      <w:lvlText w:val="%1"/>
      <w:numFmt w:val="decimal"/>
      <w:start w:val="23"/>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1."/>
      <w:numFmt w:val="decimal"/>
      <w:start w:val="1"/>
    </w:lvl>
  </w:abstractNum>
  <w:abstractNum w:abstractNumId="15">
    <w:nsid w:val="6A5EE64"/>
    <w:multiLevelType w:val="hybridMultilevel"/>
    <w:lvl w:ilvl="0">
      <w:lvlJc w:val="left"/>
      <w:lvlText w:val="%1."/>
      <w:numFmt w:val="decimal"/>
      <w:start w:val="2"/>
    </w:lvl>
    <w:lvl w:ilvl="1">
      <w:lvlJc w:val="left"/>
      <w:lvlText w:val="%2"/>
      <w:numFmt w:val="upperLetter"/>
      <w:start w:val="1"/>
    </w:lvl>
  </w:abstractNum>
  <w:abstractNum w:abstractNumId="16">
    <w:nsid w:val="14330624"/>
    <w:multiLevelType w:val="hybridMultilevel"/>
    <w:lvl w:ilvl="0">
      <w:lvlJc w:val="left"/>
      <w:lvlText w:val="%1."/>
      <w:numFmt w:val="decimal"/>
      <w:start w:val="3"/>
    </w:lvl>
  </w:abstractNum>
  <w:abstractNum w:abstractNumId="17">
    <w:nsid w:val="7FFFCA11"/>
    <w:multiLevelType w:val="hybridMultilevel"/>
    <w:lvl w:ilvl="0">
      <w:lvlJc w:val="left"/>
      <w:lvlText w:val="%1"/>
      <w:numFmt w:val="upperLetter"/>
      <w:start w:val="76"/>
    </w:lvl>
  </w:abstractNum>
  <w:abstractNum w:abstractNumId="18">
    <w:nsid w:val="1A27709E"/>
    <w:multiLevelType w:val="hybridMultilevel"/>
    <w:lvl w:ilvl="0">
      <w:lvlJc w:val="left"/>
      <w:lvlText w:val="%1."/>
      <w:numFmt w:val="decimal"/>
      <w:start w:val="2"/>
    </w:lvl>
    <w:lvl w:ilvl="1">
      <w:lvlJc w:val="left"/>
      <w:lvlText w:val="%2"/>
      <w:numFmt w:val="upperLetter"/>
      <w:start w:val="1"/>
    </w:lvl>
  </w:abstractNum>
  <w:abstractNum w:abstractNumId="19">
    <w:nsid w:val="71EA1109"/>
    <w:multiLevelType w:val="hybridMultilevel"/>
    <w:lvl w:ilvl="0">
      <w:lvlJc w:val="left"/>
      <w:lvlText w:val="%1"/>
      <w:numFmt w:val="upperLetter"/>
      <w:start w:val="76"/>
    </w:lvl>
  </w:abstractNum>
  <w:abstractNum w:abstractNumId="20">
    <w:nsid w:val="100F59DC"/>
    <w:multiLevelType w:val="hybridMultilevel"/>
    <w:lvl w:ilvl="0">
      <w:lvlJc w:val="left"/>
      <w:lvlText w:val="%1."/>
      <w:numFmt w:val="decimal"/>
      <w:start w:val="1"/>
    </w:lvl>
  </w:abstractNum>
  <w:abstractNum w:abstractNumId="21">
    <w:nsid w:val="7FB7E0AA"/>
    <w:multiLevelType w:val="hybridMultilevel"/>
    <w:lvl w:ilvl="0">
      <w:lvlJc w:val="left"/>
      <w:lvlText w:val="%1."/>
      <w:numFmt w:val="decimal"/>
      <w:start w:val="2"/>
    </w:lvl>
  </w:abstractNum>
  <w:abstractNum w:abstractNumId="22">
    <w:nsid w:val="6EB5BD4"/>
    <w:multiLevelType w:val="hybridMultilevel"/>
    <w:lvl w:ilvl="0">
      <w:lvlJc w:val="left"/>
      <w:lvlText w:val="o"/>
      <w:numFmt w:val="bullet"/>
      <w:start w:val="1"/>
    </w:lvl>
  </w:abstractNum>
  <w:abstractNum w:abstractNumId="23">
    <w:nsid w:val="6F6DD9AC"/>
    <w:multiLevelType w:val="hybridMultilevel"/>
    <w:lvl w:ilvl="0">
      <w:lvlJc w:val="left"/>
      <w:lvlText w:val="%1)"/>
      <w:numFmt w:val="decimal"/>
      <w:start w:val="3"/>
    </w:lvl>
  </w:abstractNum>
  <w:abstractNum w:abstractNumId="24">
    <w:nsid w:val="94211F2"/>
    <w:multiLevelType w:val="hybridMultilevel"/>
    <w:lvl w:ilvl="0">
      <w:lvlJc w:val="left"/>
      <w:lvlText w:val="%1."/>
      <w:numFmt w:val="decimal"/>
      <w:start w:val="3"/>
    </w:lvl>
  </w:abstractNum>
  <w:abstractNum w:abstractNumId="25">
    <w:nsid w:val="885E1B"/>
    <w:multiLevelType w:val="hybridMultilevel"/>
    <w:lvl w:ilvl="0">
      <w:lvlJc w:val="left"/>
      <w:lvlText w:val="%1."/>
      <w:numFmt w:val="decimal"/>
      <w:start w:val="3"/>
    </w:lvl>
    <w:lvl w:ilvl="1">
      <w:lvlJc w:val="left"/>
      <w:lvlText w:val="o"/>
      <w:numFmt w:val="bullet"/>
      <w:start w:val="1"/>
    </w:lvl>
  </w:abstractNum>
  <w:abstractNum w:abstractNumId="26">
    <w:nsid w:val="76272110"/>
    <w:multiLevelType w:val="hybridMultilevel"/>
    <w:lvl w:ilvl="0">
      <w:lvlJc w:val="left"/>
      <w:lvlText w:val="(%1)"/>
      <w:numFmt w:val="lowerRoman"/>
      <w:start w:val="2"/>
    </w:lvl>
  </w:abstractNum>
  <w:abstractNum w:abstractNumId="27">
    <w:nsid w:val="4C04A8AF"/>
    <w:multiLevelType w:val="hybridMultilevel"/>
    <w:lvl w:ilvl="0">
      <w:lvlJc w:val="left"/>
      <w:lvlText w:val="o"/>
      <w:numFmt w:val="bullet"/>
      <w:start w:val="1"/>
    </w:lvl>
  </w:abstractNum>
  <w:abstractNum w:abstractNumId="28">
    <w:nsid w:val="1716703B"/>
    <w:multiLevelType w:val="hybridMultilevel"/>
    <w:lvl w:ilvl="0">
      <w:lvlJc w:val="left"/>
      <w:lvlText w:val="o"/>
      <w:numFmt w:val="bullet"/>
      <w:start w:val="1"/>
    </w:lvl>
  </w:abstractNum>
  <w:abstractNum w:abstractNumId="29">
    <w:nsid w:val="14E17E33"/>
    <w:multiLevelType w:val="hybridMultilevel"/>
    <w:lvl w:ilvl="0">
      <w:lvlJc w:val="left"/>
      <w:lvlText w:val="%1)"/>
      <w:numFmt w:val="upperLetter"/>
      <w:start w:val="9"/>
    </w:lvl>
  </w:abstractNum>
  <w:abstractNum w:abstractNumId="30">
    <w:nsid w:val="3222E7CD"/>
    <w:multiLevelType w:val="hybridMultilevel"/>
    <w:lvl w:ilvl="0">
      <w:lvlJc w:val="left"/>
      <w:lvlText w:val="%1)"/>
      <w:numFmt w:val="decimal"/>
      <w:start w:val="3"/>
    </w:lvl>
  </w:abstractNum>
  <w:abstractNum w:abstractNumId="31">
    <w:nsid w:val="74DE0EE3"/>
    <w:multiLevelType w:val="hybridMultilevel"/>
    <w:lvl w:ilvl="0">
      <w:lvlJc w:val="left"/>
      <w:lvlText w:val="(%1)"/>
      <w:numFmt w:val="lowerRoman"/>
      <w:start w:val="1"/>
    </w:lvl>
  </w:abstractNum>
  <w:abstractNum w:abstractNumId="32">
    <w:nsid w:val="68EBC550"/>
    <w:multiLevelType w:val="hybridMultilevel"/>
    <w:lvl w:ilvl="0">
      <w:lvlJc w:val="left"/>
      <w:lvlText w:val="%1)"/>
      <w:numFmt w:val="decimal"/>
      <w:start w:val="8"/>
    </w:lvl>
  </w:abstractNum>
  <w:abstractNum w:abstractNumId="33">
    <w:nsid w:val="2DF6D648"/>
    <w:multiLevelType w:val="hybridMultilevel"/>
    <w:lvl w:ilvl="0">
      <w:lvlJc w:val="left"/>
      <w:lvlText w:val="%1)"/>
      <w:numFmt w:val="decimal"/>
      <w:start w:val="9"/>
    </w:lvl>
  </w:abstractNum>
  <w:abstractNum w:abstractNumId="34">
    <w:nsid w:val="46B7D447"/>
    <w:multiLevelType w:val="hybridMultilevel"/>
    <w:lvl w:ilvl="0">
      <w:lvlJc w:val="left"/>
      <w:lvlText w:val="%1)"/>
      <w:numFmt w:val="upperLetter"/>
      <w:start w:val="35"/>
    </w:lvl>
  </w:abstractNum>
  <w:abstractNum w:abstractNumId="35">
    <w:nsid w:val="4A2AC315"/>
    <w:multiLevelType w:val="hybridMultilevel"/>
    <w:lvl w:ilvl="0">
      <w:lvlJc w:val="left"/>
      <w:lvlText w:val="%1)"/>
      <w:numFmt w:val="upperLetter"/>
      <w:start w:val="61"/>
    </w:lvl>
  </w:abstractNum>
  <w:abstractNum w:abstractNumId="36">
    <w:nsid w:val="39EE015C"/>
    <w:multiLevelType w:val="hybridMultilevel"/>
    <w:lvl w:ilvl="0">
      <w:lvlJc w:val="left"/>
      <w:lvlText w:val="%1."/>
      <w:numFmt w:val="decimal"/>
      <w:start w:val="1"/>
    </w:lvl>
  </w:abstractNum>
  <w:abstractNum w:abstractNumId="37">
    <w:nsid w:val="57FC4FBB"/>
    <w:multiLevelType w:val="hybridMultilevel"/>
    <w:lvl w:ilvl="0">
      <w:lvlJc w:val="left"/>
      <w:lvlText w:val="%1."/>
      <w:numFmt w:val="decimal"/>
      <w:start w:val="2"/>
    </w:lvl>
  </w:abstractNum>
  <w:abstractNum w:abstractNumId="38">
    <w:nsid w:val="CC1016F"/>
    <w:multiLevelType w:val="hybridMultilevel"/>
    <w:lvl w:ilvl="0">
      <w:lvlJc w:val="left"/>
      <w:lvlText w:val="%1."/>
      <w:numFmt w:val="decimal"/>
      <w:start w:val="1"/>
    </w:lvl>
  </w:abstractNum>
  <w:abstractNum w:abstractNumId="39">
    <w:nsid w:val="43F18422"/>
    <w:multiLevelType w:val="hybridMultilevel"/>
    <w:lvl w:ilvl="0">
      <w:lvlJc w:val="left"/>
      <w:lvlText w:val="%1."/>
      <w:numFmt w:val="decimal"/>
      <w:start w:val="4"/>
    </w:lvl>
  </w:abstractNum>
  <w:abstractNum w:abstractNumId="40">
    <w:nsid w:val="60EF0119"/>
    <w:multiLevelType w:val="hybridMultilevel"/>
    <w:lvl w:ilvl="0">
      <w:lvlJc w:val="left"/>
      <w:lvlText w:val="%1."/>
      <w:numFmt w:val="decimal"/>
      <w:start w:val="5"/>
    </w:lvl>
  </w:abstractNum>
  <w:abstractNum w:abstractNumId="41">
    <w:nsid w:val="26F324BA"/>
    <w:multiLevelType w:val="hybridMultilevel"/>
    <w:lvl w:ilvl="0">
      <w:lvlJc w:val="left"/>
      <w:lvlText w:val="%1."/>
      <w:numFmt w:val="decimal"/>
      <w:start w:val="7"/>
    </w:lvl>
  </w:abstractNum>
  <w:abstractNum w:abstractNumId="42">
    <w:nsid w:val="7F01579B"/>
    <w:multiLevelType w:val="hybridMultilevel"/>
    <w:lvl w:ilvl="0">
      <w:lvlJc w:val="left"/>
      <w:lvlText w:val="(%1)"/>
      <w:numFmt w:val="lowerRoman"/>
      <w:start w:val="1"/>
    </w:lvl>
  </w:abstractNum>
  <w:abstractNum w:abstractNumId="43">
    <w:nsid w:val="49DA307D"/>
    <w:multiLevelType w:val="hybridMultilevel"/>
    <w:lvl w:ilvl="0">
      <w:lvlJc w:val="left"/>
      <w:lvlText w:val="(%1)"/>
      <w:numFmt w:val="lowerRoman"/>
      <w:start w:val="1"/>
    </w:lvl>
  </w:abstractNum>
  <w:abstractNum w:abstractNumId="44">
    <w:nsid w:val="7055A5F5"/>
    <w:multiLevelType w:val="hybridMultilevel"/>
    <w:lvl w:ilvl="0">
      <w:lvlJc w:val="left"/>
      <w:lvlText w:val="%1"/>
      <w:numFmt w:val="lowerRoman"/>
      <w:start w:val="1"/>
    </w:lvl>
    <w:lvl w:ilvl="1">
      <w:lvlJc w:val="left"/>
      <w:lvlText w:val="(%2)"/>
      <w:numFmt w:val="lowerLetter"/>
      <w:start w:val="1"/>
    </w:lvl>
  </w:abstractNum>
  <w:abstractNum w:abstractNumId="45">
    <w:nsid w:val="5FB8370B"/>
    <w:multiLevelType w:val="hybridMultilevel"/>
    <w:lvl w:ilvl="0">
      <w:lvlJc w:val="left"/>
      <w:lvlText w:val="(%1)"/>
      <w:numFmt w:val="lowerRoman"/>
      <w:start w:val="2"/>
    </w:lvl>
    <w:lvl w:ilvl="1">
      <w:lvlJc w:val="left"/>
      <w:lvlText w:val="%2"/>
      <w:numFmt w:val="lowerLetter"/>
      <w:start w:val="1"/>
    </w:lvl>
  </w:abstractNum>
  <w:abstractNum w:abstractNumId="46">
    <w:nsid w:val="50801EE1"/>
    <w:multiLevelType w:val="hybridMultilevel"/>
    <w:lvl w:ilvl="0">
      <w:lvlJc w:val="left"/>
      <w:lvlText w:val="(%1)"/>
      <w:numFmt w:val="lowerRoman"/>
      <w:start w:val="1"/>
    </w:lvl>
  </w:abstractNum>
  <w:abstractNum w:abstractNumId="47">
    <w:nsid w:val="488AC1A"/>
    <w:multiLevelType w:val="hybridMultilevel"/>
    <w:lvl w:ilvl="0">
      <w:lvlJc w:val="left"/>
      <w:lvlText w:val="(%1)"/>
      <w:numFmt w:val="lowerLetter"/>
      <w:start w:val="1"/>
    </w:lvl>
  </w:abstractNum>
  <w:abstractNum w:abstractNumId="48">
    <w:nsid w:val="5FB8011C"/>
    <w:multiLevelType w:val="hybridMultilevel"/>
    <w:lvl w:ilvl="0">
      <w:lvlJc w:val="left"/>
      <w:lvlText w:val="(%1)"/>
      <w:numFmt w:val="lowerLetter"/>
      <w:start w:val="4"/>
    </w:lvl>
  </w:abstractNum>
  <w:abstractNum w:abstractNumId="49">
    <w:nsid w:val="6AA78F7F"/>
    <w:multiLevelType w:val="hybridMultilevel"/>
    <w:lvl w:ilvl="0">
      <w:lvlJc w:val="left"/>
      <w:lvlText w:val="(%1)"/>
      <w:numFmt w:val="lowerLetter"/>
      <w:start w:val="1"/>
    </w:lvl>
  </w:abstractNum>
  <w:abstractNum w:abstractNumId="50">
    <w:nsid w:val="7672BD23"/>
    <w:multiLevelType w:val="hybridMultilevel"/>
    <w:lvl w:ilvl="0">
      <w:lvlJc w:val="left"/>
      <w:lvlText w:val="%1."/>
      <w:numFmt w:val="decimal"/>
      <w:start w:val="1"/>
    </w:lvl>
  </w:abstractNum>
  <w:abstractNum w:abstractNumId="51">
    <w:nsid w:val="6FC75AF8"/>
    <w:multiLevelType w:val="hybridMultilevel"/>
    <w:lvl w:ilvl="0">
      <w:lvlJc w:val="left"/>
      <w:lvlText w:val="(%1)"/>
      <w:numFmt w:val="lowerRoman"/>
      <w:start w:val="2"/>
    </w:lvl>
  </w:abstractNum>
  <w:abstractNum w:abstractNumId="52">
    <w:nsid w:val="6A5F7029"/>
    <w:multiLevelType w:val="hybridMultilevel"/>
    <w:lvl w:ilvl="0">
      <w:lvlJc w:val="left"/>
      <w:lvlText w:val="(%1)"/>
      <w:numFmt w:val="lowerLetter"/>
      <w:start w:val="2"/>
    </w:lvl>
  </w:abstractNum>
  <w:abstractNum w:abstractNumId="53">
    <w:nsid w:val="7D5E18F8"/>
    <w:multiLevelType w:val="hybridMultilevel"/>
    <w:lvl w:ilvl="0">
      <w:lvlJc w:val="left"/>
      <w:lvlText w:val="(%1)"/>
      <w:numFmt w:val="lowerRoman"/>
      <w:start w:val="1"/>
    </w:lvl>
  </w:abstractNum>
  <w:abstractNum w:abstractNumId="54">
    <w:nsid w:val="5F3534A4"/>
    <w:multiLevelType w:val="hybridMultilevel"/>
    <w:lvl w:ilvl="0">
      <w:lvlJc w:val="left"/>
      <w:lvlText w:val="(%1)"/>
      <w:numFmt w:val="lowerLetter"/>
      <w:start w:val="1"/>
    </w:lvl>
  </w:abstractNum>
  <w:abstractNum w:abstractNumId="55">
    <w:nsid w:val="73A1821B"/>
    <w:multiLevelType w:val="hybridMultilevel"/>
    <w:lvl w:ilvl="0">
      <w:lvlJc w:val="left"/>
      <w:lvlText w:val="(%1)"/>
      <w:numFmt w:val="lowerLetter"/>
      <w:start w:val="2"/>
    </w:lvl>
  </w:abstractNum>
  <w:abstractNum w:abstractNumId="56">
    <w:nsid w:val="7DE67713"/>
    <w:multiLevelType w:val="hybridMultilevel"/>
    <w:lvl w:ilvl="0">
      <w:lvlJc w:val="left"/>
      <w:lvlText w:val="(%1)"/>
      <w:numFmt w:val="lowerLetter"/>
      <w:start w:val="2"/>
    </w:lvl>
  </w:abstractNum>
  <w:abstractNum w:abstractNumId="57">
    <w:nsid w:val="555C55B5"/>
    <w:multiLevelType w:val="hybridMultilevel"/>
    <w:lvl w:ilvl="0">
      <w:lvlJc w:val="left"/>
      <w:lvlText w:val="(%1)"/>
      <w:numFmt w:val="lowerLetter"/>
      <w:start w:val="4"/>
    </w:lvl>
  </w:abstractNum>
  <w:abstractNum w:abstractNumId="58">
    <w:nsid w:val="3FA62ACA"/>
    <w:multiLevelType w:val="hybridMultilevel"/>
    <w:lvl w:ilvl="0">
      <w:lvlJc w:val="left"/>
      <w:lvlText w:val="(%1)"/>
      <w:numFmt w:val="lowerLetter"/>
      <w:start w:val="6"/>
    </w:lvl>
  </w:abstractNum>
  <w:abstractNum w:abstractNumId="59">
    <w:nsid w:val="14FCE74E"/>
    <w:multiLevelType w:val="hybridMultilevel"/>
    <w:lvl w:ilvl="0">
      <w:lvlJc w:val="left"/>
      <w:lvlText w:val="%1"/>
      <w:numFmt w:val="lowerLetter"/>
      <w:start w:val="1"/>
    </w:lvl>
    <w:lvl w:ilvl="1">
      <w:lvlJc w:val="left"/>
      <w:lvlText w:val="(%2)"/>
      <w:numFmt w:val="lowerLetter"/>
      <w:start w:val="9"/>
    </w:lvl>
  </w:abstractNum>
  <w:abstractNum w:abstractNumId="60">
    <w:nsid w:val="6A3DD3E8"/>
    <w:multiLevelType w:val="hybridMultilevel"/>
    <w:lvl w:ilvl="0">
      <w:lvlJc w:val="left"/>
      <w:lvlText w:val="(%1)"/>
      <w:numFmt w:val="lowerLetter"/>
      <w:start w:val="61"/>
    </w:lvl>
    <w:lvl w:ilvl="1">
      <w:lvlJc w:val="left"/>
      <w:lvlText w:val="%2"/>
      <w:numFmt w:val="lowerLetter"/>
      <w:start w:val="1"/>
    </w:lvl>
  </w:abstractNum>
  <w:abstractNum w:abstractNumId="61">
    <w:nsid w:val="71C91298"/>
    <w:multiLevelType w:val="hybridMultilevel"/>
    <w:lvl w:ilvl="0">
      <w:lvlJc w:val="left"/>
      <w:lvlText w:val="(%1)"/>
      <w:numFmt w:val="lowerLetter"/>
      <w:start w:val="12"/>
    </w:lvl>
  </w:abstractNum>
  <w:abstractNum w:abstractNumId="62">
    <w:nsid w:val="9DAF632"/>
    <w:multiLevelType w:val="hybridMultilevel"/>
    <w:lvl w:ilvl="0">
      <w:lvlJc w:val="left"/>
      <w:lvlText w:val="(%1)"/>
      <w:numFmt w:val="lowerLetter"/>
      <w:start w:val="2"/>
    </w:lvl>
  </w:abstractNum>
  <w:abstractNum w:abstractNumId="63">
    <w:nsid w:val="53299938"/>
    <w:multiLevelType w:val="hybridMultilevel"/>
    <w:lvl w:ilvl="0">
      <w:lvlJc w:val="left"/>
      <w:lvlText w:val="%1"/>
      <w:numFmt w:val="lowerLetter"/>
      <w:start w:val="1"/>
    </w:lvl>
    <w:lvl w:ilvl="1">
      <w:lvlJc w:val="left"/>
      <w:lvlText w:val="(%2)"/>
      <w:numFmt w:val="lowerLetter"/>
      <w:start w:val="2"/>
    </w:lvl>
  </w:abstractNum>
  <w:abstractNum w:abstractNumId="64">
    <w:nsid w:val="1FBFE8E0"/>
    <w:multiLevelType w:val="hybridMultilevel"/>
    <w:lvl w:ilvl="0">
      <w:lvlJc w:val="left"/>
      <w:lvlText w:val="(%1)"/>
      <w:numFmt w:val="lowerLetter"/>
      <w:start w:val="35"/>
    </w:lvl>
    <w:lvl w:ilvl="1">
      <w:lvlJc w:val="left"/>
      <w:lvlText w:val="(%2)"/>
      <w:numFmt w:val="lowerLetter"/>
      <w:start w:val="3"/>
    </w:lvl>
  </w:abstractNum>
  <w:abstractNum w:abstractNumId="65">
    <w:nsid w:val="5092CA79"/>
    <w:multiLevelType w:val="hybridMultilevel"/>
    <w:lvl w:ilvl="0">
      <w:lvlJc w:val="left"/>
      <w:lvlText w:val="(%1)"/>
      <w:numFmt w:val="lowerRoman"/>
      <w:start w:val="1"/>
    </w:lvl>
  </w:abstractNum>
  <w:abstractNum w:abstractNumId="66">
    <w:nsid w:val="1D545C4D"/>
    <w:multiLevelType w:val="hybridMultilevel"/>
    <w:lvl w:ilvl="0">
      <w:lvlJc w:val="left"/>
      <w:lvlText w:val="(%1)"/>
      <w:numFmt w:val="lowerLetter"/>
      <w:start w:val="4"/>
    </w:lvl>
  </w:abstractNum>
  <w:abstractNum w:abstractNumId="67">
    <w:nsid w:val="59ADEA3D"/>
    <w:multiLevelType w:val="hybridMultilevel"/>
    <w:lvl w:ilvl="0">
      <w:lvlJc w:val="left"/>
      <w:lvlText w:val="(%1)"/>
      <w:numFmt w:val="lowerLetter"/>
      <w:start w:val="2"/>
    </w:lvl>
  </w:abstractNum>
  <w:abstractNum w:abstractNumId="68">
    <w:nsid w:val="288F1A34"/>
    <w:multiLevelType w:val="hybridMultilevel"/>
    <w:lvl w:ilvl="0">
      <w:lvlJc w:val="left"/>
      <w:lvlText w:val="(%1)"/>
      <w:numFmt w:val="lowerLetter"/>
      <w:start w:val="2"/>
    </w:lvl>
  </w:abstractNum>
  <w:abstractNum w:abstractNumId="69">
    <w:nsid w:val="2A155DBC"/>
    <w:multiLevelType w:val="hybridMultilevel"/>
    <w:lvl w:ilvl="0">
      <w:lvlJc w:val="left"/>
      <w:lvlText w:val="(%1)"/>
      <w:numFmt w:val="lowerLetter"/>
      <w:start w:val="1"/>
    </w:lvl>
  </w:abstractNum>
  <w:abstractNum w:abstractNumId="70">
    <w:nsid w:val="1D9F6E5F"/>
    <w:multiLevelType w:val="hybridMultilevel"/>
    <w:lvl w:ilvl="0">
      <w:lvlJc w:val="left"/>
      <w:lvlText w:val="(%1)"/>
      <w:numFmt w:val="lowerLetter"/>
      <w:start w:val="2"/>
    </w:lvl>
  </w:abstractNum>
  <w:abstractNum w:abstractNumId="71">
    <w:nsid w:val="97E1B4E"/>
    <w:multiLevelType w:val="hybridMultilevel"/>
    <w:lvl w:ilvl="0">
      <w:lvlJc w:val="left"/>
      <w:lvlText w:val="(%1)"/>
      <w:numFmt w:val="lowerLetter"/>
      <w:start w:val="2"/>
    </w:lvl>
  </w:abstractNum>
  <w:abstractNum w:abstractNumId="72">
    <w:nsid w:val="51088277"/>
    <w:multiLevelType w:val="hybridMultilevel"/>
    <w:lvl w:ilvl="0">
      <w:lvlJc w:val="left"/>
      <w:lvlText w:val="(%1)"/>
      <w:numFmt w:val="lowerLetter"/>
      <w:start w:val="3"/>
    </w:lvl>
  </w:abstractNum>
  <w:abstractNum w:abstractNumId="73">
    <w:nsid w:val="1CA0C5FA"/>
    <w:multiLevelType w:val="hybridMultilevel"/>
    <w:lvl w:ilvl="0">
      <w:lvlJc w:val="left"/>
      <w:lvlText w:val="(%1)"/>
      <w:numFmt w:val="lowerLetter"/>
      <w:start w:val="2"/>
    </w:lvl>
  </w:abstractNum>
  <w:abstractNum w:abstractNumId="74">
    <w:nsid w:val="53584BCB"/>
    <w:multiLevelType w:val="hybridMultilevel"/>
    <w:lvl w:ilvl="0">
      <w:lvlJc w:val="left"/>
      <w:lvlText w:val="(%1)"/>
      <w:numFmt w:val="lowerLetter"/>
      <w:start w:val="1"/>
    </w:lvl>
  </w:abstractNum>
  <w:abstractNum w:abstractNumId="75">
    <w:nsid w:val="415E286C"/>
    <w:multiLevelType w:val="hybridMultilevel"/>
    <w:lvl w:ilvl="0">
      <w:lvlJc w:val="left"/>
      <w:lvlText w:val="(%1)"/>
      <w:numFmt w:val="lowerRoman"/>
      <w:start w:val="1"/>
    </w:lvl>
  </w:abstractNum>
  <w:abstractNum w:abstractNumId="76">
    <w:nsid w:val="7C58FD05"/>
    <w:multiLevelType w:val="hybridMultilevel"/>
    <w:lvl w:ilvl="0">
      <w:lvlJc w:val="left"/>
      <w:lvlText w:val="(%1)"/>
      <w:numFmt w:val="lowerRoman"/>
      <w:start w:val="1"/>
    </w:lvl>
  </w:abstractNum>
  <w:abstractNum w:abstractNumId="77">
    <w:nsid w:val="23D86AAC"/>
    <w:multiLevelType w:val="hybridMultilevel"/>
    <w:lvl w:ilvl="0">
      <w:lvlJc w:val="left"/>
      <w:lvlText w:val="(%1)"/>
      <w:numFmt w:val="lowerLetter"/>
      <w:start w:val="2"/>
    </w:lvl>
  </w:abstractNum>
  <w:abstractNum w:abstractNumId="78">
    <w:nsid w:val="45E6D486"/>
    <w:multiLevelType w:val="hybridMultilevel"/>
    <w:lvl w:ilvl="0">
      <w:lvlJc w:val="left"/>
      <w:lvlText w:val="(%1)"/>
      <w:numFmt w:val="lowerLetter"/>
      <w:start w:val="2"/>
    </w:lvl>
  </w:abstractNum>
  <w:abstractNum w:abstractNumId="79">
    <w:nsid w:val="5C10FE21"/>
    <w:multiLevelType w:val="hybridMultilevel"/>
    <w:lvl w:ilvl="0">
      <w:lvlJc w:val="left"/>
      <w:lvlText w:val="(%1)"/>
      <w:numFmt w:val="lowerLetter"/>
      <w:start w:val="4"/>
    </w:lvl>
  </w:abstractNum>
  <w:abstractNum w:abstractNumId="80">
    <w:nsid w:val="E7FFA2B"/>
    <w:multiLevelType w:val="hybridMultilevel"/>
    <w:lvl w:ilvl="0">
      <w:lvlJc w:val="left"/>
      <w:lvlText w:val="(%1)"/>
      <w:numFmt w:val="lowerLetter"/>
      <w:start w:val="1"/>
    </w:lvl>
  </w:abstractNum>
  <w:abstractNum w:abstractNumId="81">
    <w:nsid w:val="3C5991AA"/>
    <w:multiLevelType w:val="hybridMultilevel"/>
    <w:lvl w:ilvl="0">
      <w:lvlJc w:val="left"/>
      <w:lvlText w:val="%1"/>
      <w:numFmt w:val="lowerLetter"/>
      <w:start w:val="1"/>
    </w:lvl>
    <w:lvl w:ilvl="1">
      <w:lvlJc w:val="left"/>
      <w:lvlText w:val="(%2)"/>
      <w:numFmt w:val="lowerLetter"/>
      <w:start w:val="3"/>
    </w:lvl>
  </w:abstractNum>
  <w:abstractNum w:abstractNumId="82">
    <w:nsid w:val="4BD8591A"/>
    <w:multiLevelType w:val="hybridMultilevel"/>
    <w:lvl w:ilvl="0">
      <w:lvlJc w:val="left"/>
      <w:lvlText w:val="(%1)"/>
      <w:numFmt w:val="lowerLetter"/>
      <w:start w:val="35"/>
    </w:lvl>
    <w:lvl w:ilvl="1">
      <w:lvlJc w:val="left"/>
      <w:lvlText w:val="%2"/>
      <w:numFmt w:val="lowerLetter"/>
      <w:start w:val="1"/>
    </w:lvl>
  </w:abstractNum>
  <w:abstractNum w:abstractNumId="83">
    <w:nsid w:val="78DF6A55"/>
    <w:multiLevelType w:val="hybridMultilevel"/>
    <w:lvl w:ilvl="0">
      <w:lvlJc w:val="left"/>
      <w:lvlText w:val="(%1)"/>
      <w:numFmt w:val="lowerLetter"/>
      <w:start w:val="2"/>
    </w:lvl>
  </w:abstractNum>
  <w:abstractNum w:abstractNumId="84">
    <w:nsid w:val="39B7AAA2"/>
    <w:multiLevelType w:val="hybridMultilevel"/>
    <w:lvl w:ilvl="0">
      <w:lvlJc w:val="left"/>
      <w:lvlText w:val="(%1)"/>
      <w:numFmt w:val="lowerLetter"/>
      <w:start w:val="2"/>
    </w:lvl>
  </w:abstractNum>
  <w:abstractNum w:abstractNumId="85">
    <w:nsid w:val="2B0D8DBE"/>
    <w:multiLevelType w:val="hybridMultilevel"/>
    <w:lvl w:ilvl="0">
      <w:lvlJc w:val="left"/>
      <w:lvlText w:val="(%1)"/>
      <w:numFmt w:val="lowerRoman"/>
      <w:start w:val="1"/>
    </w:lvl>
  </w:abstractNum>
  <w:abstractNum w:abstractNumId="86">
    <w:nsid w:val="6C80EC70"/>
    <w:multiLevelType w:val="hybridMultilevel"/>
    <w:lvl w:ilvl="0">
      <w:lvlJc w:val="left"/>
      <w:lvlText w:val="(%1)"/>
      <w:numFmt w:val="lowerLetter"/>
      <w:start w:val="4"/>
    </w:lvl>
  </w:abstractNum>
  <w:abstractNum w:abstractNumId="87">
    <w:nsid w:val="379E21B5"/>
    <w:multiLevelType w:val="hybridMultilevel"/>
    <w:lvl w:ilvl="0">
      <w:lvlJc w:val="left"/>
      <w:lvlText w:val="(%1)"/>
      <w:numFmt w:val="lowerLetter"/>
      <w:start w:val="2"/>
    </w:lvl>
  </w:abstractNum>
  <w:abstractNum w:abstractNumId="88">
    <w:nsid w:val="69E373"/>
    <w:multiLevelType w:val="hybridMultilevel"/>
    <w:lvl w:ilvl="0">
      <w:lvlJc w:val="left"/>
      <w:lvlText w:val="(%1)"/>
      <w:numFmt w:val="lowerLetter"/>
      <w:start w:val="2"/>
    </w:lvl>
  </w:abstractNum>
  <w:abstractNum w:abstractNumId="89">
    <w:nsid w:val="2C27173B"/>
    <w:multiLevelType w:val="hybridMultilevel"/>
    <w:lvl w:ilvl="0">
      <w:lvlJc w:val="left"/>
      <w:lvlText w:val="(%1)"/>
      <w:numFmt w:val="lowerLetter"/>
      <w:start w:val="2"/>
    </w:lvl>
  </w:abstractNum>
  <w:abstractNum w:abstractNumId="90">
    <w:nsid w:val="4C9B0904"/>
    <w:multiLevelType w:val="hybridMultilevel"/>
    <w:lvl w:ilvl="0">
      <w:lvlJc w:val="left"/>
      <w:lvlText w:val="(%1)"/>
      <w:numFmt w:val="lowerLetter"/>
      <w:start w:val="1"/>
    </w:lvl>
  </w:abstractNum>
  <w:abstractNum w:abstractNumId="91">
    <w:nsid w:val="6AA7B75C"/>
    <w:multiLevelType w:val="hybridMultilevel"/>
    <w:lvl w:ilvl="0">
      <w:lvlJc w:val="left"/>
      <w:lvlText w:val="(%1)"/>
      <w:numFmt w:val="lowerLetter"/>
      <w:start w:val="3"/>
    </w:lvl>
  </w:abstractNum>
  <w:abstractNum w:abstractNumId="92">
    <w:nsid w:val="1DF029D3"/>
    <w:multiLevelType w:val="hybridMultilevel"/>
    <w:lvl w:ilvl="0">
      <w:lvlJc w:val="left"/>
      <w:lvlText w:val="(%1)"/>
      <w:numFmt w:val="lowerLetter"/>
      <w:start w:val="1"/>
    </w:lvl>
  </w:abstractNum>
  <w:abstractNum w:abstractNumId="93">
    <w:nsid w:val="5675FF36"/>
    <w:multiLevelType w:val="hybridMultilevel"/>
    <w:lvl w:ilvl="0">
      <w:lvlJc w:val="left"/>
      <w:lvlText w:val="(%1)"/>
      <w:numFmt w:val="lowerLetter"/>
      <w:start w:val="1"/>
    </w:lvl>
  </w:abstractNum>
  <w:abstractNum w:abstractNumId="94">
    <w:nsid w:val="3DD15094"/>
    <w:multiLevelType w:val="hybridMultilevel"/>
    <w:lvl w:ilvl="0">
      <w:lvlJc w:val="left"/>
      <w:lvlText w:val="(%1)"/>
      <w:numFmt w:val="lowerLetter"/>
      <w:start w:val="1"/>
    </w:lvl>
  </w:abstractNum>
  <w:abstractNum w:abstractNumId="95">
    <w:nsid w:val="3DB012B3"/>
    <w:multiLevelType w:val="hybridMultilevel"/>
    <w:lvl w:ilvl="0">
      <w:lvlJc w:val="left"/>
      <w:lvlText w:val="%1"/>
      <w:numFmt w:val="lowerLetter"/>
      <w:start w:val="1"/>
    </w:lvl>
    <w:lvl w:ilvl="1">
      <w:lvlJc w:val="left"/>
      <w:lvlText w:val="(%2)"/>
      <w:numFmt w:val="lowerLetter"/>
      <w:start w:val="3"/>
    </w:lvl>
  </w:abstractNum>
  <w:abstractNum w:abstractNumId="96">
    <w:nsid w:val="2708C9AF"/>
    <w:multiLevelType w:val="hybridMultilevel"/>
    <w:lvl w:ilvl="0">
      <w:lvlJc w:val="left"/>
      <w:lvlText w:val="(%1)"/>
      <w:numFmt w:val="lowerLetter"/>
      <w:start w:val="9"/>
    </w:lvl>
    <w:lvl w:ilvl="1">
      <w:lvlJc w:val="left"/>
      <w:lvlText w:val="(%2)"/>
      <w:numFmt w:val="lowerLetter"/>
      <w:start w:val="4"/>
    </w:lvl>
  </w:abstractNum>
  <w:abstractNum w:abstractNumId="97">
    <w:nsid w:val="5B25ACE2"/>
    <w:multiLevelType w:val="hybridMultilevel"/>
    <w:lvl w:ilvl="0">
      <w:lvlJc w:val="left"/>
      <w:lvlText w:val="(%1)"/>
      <w:numFmt w:val="lowerLetter"/>
      <w:start w:val="2"/>
    </w:lvl>
  </w:abstractNum>
  <w:abstractNum w:abstractNumId="98">
    <w:nsid w:val="175DFCF0"/>
    <w:multiLevelType w:val="hybridMultilevel"/>
    <w:lvl w:ilvl="0">
      <w:lvlJc w:val="left"/>
      <w:lvlText w:val="(%1)"/>
      <w:numFmt w:val="lowerLetter"/>
      <w:start w:val="1"/>
    </w:lvl>
  </w:abstractNum>
  <w:abstractNum w:abstractNumId="99">
    <w:nsid w:val="4F97E3E4"/>
    <w:multiLevelType w:val="hybridMultilevel"/>
    <w:lvl w:ilvl="0">
      <w:lvlJc w:val="left"/>
      <w:lvlText w:val="(%1)"/>
      <w:numFmt w:val="lowerLetter"/>
      <w:start w:val="3"/>
    </w:lvl>
  </w:abstractNum>
  <w:abstractNum w:abstractNumId="100">
    <w:nsid w:val="53B0A9E"/>
    <w:multiLevelType w:val="hybridMultilevel"/>
    <w:lvl w:ilvl="0">
      <w:lvlJc w:val="left"/>
      <w:lvlText w:val="(%1)"/>
      <w:numFmt w:val="lowerLetter"/>
      <w:start w:val="1"/>
    </w:lvl>
  </w:abstractNum>
  <w:abstractNum w:abstractNumId="101">
    <w:nsid w:val="34FD6B4F"/>
    <w:multiLevelType w:val="hybridMultilevel"/>
    <w:lvl w:ilvl="0">
      <w:lvlJc w:val="left"/>
      <w:lvlText w:val="(%1)"/>
      <w:numFmt w:val="lowerLetter"/>
      <w:start w:val="2"/>
    </w:lvl>
  </w:abstractNum>
  <w:abstractNum w:abstractNumId="102">
    <w:nsid w:val="5915FF32"/>
    <w:multiLevelType w:val="hybridMultilevel"/>
    <w:lvl w:ilvl="0">
      <w:lvlJc w:val="left"/>
      <w:lvlText w:val="(%1)"/>
      <w:numFmt w:val="lowerLetter"/>
      <w:start w:val="1"/>
    </w:lvl>
  </w:abstractNum>
  <w:abstractNum w:abstractNumId="103">
    <w:nsid w:val="56438D15"/>
    <w:multiLevelType w:val="hybridMultilevel"/>
    <w:lvl w:ilvl="0">
      <w:lvlJc w:val="left"/>
      <w:lvlText w:val="(%1)"/>
      <w:numFmt w:val="lowerLetter"/>
      <w:start w:val="6"/>
    </w:lvl>
  </w:abstractNum>
  <w:abstractNum w:abstractNumId="104">
    <w:nsid w:val="519E3149"/>
    <w:multiLevelType w:val="hybridMultilevel"/>
    <w:lvl w:ilvl="0">
      <w:lvlJc w:val="left"/>
      <w:lvlText w:val="(%1)"/>
      <w:numFmt w:val="lowerLetter"/>
      <w:start w:val="1"/>
    </w:lvl>
  </w:abstractNum>
  <w:abstractNum w:abstractNumId="105">
    <w:nsid w:val="2C6E4AFD"/>
    <w:multiLevelType w:val="hybridMultilevel"/>
    <w:lvl w:ilvl="0">
      <w:lvlJc w:val="left"/>
      <w:lvlText w:val="(%1)"/>
      <w:numFmt w:val="lowerLetter"/>
      <w:start w:val="3"/>
    </w:lvl>
  </w:abstractNum>
  <w:abstractNum w:abstractNumId="106">
    <w:nsid w:val="17A1B582"/>
    <w:multiLevelType w:val="hybridMultilevel"/>
    <w:lvl w:ilvl="0">
      <w:lvlJc w:val="left"/>
      <w:lvlText w:val="(%1)"/>
      <w:numFmt w:val="lowerLetter"/>
      <w:start w:val="2"/>
    </w:lvl>
  </w:abstractNum>
  <w:abstractNum w:abstractNumId="107">
    <w:nsid w:val="4DF72E4E"/>
    <w:multiLevelType w:val="hybridMultilevel"/>
    <w:lvl w:ilvl="0">
      <w:lvlJc w:val="left"/>
      <w:lvlText w:val="(%1)"/>
      <w:numFmt w:val="lowerLetter"/>
      <w:start w:val="1"/>
    </w:lvl>
  </w:abstractNum>
  <w:abstractNum w:abstractNumId="108">
    <w:nsid w:val="5046B5A9"/>
    <w:multiLevelType w:val="hybridMultilevel"/>
    <w:lvl w:ilvl="0">
      <w:lvlJc w:val="left"/>
      <w:lvlText w:val="(%1)"/>
      <w:numFmt w:val="lowerLetter"/>
      <w:start w:val="6"/>
    </w:lvl>
  </w:abstractNum>
  <w:abstractNum w:abstractNumId="109">
    <w:nsid w:val="5D888A08"/>
    <w:multiLevelType w:val="hybridMultilevel"/>
    <w:lvl w:ilvl="0">
      <w:lvlJc w:val="left"/>
      <w:lvlText w:val="(%1)"/>
      <w:numFmt w:val="lowerLetter"/>
      <w:start w:val="2"/>
    </w:lvl>
  </w:abstractNum>
  <w:abstractNum w:abstractNumId="110">
    <w:nsid w:val="2A082C70"/>
    <w:multiLevelType w:val="hybridMultilevel"/>
    <w:lvl w:ilvl="0">
      <w:lvlJc w:val="left"/>
      <w:lvlText w:val="(%1)"/>
      <w:numFmt w:val="lowerLetter"/>
      <w:start w:val="1"/>
    </w:lvl>
  </w:abstractNum>
  <w:abstractNum w:abstractNumId="111">
    <w:nsid w:val="5EC6AFD4"/>
    <w:multiLevelType w:val="hybridMultilevel"/>
    <w:lvl w:ilvl="0">
      <w:lvlJc w:val="left"/>
      <w:lvlText w:val="(%1)"/>
      <w:numFmt w:val="lowerLetter"/>
      <w:start w:val="2"/>
    </w:lvl>
  </w:abstractNum>
  <w:abstractNum w:abstractNumId="112">
    <w:nsid w:val="19E21BB2"/>
    <w:multiLevelType w:val="hybridMultilevel"/>
    <w:lvl w:ilvl="0">
      <w:lvlJc w:val="left"/>
      <w:lvlText w:val="(%1)"/>
      <w:numFmt w:val="lowerLetter"/>
      <w:start w:val="3"/>
    </w:lvl>
  </w:abstractNum>
  <w:abstractNum w:abstractNumId="113">
    <w:nsid w:val="75E0858A"/>
    <w:multiLevelType w:val="hybridMultilevel"/>
    <w:lvl w:ilvl="0">
      <w:lvlJc w:val="left"/>
      <w:lvlText w:val="(%1)"/>
      <w:numFmt w:val="lowerLetter"/>
      <w:start w:val="1"/>
    </w:lvl>
  </w:abstractNum>
  <w:abstractNum w:abstractNumId="114">
    <w:nsid w:val="57A61A29"/>
    <w:multiLevelType w:val="hybridMultilevel"/>
    <w:lvl w:ilvl="0">
      <w:lvlJc w:val="left"/>
      <w:lvlText w:val="%1"/>
      <w:numFmt w:val="decimal"/>
      <w:start w:val="1"/>
    </w:lvl>
    <w:lvl w:ilvl="1">
      <w:lvlJc w:val="left"/>
      <w:lvlText w:val="(%2)"/>
      <w:numFmt w:val="lowerLetter"/>
      <w:start w:val="5"/>
    </w:lvl>
  </w:abstractNum>
  <w:abstractNum w:abstractNumId="115">
    <w:nsid w:val="5399C654"/>
    <w:multiLevelType w:val="hybridMultilevel"/>
    <w:lvl w:ilvl="0">
      <w:lvlJc w:val="left"/>
      <w:lvlText w:val="(%1)"/>
      <w:numFmt w:val="decimal"/>
      <w:start w:val="60"/>
    </w:lvl>
    <w:lvl w:ilvl="1">
      <w:lvlJc w:val="left"/>
      <w:lvlText w:val="(%2)"/>
      <w:numFmt w:val="lowerLetter"/>
      <w:start w:val="9"/>
    </w:lvl>
  </w:abstractNum>
  <w:abstractNum w:abstractNumId="116">
    <w:nsid w:val="20EE1348"/>
    <w:multiLevelType w:val="hybridMultilevel"/>
    <w:lvl w:ilvl="0">
      <w:lvlJc w:val="left"/>
      <w:lvlText w:val="(%1)"/>
      <w:numFmt w:val="lowerLetter"/>
      <w:start w:val="12"/>
    </w:lvl>
  </w:abstractNum>
  <w:abstractNum w:abstractNumId="117">
    <w:nsid w:val="4427069A"/>
    <w:multiLevelType w:val="hybridMultilevel"/>
    <w:lvl w:ilvl="0">
      <w:lvlJc w:val="left"/>
      <w:lvlText w:val="(%1)"/>
      <w:numFmt w:val="lowerRoman"/>
      <w:start w:val="3"/>
    </w:lvl>
  </w:abstractNum>
  <w:abstractNum w:abstractNumId="118">
    <w:nsid w:val="B37E80A"/>
    <w:multiLevelType w:val="hybridMultilevel"/>
    <w:lvl w:ilvl="0">
      <w:lvlJc w:val="left"/>
      <w:lvlText w:val="%1"/>
      <w:numFmt w:val="decimal"/>
      <w:start w:val="1"/>
    </w:lvl>
    <w:lvl w:ilvl="1">
      <w:lvlJc w:val="left"/>
      <w:lvlText w:val="(%2)"/>
      <w:numFmt w:val="lowerRoman"/>
      <w:start w:val="1"/>
    </w:lvl>
  </w:abstractNum>
  <w:abstractNum w:abstractNumId="119">
    <w:nsid w:val="2157F6BC"/>
    <w:multiLevelType w:val="hybridMultilevel"/>
    <w:lvl w:ilvl="0">
      <w:lvlJc w:val="left"/>
      <w:lvlText w:val="(%1)"/>
      <w:numFmt w:val="decimal"/>
      <w:start w:val="203"/>
    </w:lvl>
    <w:lvl w:ilvl="1">
      <w:lvlJc w:val="left"/>
      <w:lvlText w:val="%2"/>
      <w:numFmt w:val="lowerRoman"/>
      <w:start w:val="1"/>
    </w:lvl>
  </w:abstractNum>
  <w:abstractNum w:abstractNumId="120">
    <w:nsid w:val="704E1DD5"/>
    <w:multiLevelType w:val="hybridMultilevel"/>
    <w:lvl w:ilvl="0">
      <w:lvlJc w:val="left"/>
      <w:lvlText w:val="(%1)"/>
      <w:numFmt w:val="decimal"/>
      <w:start w:val="203"/>
    </w:lvl>
    <w:lvl w:ilvl="1">
      <w:lvlJc w:val="left"/>
      <w:lvlText w:val="(%2)"/>
      <w:numFmt w:val="lowerRoman"/>
      <w:start w:val="2"/>
    </w:lvl>
  </w:abstractNum>
  <w:abstractNum w:abstractNumId="121">
    <w:nsid w:val="57D2F10E"/>
    <w:multiLevelType w:val="hybridMultilevel"/>
    <w:lvl w:ilvl="0">
      <w:lvlJc w:val="left"/>
      <w:lvlText w:val="(%1)"/>
      <w:numFmt w:val="lowerRoman"/>
      <w:start w:val="4"/>
    </w:lvl>
  </w:abstractNum>
  <w:abstractNum w:abstractNumId="122">
    <w:nsid w:val="BFFAE18"/>
    <w:multiLevelType w:val="hybridMultilevel"/>
    <w:lvl w:ilvl="0">
      <w:lvlJc w:val="left"/>
      <w:lvlText w:val="(%1)"/>
      <w:numFmt w:val="lowerLetter"/>
      <w:start w:val="2"/>
    </w:lvl>
  </w:abstractNum>
  <w:abstractNum w:abstractNumId="123">
    <w:nsid w:val="E3E47A8"/>
    <w:multiLevelType w:val="hybridMultilevel"/>
    <w:lvl w:ilvl="0">
      <w:lvlJc w:val="left"/>
      <w:lvlText w:val="(%1)"/>
      <w:numFmt w:val="lowerLetter"/>
      <w:start w:val="3"/>
    </w:lvl>
  </w:abstractNum>
  <w:abstractNum w:abstractNumId="124">
    <w:nsid w:val="2E48F044"/>
    <w:multiLevelType w:val="hybridMultilevel"/>
    <w:lvl w:ilvl="0">
      <w:lvlJc w:val="left"/>
      <w:lvlText w:val="(%1)"/>
      <w:numFmt w:val="lowerRoman"/>
      <w:start w:val="1"/>
    </w:lvl>
  </w:abstractNum>
  <w:abstractNum w:abstractNumId="125">
    <w:nsid w:val="49D0FEAC"/>
    <w:multiLevelType w:val="hybridMultilevel"/>
    <w:lvl w:ilvl="0">
      <w:lvlJc w:val="left"/>
      <w:lvlText w:val="(%1)"/>
      <w:numFmt w:val="lowerRoman"/>
      <w:start w:val="2"/>
    </w:lvl>
  </w:abstractNum>
  <w:abstractNum w:abstractNumId="126">
    <w:nsid w:val="4BEE5A5B"/>
    <w:multiLevelType w:val="hybridMultilevel"/>
    <w:lvl w:ilvl="0">
      <w:lvlJc w:val="left"/>
      <w:lvlText w:val="%1"/>
      <w:numFmt w:val="lowerLetter"/>
      <w:start w:val="1"/>
    </w:lvl>
    <w:lvl w:ilvl="1">
      <w:lvlJc w:val="left"/>
      <w:lvlText w:val="(%2)"/>
      <w:numFmt w:val="lowerLetter"/>
      <w:start w:val="2"/>
    </w:lvl>
  </w:abstractNum>
  <w:abstractNum w:abstractNumId="127">
    <w:nsid w:val="5551B9F3"/>
    <w:multiLevelType w:val="hybridMultilevel"/>
    <w:lvl w:ilvl="0">
      <w:lvlJc w:val="left"/>
      <w:lvlText w:val="(%1)"/>
      <w:numFmt w:val="lowerLetter"/>
      <w:start w:val="35"/>
    </w:lvl>
    <w:lvl w:ilvl="1">
      <w:lvlJc w:val="left"/>
      <w:lvlText w:val="%2"/>
      <w:numFmt w:val="lowerLetter"/>
      <w:start w:val="1"/>
    </w:lvl>
  </w:abstractNum>
  <w:abstractNum w:abstractNumId="128">
    <w:nsid w:val="24F6AB8E"/>
    <w:multiLevelType w:val="hybridMultilevel"/>
    <w:lvl w:ilvl="0">
      <w:lvlJc w:val="left"/>
      <w:lvlText w:val="(%1)"/>
      <w:numFmt w:val="lowerLetter"/>
      <w:start w:val="3"/>
    </w:lvl>
  </w:abstractNum>
  <w:abstractNum w:abstractNumId="129">
    <w:nsid w:val="634C574C"/>
    <w:multiLevelType w:val="hybridMultilevel"/>
    <w:lvl w:ilvl="0">
      <w:lvlJc w:val="left"/>
      <w:lvlText w:val="(%1)"/>
      <w:numFmt w:val="lowerLetter"/>
      <w:start w:val="5"/>
    </w:lvl>
  </w:abstractNum>
  <w:abstractNum w:abstractNumId="130">
    <w:nsid w:val="24E99DD7"/>
    <w:multiLevelType w:val="hybridMultilevel"/>
    <w:lvl w:ilvl="0">
      <w:lvlJc w:val="left"/>
      <w:lvlText w:val="(%1)"/>
      <w:numFmt w:val="lowerLetter"/>
      <w:start w:val="2"/>
    </w:lvl>
  </w:abstractNum>
  <w:abstractNum w:abstractNumId="131">
    <w:nsid w:val="2A31B62D"/>
    <w:multiLevelType w:val="hybridMultilevel"/>
    <w:lvl w:ilvl="0">
      <w:lvlJc w:val="left"/>
      <w:lvlText w:val="(%1)"/>
      <w:numFmt w:val="lowerLetter"/>
      <w:start w:val="4"/>
    </w:lvl>
  </w:abstractNum>
  <w:abstractNum w:abstractNumId="132">
    <w:nsid w:val="1849C29B"/>
    <w:multiLevelType w:val="hybridMultilevel"/>
    <w:lvl w:ilvl="0">
      <w:lvlJc w:val="left"/>
      <w:lvlText w:val="%1"/>
      <w:numFmt w:val="lowerRoman"/>
      <w:start w:val="1"/>
    </w:lvl>
    <w:lvl w:ilvl="1">
      <w:lvlJc w:val="left"/>
      <w:lvlText w:val="(%2)"/>
      <w:numFmt w:val="upperLetter"/>
      <w:start w:val="1"/>
    </w:lvl>
  </w:abstractNum>
  <w:abstractNum w:abstractNumId="133">
    <w:nsid w:val="7DFF9D09"/>
    <w:multiLevelType w:val="hybridMultilevel"/>
    <w:lvl w:ilvl="0">
      <w:lvlJc w:val="left"/>
      <w:lvlText w:val="(%1)"/>
      <w:numFmt w:val="lowerRoman"/>
      <w:start w:val="2"/>
    </w:lvl>
    <w:lvl w:ilvl="1">
      <w:lvlJc w:val="left"/>
      <w:lvlText w:val="(%2)"/>
      <w:numFmt w:val="upperLetter"/>
      <w:start w:val="1"/>
    </w:lvl>
  </w:abstractNum>
  <w:abstractNum w:abstractNumId="134">
    <w:nsid w:val="754342"/>
    <w:multiLevelType w:val="hybridMultilevel"/>
    <w:lvl w:ilvl="0">
      <w:lvlJc w:val="left"/>
      <w:lvlText w:val="(%1)"/>
      <w:numFmt w:val="upperLetter"/>
      <w:start w:val="2"/>
    </w:lvl>
  </w:abstractNum>
  <w:abstractNum w:abstractNumId="135">
    <w:nsid w:val="69E7F3E5"/>
    <w:multiLevelType w:val="hybridMultilevel"/>
    <w:lvl w:ilvl="0">
      <w:lvlJc w:val="left"/>
      <w:lvlText w:val="%1"/>
      <w:numFmt w:val="lowerLetter"/>
      <w:start w:val="1"/>
    </w:lvl>
    <w:lvl w:ilvl="1">
      <w:lvlJc w:val="left"/>
      <w:lvlText w:val="(%2)"/>
      <w:numFmt w:val="lowerRoman"/>
      <w:start w:val="3"/>
    </w:lvl>
  </w:abstractNum>
  <w:abstractNum w:abstractNumId="136">
    <w:nsid w:val="2A6DE806"/>
    <w:multiLevelType w:val="hybridMultilevel"/>
    <w:lvl w:ilvl="0">
      <w:lvlJc w:val="left"/>
      <w:lvlText w:val="(%1)"/>
      <w:numFmt w:val="lowerLetter"/>
      <w:start w:val="2"/>
    </w:lvl>
    <w:lvl w:ilvl="1">
      <w:lvlJc w:val="left"/>
      <w:lvlText w:val="%2"/>
      <w:numFmt w:val="lowerRoman"/>
      <w:start w:val="1"/>
    </w:lvl>
  </w:abstractNum>
  <w:abstractNum w:abstractNumId="137">
    <w:nsid w:val="1816F8C4"/>
    <w:multiLevelType w:val="hybridMultilevel"/>
    <w:lvl w:ilvl="0">
      <w:lvlJc w:val="left"/>
      <w:lvlText w:val="(%1)"/>
      <w:numFmt w:val="lowerLetter"/>
      <w:start w:val="3"/>
    </w:lvl>
  </w:abstractNum>
  <w:abstractNum w:abstractNumId="138">
    <w:nsid w:val="37DF2233"/>
    <w:multiLevelType w:val="hybridMultilevel"/>
    <w:lvl w:ilvl="0">
      <w:lvlJc w:val="left"/>
      <w:lvlText w:val="(%1)"/>
      <w:numFmt w:val="lowerRoman"/>
      <w:start w:val="2"/>
    </w:lvl>
  </w:abstractNum>
  <w:abstractNum w:abstractNumId="139">
    <w:nsid w:val="7AB49DAF"/>
    <w:multiLevelType w:val="hybridMultilevel"/>
    <w:lvl w:ilvl="0">
      <w:lvlJc w:val="left"/>
      <w:lvlText w:val="(%1)"/>
      <w:numFmt w:val="lowerLetter"/>
      <w:start w:val="4"/>
    </w:lvl>
  </w:abstractNum>
  <w:abstractNum w:abstractNumId="140">
    <w:nsid w:val="759F82CD"/>
    <w:multiLevelType w:val="hybridMultilevel"/>
    <w:lvl w:ilvl="0">
      <w:lvlJc w:val="left"/>
      <w:lvlText w:val="(%1)"/>
      <w:numFmt w:val="lowerLetter"/>
      <w:start w:val="2"/>
    </w:lvl>
  </w:abstractNum>
  <w:abstractNum w:abstractNumId="141">
    <w:nsid w:val="61E74EA3"/>
    <w:multiLevelType w:val="hybridMultilevel"/>
    <w:lvl w:ilvl="0">
      <w:lvlJc w:val="left"/>
      <w:lvlText w:val="(%1)"/>
      <w:numFmt w:val="lowerLetter"/>
      <w:start w:val="1"/>
    </w:lvl>
  </w:abstractNum>
  <w:abstractNum w:abstractNumId="142">
    <w:nsid w:val="597B4D84"/>
    <w:multiLevelType w:val="hybridMultilevel"/>
    <w:lvl w:ilvl="0">
      <w:lvlJc w:val="left"/>
      <w:lvlText w:val="(%1)"/>
      <w:numFmt w:val="decimal"/>
      <w:start w:val="1"/>
    </w:lvl>
  </w:abstractNum>
  <w:abstractNum w:abstractNumId="143">
    <w:nsid w:val="F819E7F"/>
    <w:multiLevelType w:val="hybridMultilevel"/>
    <w:lvl w:ilvl="0">
      <w:lvlJc w:val="left"/>
      <w:lvlText w:val="%1."/>
      <w:numFmt w:val="decimal"/>
      <w:start w:val="1"/>
    </w:lvl>
    <w:lvl w:ilvl="1">
      <w:lvlJc w:val="left"/>
      <w:lvlText w:val="%2)"/>
      <w:numFmt w:val="lowerLetter"/>
      <w:start w:val="1"/>
    </w:lvl>
  </w:abstractNum>
  <w:abstractNum w:abstractNumId="144">
    <w:nsid w:val="57C7D42D"/>
    <w:multiLevelType w:val="hybridMultilevel"/>
    <w:lvl w:ilvl="0">
      <w:lvlJc w:val="left"/>
      <w:lvlText w:val="%1."/>
      <w:numFmt w:val="decimal"/>
      <w:start w:val="1"/>
    </w:lvl>
    <w:lvl w:ilvl="1">
      <w:lvlJc w:val="left"/>
      <w:lvlText w:val="%2)"/>
      <w:numFmt w:val="lowerLetter"/>
      <w:start w:val="1"/>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2019-12-06T00:03:12Z</dcterms:created>
  <dcterms:modified xsi:type="dcterms:W3CDTF">2019-12-06T00:03:12Z</dcterms:modified>
</cp:coreProperties>
</file>