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060" w:right="2040" w:hanging="4052"/>
        <w:spacing w:after="0" w:line="258" w:lineRule="auto"/>
        <w:tabs>
          <w:tab w:leader="none" w:pos="500" w:val="left"/>
        </w:tabs>
        <w:numPr>
          <w:ilvl w:val="0"/>
          <w:numId w:val="1"/>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July 31, 2016</w:t>
      </w:r>
    </w:p>
    <w:p>
      <w:pPr>
        <w:spacing w:after="0" w:line="1" w:lineRule="exact"/>
        <w:rPr>
          <w:rFonts w:ascii="MS PGothic" w:cs="MS PGothic" w:eastAsia="MS PGothic" w:hAnsi="MS PGothic"/>
          <w:sz w:val="18"/>
          <w:szCs w:val="18"/>
          <w:i w:val="1"/>
          <w:iCs w:val="1"/>
          <w:color w:val="auto"/>
          <w:highlight w:val="black"/>
        </w:rPr>
      </w:pPr>
    </w:p>
    <w:p>
      <w:pPr>
        <w:ind w:left="55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OR</w:t>
      </w:r>
    </w:p>
    <w:p>
      <w:pPr>
        <w:spacing w:after="0" w:line="238" w:lineRule="exact"/>
        <w:rPr>
          <w:sz w:val="24"/>
          <w:szCs w:val="24"/>
          <w:color w:val="auto"/>
        </w:rPr>
      </w:pPr>
    </w:p>
    <w:p>
      <w:pPr>
        <w:ind w:left="4180" w:right="2020" w:hanging="4172"/>
        <w:spacing w:after="0" w:line="532" w:lineRule="auto"/>
        <w:tabs>
          <w:tab w:leader="none" w:pos="488" w:val="left"/>
        </w:tabs>
        <w:numPr>
          <w:ilvl w:val="0"/>
          <w:numId w:val="2"/>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169545</wp:posOffset>
            </wp:positionV>
            <wp:extent cx="857885" cy="917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885" cy="917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8"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5420" w:type="dxa"/>
            <w:vAlign w:val="bottom"/>
          </w:tcPr>
          <w:p>
            <w:pPr>
              <w:ind w:left="980"/>
              <w:spacing w:after="0"/>
              <w:rPr>
                <w:sz w:val="20"/>
                <w:szCs w:val="20"/>
                <w:color w:val="auto"/>
              </w:rPr>
            </w:pPr>
            <w:r>
              <w:rPr>
                <w:rFonts w:ascii="Arial" w:cs="Arial" w:eastAsia="Arial" w:hAnsi="Arial"/>
                <w:sz w:val="18"/>
                <w:szCs w:val="18"/>
                <w:color w:val="auto"/>
              </w:rPr>
              <w:t>Class</w:t>
            </w:r>
          </w:p>
        </w:tc>
        <w:tc>
          <w:tcPr>
            <w:tcW w:w="6000" w:type="dxa"/>
            <w:vAlign w:val="bottom"/>
          </w:tcPr>
          <w:p>
            <w:pPr>
              <w:ind w:left="2980"/>
              <w:spacing w:after="0"/>
              <w:rPr>
                <w:sz w:val="20"/>
                <w:szCs w:val="20"/>
                <w:color w:val="auto"/>
              </w:rPr>
            </w:pPr>
            <w:r>
              <w:rPr>
                <w:rFonts w:ascii="Arial" w:cs="Arial" w:eastAsia="Arial" w:hAnsi="Arial"/>
                <w:sz w:val="18"/>
                <w:szCs w:val="18"/>
                <w:color w:val="auto"/>
              </w:rPr>
              <w:t>Outstanding at August 26, 2016</w:t>
            </w:r>
          </w:p>
        </w:tc>
      </w:t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Common Stock, $0.01 par value</w:t>
            </w:r>
          </w:p>
        </w:tc>
        <w:tc>
          <w:tcPr>
            <w:tcW w:w="6000" w:type="dxa"/>
            <w:vAlign w:val="bottom"/>
          </w:tcPr>
          <w:p>
            <w:pPr>
              <w:ind w:left="3360"/>
              <w:spacing w:after="0"/>
              <w:rPr>
                <w:sz w:val="20"/>
                <w:szCs w:val="20"/>
                <w:color w:val="auto"/>
              </w:rPr>
            </w:pPr>
            <w:r>
              <w:rPr>
                <w:rFonts w:ascii="Arial" w:cs="Arial" w:eastAsia="Arial" w:hAnsi="Arial"/>
                <w:sz w:val="18"/>
                <w:szCs w:val="18"/>
                <w:b w:val="1"/>
                <w:bCs w:val="1"/>
                <w:color w:val="auto"/>
              </w:rPr>
              <w:t>68,186,790 Shares</w:t>
            </w:r>
          </w:p>
        </w:tc>
      </w:tr>
      <w:tr>
        <w:trPr>
          <w:trHeight w:val="351"/>
        </w:trPr>
        <w:tc>
          <w:tcPr>
            <w:tcW w:w="542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203"/>
        </w:trPr>
        <w:tc>
          <w:tcPr>
            <w:tcW w:w="5420" w:type="dxa"/>
            <w:vAlign w:val="bottom"/>
            <w:tcBorders>
              <w:left w:val="single" w:sz="8" w:color="9A9A9A"/>
            </w:tcBorders>
          </w:tcPr>
          <w:p>
            <w:pPr>
              <w:spacing w:after="0"/>
              <w:rPr>
                <w:sz w:val="17"/>
                <w:szCs w:val="17"/>
                <w:color w:val="auto"/>
              </w:rPr>
            </w:pPr>
          </w:p>
        </w:tc>
        <w:tc>
          <w:tcPr>
            <w:tcW w:w="6000" w:type="dxa"/>
            <w:vAlign w:val="bottom"/>
            <w:tcBorders>
              <w:right w:val="single" w:sz="8" w:color="EEEEEE"/>
            </w:tcBorders>
          </w:tcPr>
          <w:p>
            <w:pPr>
              <w:spacing w:after="0"/>
              <w:rPr>
                <w:sz w:val="17"/>
                <w:szCs w:val="17"/>
                <w:color w:val="auto"/>
              </w:rPr>
            </w:pPr>
          </w:p>
        </w:tc>
      </w:tr>
      <w:tr>
        <w:trPr>
          <w:trHeight w:val="183"/>
        </w:trPr>
        <w:tc>
          <w:tcPr>
            <w:tcW w:w="5420" w:type="dxa"/>
            <w:vAlign w:val="bottom"/>
            <w:tcBorders>
              <w:bottom w:val="single" w:sz="8" w:color="auto"/>
            </w:tcBorders>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or “we”). These statements are based on management’s beliefs, as well as assumptions made by, and information currently available to, management. Forward-looking statements may be identified by words like “expect,” “anticipate,” “believe,” “plan,” “project,”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relating to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640" w:type="dxa"/>
            <w:vAlign w:val="bottom"/>
            <w:gridSpan w:val="15"/>
          </w:tcPr>
          <w:p>
            <w:pPr>
              <w:ind w:left="500"/>
              <w:spacing w:after="0"/>
              <w:rPr>
                <w:sz w:val="20"/>
                <w:szCs w:val="20"/>
                <w:color w:val="auto"/>
              </w:rPr>
            </w:pPr>
            <w:r>
              <w:rPr>
                <w:rFonts w:ascii="Arial" w:cs="Arial" w:eastAsia="Arial" w:hAnsi="Arial"/>
                <w:sz w:val="18"/>
                <w:szCs w:val="18"/>
                <w:b w:val="1"/>
                <w:bCs w:val="1"/>
                <w:color w:val="auto"/>
              </w:rPr>
              <w:t>FINANCIAL INFORMATION</w:t>
            </w: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40" w:type="dxa"/>
            <w:vAlign w:val="bottom"/>
            <w:gridSpan w:val="15"/>
            <w:shd w:val="clear" w:color="auto" w:fill="CCEEFF"/>
          </w:tcPr>
          <w:p>
            <w:pPr>
              <w:ind w:left="5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ind w:left="5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July 31, 2016 and November 1, 2015</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ind w:left="500"/>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Income for the Three and Nine Months Ended July 31, 2016 and August 2, 2015</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7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and Nine Months Ended July 31, 2016 and</w:t>
              </w:r>
            </w:hyperlink>
          </w:p>
        </w:tc>
        <w:tc>
          <w:tcPr>
            <w:tcW w:w="4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140" w:type="dxa"/>
            <w:vAlign w:val="bottom"/>
            <w:gridSpan w:val="14"/>
            <w:shd w:val="clear" w:color="auto" w:fill="CCEEFF"/>
          </w:tcPr>
          <w:p>
            <w:pPr>
              <w:ind w:left="1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August 2, 2015</w:t>
              </w:r>
            </w:hyperlink>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ind w:left="5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July 31, 2016 and August 2, 2015</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ind w:left="5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15"/>
            <w:shd w:val="clear" w:color="auto" w:fill="CCEEFF"/>
          </w:tcPr>
          <w:p>
            <w:pPr>
              <w:ind w:left="50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40" w:type="dxa"/>
            <w:vAlign w:val="bottom"/>
            <w:gridSpan w:val="15"/>
            <w:shd w:val="clear" w:color="auto" w:fill="CCEEFF"/>
          </w:tcPr>
          <w:p>
            <w:pPr>
              <w:ind w:left="5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5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360" w:type="dxa"/>
            <w:vAlign w:val="bottom"/>
            <w:tcBorders>
              <w:bottom w:val="single" w:sz="8" w:color="CCEEFF"/>
            </w:tcBorders>
            <w:gridSpan w:val="9"/>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640" w:type="dxa"/>
            <w:vAlign w:val="bottom"/>
            <w:gridSpan w:val="15"/>
          </w:tcPr>
          <w:p>
            <w:pPr>
              <w:ind w:left="500"/>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40" w:type="dxa"/>
            <w:vAlign w:val="bottom"/>
            <w:gridSpan w:val="15"/>
            <w:shd w:val="clear" w:color="auto" w:fill="CCEEFF"/>
          </w:tcPr>
          <w:p>
            <w:pPr>
              <w:ind w:left="5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500" w:type="dxa"/>
            <w:vAlign w:val="bottom"/>
            <w:shd w:val="clear" w:color="auto" w:fill="CCEEFF"/>
          </w:tcPr>
          <w:p>
            <w:pPr>
              <w:spacing w:after="0"/>
              <w:rPr>
                <w:sz w:val="17"/>
                <w:szCs w:val="17"/>
                <w:color w:val="auto"/>
              </w:rPr>
            </w:pPr>
          </w:p>
        </w:tc>
        <w:tc>
          <w:tcPr>
            <w:tcW w:w="914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720" w:type="dxa"/>
            <w:vAlign w:val="bottom"/>
            <w:tcBorders>
              <w:top w:val="single" w:sz="8" w:color="CCEEFF"/>
            </w:tcBorders>
            <w:gridSpan w:val="6"/>
          </w:tcPr>
          <w:p>
            <w:pPr>
              <w:jc w:val="right"/>
              <w:ind w:right="300"/>
              <w:spacing w:after="0"/>
              <w:rPr>
                <w:sz w:val="20"/>
                <w:szCs w:val="20"/>
                <w:color w:val="auto"/>
              </w:rPr>
            </w:pPr>
            <w:r>
              <w:rPr>
                <w:rFonts w:ascii="Arial" w:cs="Arial" w:eastAsia="Arial" w:hAnsi="Arial"/>
                <w:sz w:val="14"/>
                <w:szCs w:val="14"/>
                <w:color w:val="auto"/>
              </w:rPr>
              <w:t>3</w:t>
            </w:r>
          </w:p>
        </w:tc>
        <w:tc>
          <w:tcPr>
            <w:tcW w:w="15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7860" w:type="dxa"/>
            <w:vAlign w:val="bottom"/>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86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6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PHOTRONICS, INC. AND SUBSIDIARIES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60" w:type="dxa"/>
            <w:vAlign w:val="bottom"/>
          </w:tcPr>
          <w:p>
            <w:pPr>
              <w:jc w:val="center"/>
              <w:ind w:left="1990"/>
              <w:spacing w:after="0"/>
              <w:rPr>
                <w:sz w:val="20"/>
                <w:szCs w:val="20"/>
                <w:color w:val="auto"/>
              </w:rPr>
            </w:pPr>
            <w:r>
              <w:rPr>
                <w:rFonts w:ascii="Arial" w:cs="Arial" w:eastAsia="Arial" w:hAnsi="Arial"/>
                <w:sz w:val="18"/>
                <w:szCs w:val="18"/>
                <w:color w:val="auto"/>
                <w:w w:val="88"/>
              </w:rPr>
              <w:t>Condensed Consolidated Balance Sheets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60" w:type="dxa"/>
            <w:vAlign w:val="bottom"/>
          </w:tcPr>
          <w:p>
            <w:pPr>
              <w:jc w:val="center"/>
              <w:ind w:left="201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60" w:type="dxa"/>
            <w:vAlign w:val="bottom"/>
          </w:tcPr>
          <w:p>
            <w:pPr>
              <w:jc w:val="center"/>
              <w:ind w:left="2010"/>
              <w:spacing w:after="0"/>
              <w:rPr>
                <w:sz w:val="20"/>
                <w:szCs w:val="20"/>
                <w:color w:val="auto"/>
              </w:rPr>
            </w:pPr>
            <w:r>
              <w:rPr>
                <w:rFonts w:ascii="Arial" w:cs="Arial" w:eastAsia="Arial" w:hAnsi="Arial"/>
                <w:sz w:val="18"/>
                <w:szCs w:val="18"/>
                <w:i w:val="1"/>
                <w:iCs w:val="1"/>
                <w:color w:val="auto"/>
                <w:w w:val="92"/>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July 31,</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ASSETS</w:t>
            </w:r>
          </w:p>
        </w:tc>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$3,281 in 2016 and $3,301 in 2015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107,494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441,421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1,000,443</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1,045,555</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5,846</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7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150,000 shares authorized, 67,968 shares issued and outstanding at July 31, 2016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66,602 shares issued and outstanding at November 1, 2015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539,562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706,310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646,555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113,071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819,381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1,000,443</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60" w:type="dxa"/>
            <w:vAlign w:val="bottom"/>
            <w:gridSpan w:val="5"/>
          </w:tcPr>
          <w:p>
            <w:pPr>
              <w:jc w:val="center"/>
              <w:ind w:left="3530"/>
              <w:spacing w:after="0"/>
              <w:rPr>
                <w:sz w:val="20"/>
                <w:szCs w:val="20"/>
                <w:color w:val="auto"/>
              </w:rPr>
            </w:pPr>
            <w:r>
              <w:rPr>
                <w:rFonts w:ascii="Arial" w:cs="Arial" w:eastAsia="Arial" w:hAnsi="Arial"/>
                <w:sz w:val="18"/>
                <w:szCs w:val="18"/>
                <w:b w:val="1"/>
                <w:bCs w:val="1"/>
                <w:color w:val="auto"/>
                <w:w w:val="99"/>
              </w:rPr>
              <w:t>PHOTRONICS, INC. AND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00" w:type="dxa"/>
            <w:vAlign w:val="bottom"/>
            <w:gridSpan w:val="6"/>
          </w:tcPr>
          <w:p>
            <w:pPr>
              <w:jc w:val="center"/>
              <w:ind w:left="339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80" w:type="dxa"/>
            <w:vAlign w:val="bottom"/>
            <w:gridSpan w:val="4"/>
          </w:tcPr>
          <w:p>
            <w:pPr>
              <w:jc w:val="center"/>
              <w:ind w:right="16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60" w:type="dxa"/>
            <w:vAlign w:val="bottom"/>
            <w:gridSpan w:val="2"/>
          </w:tcPr>
          <w:p>
            <w:pPr>
              <w:jc w:val="center"/>
              <w:ind w:left="970"/>
              <w:spacing w:after="0"/>
              <w:rPr>
                <w:sz w:val="20"/>
                <w:szCs w:val="20"/>
                <w:color w:val="auto"/>
              </w:rPr>
            </w:pPr>
            <w:r>
              <w:rPr>
                <w:rFonts w:ascii="Arial" w:cs="Arial" w:eastAsia="Arial" w:hAnsi="Arial"/>
                <w:sz w:val="18"/>
                <w:szCs w:val="18"/>
                <w:b w:val="1"/>
                <w:bCs w:val="1"/>
                <w:i w:val="1"/>
                <w:iCs w:val="1"/>
                <w:color w:val="auto"/>
                <w:w w:val="87"/>
              </w:rPr>
              <w:t>(unaudited)</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July 31,</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2"/>
              </w:rPr>
              <w:t>August 2,</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July 31,</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2"/>
              </w:rPr>
              <w:t>August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123,209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131,699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376,088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(91,759)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(94,456)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(277,915)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(11,163)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(5,466)</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(6,253)</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14,821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18,560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Gains on sales of investments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(1,209)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other income (expense), net</w:t>
            </w:r>
          </w:p>
        </w:tc>
        <w:tc>
          <w:tcPr>
            <w:tcW w:w="1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16,215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(3,390)</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11,453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15,410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(3,365)</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(3,304)</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Net income attributable to Photronics, Inc. shareholders</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40,944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67,953</w:t>
            </w:r>
          </w:p>
        </w:tc>
        <w:tc>
          <w:tcPr>
            <w:tcW w:w="2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66,454</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67,377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74,317</w:t>
            </w:r>
          </w:p>
        </w:tc>
        <w:tc>
          <w:tcPr>
            <w:tcW w:w="2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76,990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July 31,</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2"/>
              </w:rPr>
              <w:t>August 2,</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July 31,</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2"/>
              </w:rPr>
              <w:t>August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(25,326)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(25,294)</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5"/>
              </w:rPr>
              <w:t>Comprehensive income (loss) attributable to Photronics, Inc. shareholders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8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color w:val="auto"/>
                <w:w w:val="89"/>
              </w:rPr>
              <w:t>Condensed Consolidated Statements of Cash Flows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10"/>
              <w:spacing w:after="0"/>
              <w:rPr>
                <w:sz w:val="20"/>
                <w:szCs w:val="20"/>
                <w:color w:val="auto"/>
              </w:rPr>
            </w:pPr>
            <w:r>
              <w:rPr>
                <w:rFonts w:ascii="Arial" w:cs="Arial" w:eastAsia="Arial" w:hAnsi="Arial"/>
                <w:sz w:val="18"/>
                <w:szCs w:val="18"/>
                <w:i w:val="1"/>
                <w:iCs w:val="1"/>
                <w:color w:val="auto"/>
                <w:w w:val="89"/>
              </w:rPr>
              <w:t>(in thousands)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i w:val="1"/>
                <w:iCs w:val="1"/>
                <w:color w:val="auto"/>
                <w:w w:val="92"/>
              </w:rPr>
              <w:t>(unaudited)</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jc w:val="right"/>
              <w:ind w:right="420"/>
              <w:spacing w:after="0" w:line="198" w:lineRule="exact"/>
              <w:rPr>
                <w:sz w:val="20"/>
                <w:szCs w:val="20"/>
                <w:color w:val="auto"/>
              </w:rPr>
            </w:pPr>
            <w:r>
              <w:rPr>
                <w:rFonts w:ascii="Arial" w:cs="Arial" w:eastAsia="Arial" w:hAnsi="Arial"/>
                <w:sz w:val="18"/>
                <w:szCs w:val="18"/>
                <w:b w:val="1"/>
                <w:bCs w:val="1"/>
                <w:color w:val="auto"/>
                <w:w w:val="99"/>
              </w:rPr>
              <w:t>July 31,</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2"/>
              </w:rPr>
              <w:t>August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49,106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auto"/>
              </w:rPr>
              <w:t>Gains on sales of investments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(8,940)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(22,159)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91,387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(44,828)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investments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57,609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(80,390)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long-term borrowings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(56,276)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Proceeds from share-based arrangements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Dividends paid to noncontrolling interests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(65,013)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85,802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205,867</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40,632</w:t>
            </w: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8200" w:type="dxa"/>
            <w:vAlign w:val="bottom"/>
            <w:gridSpan w:val="3"/>
          </w:tcPr>
          <w:p>
            <w:pPr>
              <w:jc w:val="center"/>
              <w:ind w:left="3139"/>
              <w:spacing w:after="0"/>
              <w:rPr>
                <w:sz w:val="20"/>
                <w:szCs w:val="20"/>
                <w:color w:val="auto"/>
              </w:rPr>
            </w:pPr>
            <w:r>
              <w:rPr>
                <w:rFonts w:ascii="Arial" w:cs="Arial" w:eastAsia="Arial" w:hAnsi="Arial"/>
                <w:sz w:val="14"/>
                <w:szCs w:val="14"/>
                <w:color w:val="auto"/>
                <w:w w:val="76"/>
              </w:rPr>
              <w:t>7</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and Nine Months Ended July 31, 2016 and August 2,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49" w:lineRule="exact"/>
        <w:rPr>
          <w:sz w:val="20"/>
          <w:szCs w:val="20"/>
          <w:color w:val="auto"/>
        </w:rPr>
      </w:pPr>
    </w:p>
    <w:p>
      <w:pPr>
        <w:ind w:right="40" w:firstLine="324"/>
        <w:spacing w:after="0" w:line="275" w:lineRule="auto"/>
        <w:rPr>
          <w:sz w:val="20"/>
          <w:szCs w:val="20"/>
          <w:color w:val="auto"/>
        </w:rPr>
      </w:pPr>
      <w:r>
        <w:rPr>
          <w:rFonts w:ascii="Arial" w:cs="Arial" w:eastAsia="Arial" w:hAnsi="Arial"/>
          <w:sz w:val="19"/>
          <w:szCs w:val="19"/>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 In August 2016 the Company announced its plans to build a research and development and manufacturing facility in Xiamen, China, with construction commencing in 2017 and production estimated to start in late 2018. See Note 14 for additional information.</w:t>
      </w:r>
    </w:p>
    <w:p>
      <w:pPr>
        <w:spacing w:after="0" w:line="19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 Operating results for the interim period are not necessarily indicative of the results that may be expected for the fiscal year ending October 30, 2016. For further information, refer to the consolidated financial statements and notes thereto included in the Company’s Annual Report on Form 10-K for the year ended November 1,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5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set forth the Company’s consolidated changes in equity for the three and nine month periods ended July 31, 2016 and August 2,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8"/>
                <w:szCs w:val="18"/>
                <w:b w:val="1"/>
                <w:bCs w:val="1"/>
                <w:color w:val="auto"/>
                <w:w w:val="98"/>
              </w:rPr>
              <w:t>Three Months Ended July 31, 2016</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8"/>
                <w:szCs w:val="18"/>
                <w:b w:val="1"/>
                <w:bCs w:val="1"/>
                <w:color w:val="auto"/>
              </w:rPr>
              <w:t>Photronics, Inc. Shareholders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Loss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Interests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May 1, 2016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538,535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162,916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109,488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 employee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and purchase plans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3"/>
              </w:rPr>
              <w:t>Restricted stock awards vesting and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9"/>
              </w:rPr>
              <w:t>Return of capital to noncontrolling interests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Balance at July 31, 2016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67,968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539,562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171,004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113,071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819,381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8</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8"/>
                <w:szCs w:val="18"/>
                <w:b w:val="1"/>
                <w:bCs w:val="1"/>
                <w:color w:val="auto"/>
                <w:w w:val="96"/>
              </w:rPr>
              <w:t>Three Months Ended August 2, 2015</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8"/>
                <w:szCs w:val="18"/>
                <w:b w:val="1"/>
                <w:bCs w:val="1"/>
                <w:color w:val="auto"/>
              </w:rPr>
              <w:t>Photronics, Inc. Shareholders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Interests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3, 2015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522,873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99,332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116,277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(23,094)</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(25,294)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 employee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option and purchase plans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w w:val="93"/>
              </w:rPr>
              <w:t>Restricted stock awards vesting and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Purchase of common stock of subsidiary</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Balance at August 2, 2015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66,507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524,924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111,438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(8,256)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117,276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746,047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8"/>
                <w:szCs w:val="18"/>
                <w:b w:val="1"/>
                <w:bCs w:val="1"/>
                <w:color w:val="auto"/>
              </w:rPr>
              <w:t>Nine Months Ended July 31, 2016</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8"/>
                <w:szCs w:val="18"/>
                <w:b w:val="1"/>
                <w:bCs w:val="1"/>
                <w:color w:val="auto"/>
              </w:rPr>
              <w:t>Photronics, Inc. Shareholders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Loss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Interests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November 1, 2015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526,402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40,944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 employee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option and purchase plans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w w:val="93"/>
              </w:rPr>
              <w:t>Restricted stock awards vesting and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Conversion of debt to common stock</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7,431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Repurchase of common stock of subsidiary</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Subsidiary dividend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Return of capital to noncontrolling interests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19"/>
                <w:szCs w:val="19"/>
                <w:color w:val="auto"/>
              </w:rPr>
            </w:pPr>
          </w:p>
        </w:tc>
        <w:tc>
          <w:tcPr>
            <w:tcW w:w="31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July 31, 2016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539,562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113,071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9</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Nine Months Ended August 2,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140" w:type="dxa"/>
            <w:vAlign w:val="bottom"/>
            <w:tcBorders>
              <w:top w:val="single" w:sz="8" w:color="auto"/>
              <w:bottom w:val="single" w:sz="8" w:color="auto"/>
            </w:tcBorders>
            <w:gridSpan w:val="8"/>
          </w:tcPr>
          <w:p>
            <w:pPr>
              <w:jc w:val="right"/>
              <w:ind w:right="210"/>
              <w:spacing w:after="0"/>
              <w:rPr>
                <w:sz w:val="20"/>
                <w:szCs w:val="20"/>
                <w:color w:val="auto"/>
              </w:rPr>
            </w:pPr>
            <w:r>
              <w:rPr>
                <w:rFonts w:ascii="Arial" w:cs="Arial" w:eastAsia="Arial" w:hAnsi="Arial"/>
                <w:sz w:val="18"/>
                <w:szCs w:val="18"/>
                <w:b w:val="1"/>
                <w:bCs w:val="1"/>
                <w:color w:val="auto"/>
              </w:rPr>
              <w:t>Photronics, Inc. Shareholders</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9"/>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line="198" w:lineRule="exact"/>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7"/>
                <w:szCs w:val="17"/>
                <w:color w:val="auto"/>
              </w:rPr>
            </w:pPr>
          </w:p>
        </w:tc>
        <w:tc>
          <w:tcPr>
            <w:tcW w:w="14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Interests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November 2, 2014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520,183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111,443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(32,798)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 employee</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option and purchase plans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w w:val="96"/>
              </w:rPr>
              <w:t>Restricted stock awards vesting and expense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Purchase of common stock of subsidiary</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Balance at August 2, 2015</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66,507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524,924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111,438</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(8,256)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117,276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746,047</w:t>
            </w:r>
          </w:p>
        </w:tc>
        <w:tc>
          <w:tcPr>
            <w:tcW w:w="0" w:type="dxa"/>
            <w:vAlign w:val="bottom"/>
          </w:tcPr>
          <w:p>
            <w:pPr>
              <w:spacing w:after="0"/>
              <w:rPr>
                <w:sz w:val="1"/>
                <w:szCs w:val="1"/>
                <w:color w:val="auto"/>
              </w:rPr>
            </w:pPr>
          </w:p>
        </w:tc>
      </w:tr>
      <w:tr>
        <w:trPr>
          <w:trHeight w:val="21"/>
        </w:trPr>
        <w:tc>
          <w:tcPr>
            <w:tcW w:w="34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520" w:type="dxa"/>
            <w:vAlign w:val="bottom"/>
            <w:gridSpan w:val="5"/>
          </w:tcPr>
          <w:p>
            <w:pPr>
              <w:spacing w:after="0"/>
              <w:rPr>
                <w:sz w:val="20"/>
                <w:szCs w:val="20"/>
                <w:color w:val="auto"/>
              </w:rPr>
            </w:pPr>
            <w:r>
              <w:rPr>
                <w:rFonts w:ascii="Arial" w:cs="Arial" w:eastAsia="Arial" w:hAnsi="Arial"/>
                <w:sz w:val="18"/>
                <w:szCs w:val="18"/>
                <w:b w:val="1"/>
                <w:bCs w:val="1"/>
                <w:color w:val="auto"/>
              </w:rPr>
              <w:t>NOTE 3 - PROPERTY, PLANT AND EQUIPMENT</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50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Property, plant and equipment consists of the following:</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24"/>
                <w:szCs w:val="24"/>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November 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122,077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121,472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1,481,252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1,458,623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18,856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18,903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w w:val="89"/>
              </w:rPr>
              <w:t>1,662,286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1,626,480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Less accumulated depreciation and amortization</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1,140,094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1,079,196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522,192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547,284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Equipment under capital leases are included in above property, plant and equipment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July 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25,438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40,191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Depreciation and amortization expense for property, plant and equipment was $ 18.4 million and $56.4 million for the three and nine month periods ended July 31, 2016, respectively, and $19.4 million and $56.4 million for the three and nine month periods ended August 2, 2015, respectively.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JOINT VENTURE, TECHNOLOGY LICENSE AND OTHER AGREEMENTS WITH MICRON TECHNOLOGY, INC.</w:t>
      </w:r>
    </w:p>
    <w:p>
      <w:pPr>
        <w:spacing w:after="0" w:line="256"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 May 2006, Photronics and Micron Technology, Inc. (“Micron”) entered into the MP Mask joint venture (“MP Mask”), which developed and produced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20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joint venture was a variable interest entity (“VIE”) (as that term is defined in the ASC) because all costs of the joint venture were passed on to the Company and Micron through purchase agreements they had entered into with the joint venture, and it was dependent upon the Company and Micron for any additional cash requirements. On a quarterly basis the Company reassessed whether its interest in MP Mask gave it a controlling financial interest in this VIE. The purpose of this quarterly reassessment was to identify the primary beneficiary (which is defined in the ASC as the entity that consolidates a VIE) of the VIE. As a result of the reassessment in the current quarter, the Company determined that Micron was still the primary beneficiary of the VIE, by virtue of its tie-breaking voting rights within MP Mask’s Board of Managers, thereby having given it the power to direct the activities of MP Mask that most significantly impacted its economic performance, including its decision making authority in the ordinary course of business and its purchasing the majority of products produced by the VIE.</w:t>
      </w:r>
    </w:p>
    <w:p>
      <w:pPr>
        <w:spacing w:after="0" w:line="21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utilized MP Mask for both high-end IC photomask production and research and development purposes. MP Mask charged its variable interest holders based on their actual usage of its facility. MP Mask separately charged for any research and development activities it engaged in at the requests of its owners. The Company incurred cost of sales from MP Mask of $0.8 and $5.7 million in the three month and nine month periods ended July 31, 2016, respectively, and $1.5 million and $4.9 million during the respective prior year periods. The Company incurred research and development costs from MP Mask of $0.2 million during the three month period ended August 2, 2015, and $0.5 million and $0.7 million during the nine month periods ended July 31, 2016 and August 2, 2015, respectively. At November 1, 2015, the Company owed MP Mask $4.3 million and had a receivable from Micron of $6.4 million, both primarily related to the aforementioned supply agreements.</w:t>
      </w:r>
    </w:p>
    <w:p>
      <w:pPr>
        <w:spacing w:after="0" w:line="2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MP Mask was governed by a Board of Managers, appointed by Micron and the Company. Since MP Mask’s inception, Micron, as a result of its majority ownership, had held majority voting power on its Board of Managers. The voting power held by each party was subject to change as ownership interests changed. Under the MP Mask joint venture operating agreement, the Company may have been required to make additional capital contributions to MP Mask up to the maximum amount defined in the operating agreement. However, had the Board of Managers determined that further additional funding was required, MP Mask would have pursued its own financing. If MP Mask was unable to obtain its own financing, it may have requested additional capital contributions from the Company. Had the Company chosen not to make a requested contribution to MP Mask, its ownership percentage may have been reduced.</w:t>
      </w:r>
    </w:p>
    <w:p>
      <w:pPr>
        <w:spacing w:after="0" w:line="21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Company’s investment in the VIE, which represented its maximum exposure to loss, was $93.0 million at November 1, 2015. This amount is reported in the Company’s condensed consolidated balance sheets as “Investment in joint venture.” The Company recorded losses from its investment in the VIE of $0.1 million in the nine month periods ended July 31, 2016 and August 2, 2015.</w:t>
      </w:r>
    </w:p>
    <w:p>
      <w:pPr>
        <w:spacing w:after="0" w:line="18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May 5, 2016, the Company sold its investment in MP Mask to Micron for $93.1 million and recorded a gain on the sale of $0.2 million, which is included in the Company’s 2016 condensed consolidated statement of income in Interest and other income (expense) net. On that same date a supply agreement commenced between the Company and Micron, which provides that the Company will be the majority outsourced supplier of Micron’s photomasks and related services. The supply agreement has a one year term, subject to mutually agreeable renewals. In addition, the Company forevermore has the rights to use technology under the prior technology license agreement.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NOTE 5 - LONG-TERM BORROWINGS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Long-term borrowings consist of the following: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July 31,</w:t>
            </w:r>
          </w:p>
        </w:tc>
        <w:tc>
          <w:tcPr>
            <w:tcW w:w="1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68,900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132,615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63,054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April 2016 $57.5 million of the Company’s senior convertible notes matured. The Company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6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precludes the Company from paying cash dividends, and is subject to a minimum interest coverage ratio, total leverage ratio and minimum unrestricted cash balance financial covenants, all of which the Company was in compliance with at July 31, 2016. The Company had no outstanding borrowings against the credit facility at July 31, 2016, and $50 million was available for borrowing. The interest rate on the credit facility (1.73% at July 31, 2016) is based on the Company’s total leverage ratio at LIBOR plus a spread, as defined in the credit facility.</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July 31, 2016, the total amount payable through the end of the lease term was $11.7 million, of which $11.4 million represented principal and $0.3 million represented interest.</w:t>
      </w:r>
    </w:p>
    <w:p>
      <w:pPr>
        <w:spacing w:after="0" w:line="18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In April 2011 the Company entered into a five year, $21.2 million capital lease for manufacturing equipment. Payments under the lease, which bore interest at 3.09%, were $0.4 million per month through March 2016. The lease agreement provided that the Company must maintain the equipment in good working order, and included a cross default with cross acceleration provision related to certain non-financial covenants incorporated in the Company’s credit facility agreement. In March 2016 the Company paid the final installment on this lease and assumed ownership of the related equipment.</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SHARE-BASED COMPENSATION</w:t>
      </w:r>
    </w:p>
    <w:p>
      <w:pPr>
        <w:spacing w:after="0" w:line="256"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the Company (in the open-market or in private transactions) and that are being held in treasury, or a combination thereof. The maximum number of shares of common stock approved that may be issued under the Plan is four million shares.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nine month periods ended July 31, 2016, were $1.0 million and $2.8 million, respectively, and $0.9 million and $2.8 million for the three and nine month periods ended August 2, 2015, respectively. The Company received cash from option exercises of $0.1 million and $2.9 million for the three and nine month periods ended July 31, 2016, respectively, and $1.1 million and $2.1 million for the three and nine month periods ended August 2, 2015, respectively. No share-based compensation cost was capitalized as part of an asset and no related income tax benefits were recorded during the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2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the three and nine month periods ended July 31, 2016 and August 2, 2015,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gridSpan w:val="8"/>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400" w:type="dxa"/>
            <w:vAlign w:val="bottom"/>
            <w:gridSpan w:val="6"/>
          </w:tcPr>
          <w:p>
            <w:pPr>
              <w:ind w:left="2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Borders>
              <w:top w:val="single" w:sz="8" w:color="auto"/>
            </w:tcBorders>
            <w:gridSpan w:val="4"/>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July 31,</w:t>
            </w:r>
          </w:p>
        </w:tc>
        <w:tc>
          <w:tcPr>
            <w:tcW w:w="1020" w:type="dxa"/>
            <w:vAlign w:val="bottom"/>
            <w:tcBorders>
              <w:top w:val="single" w:sz="8" w:color="auto"/>
            </w:tcBorders>
            <w:gridSpan w:val="2"/>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August 2,</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9"/>
              </w:rPr>
              <w:t>July 31,</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August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38.9%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42.9%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48.8%</w:t>
            </w:r>
          </w:p>
        </w:tc>
        <w:tc>
          <w:tcPr>
            <w:tcW w:w="13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3"/>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center"/>
              <w:ind w:right="420"/>
              <w:spacing w:after="0"/>
              <w:rPr>
                <w:sz w:val="20"/>
                <w:szCs w:val="20"/>
                <w:color w:val="auto"/>
              </w:rPr>
            </w:pPr>
            <w:r>
              <w:rPr>
                <w:rFonts w:ascii="Arial" w:cs="Arial" w:eastAsia="Arial" w:hAnsi="Arial"/>
                <w:sz w:val="18"/>
                <w:szCs w:val="18"/>
                <w:color w:val="auto"/>
                <w:w w:val="90"/>
              </w:rPr>
              <w:t>1.4% – 1.6%</w:t>
            </w:r>
          </w:p>
        </w:tc>
        <w:tc>
          <w:tcPr>
            <w:tcW w:w="9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3"/>
              </w:rPr>
              <w:t>1.2%-1.7%</w:t>
            </w:r>
          </w:p>
        </w:tc>
        <w:tc>
          <w:tcPr>
            <w:tcW w:w="13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1.3% - 1.6%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0.0%</w:t>
            </w:r>
          </w:p>
        </w:tc>
        <w:tc>
          <w:tcPr>
            <w:tcW w:w="13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89"/>
              </w:rPr>
              <w:t>5.1 years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right="640"/>
              <w:spacing w:after="0"/>
              <w:rPr>
                <w:sz w:val="20"/>
                <w:szCs w:val="20"/>
                <w:color w:val="auto"/>
              </w:rPr>
            </w:pPr>
            <w:r>
              <w:rPr>
                <w:rFonts w:ascii="Arial" w:cs="Arial" w:eastAsia="Arial" w:hAnsi="Arial"/>
                <w:sz w:val="18"/>
                <w:szCs w:val="18"/>
                <w:color w:val="auto"/>
                <w:w w:val="86"/>
              </w:rPr>
              <w:t>4.7 years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5.1 years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4.7 years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580" w:type="dxa"/>
            <w:vAlign w:val="bottom"/>
            <w:gridSpan w:val="9"/>
          </w:tcPr>
          <w:p>
            <w:pPr>
              <w:jc w:val="right"/>
              <w:ind w:right="280"/>
              <w:spacing w:after="0"/>
              <w:rPr>
                <w:sz w:val="20"/>
                <w:szCs w:val="20"/>
                <w:color w:val="auto"/>
              </w:rPr>
            </w:pPr>
            <w:r>
              <w:rPr>
                <w:rFonts w:ascii="Arial" w:cs="Arial" w:eastAsia="Arial" w:hAnsi="Arial"/>
                <w:sz w:val="18"/>
                <w:szCs w:val="18"/>
                <w:color w:val="auto"/>
                <w:w w:val="93"/>
              </w:rPr>
              <w:t>Information on outstanding and exercisable option awards as of July 31, 2016, is presented below.</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8"/>
              </w:rPr>
              <w:t>Weighted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32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7"/>
              </w:rPr>
              <w:t>Average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3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1"/>
              </w:rPr>
              <w:t>Remaining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3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1"/>
              </w:rPr>
              <w:t>Contractual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99"/>
              </w:rPr>
              <w:t>Life</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52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940" w:type="dxa"/>
            <w:vAlign w:val="bottom"/>
            <w:gridSpan w:val="3"/>
          </w:tcPr>
          <w:p>
            <w:pPr>
              <w:spacing w:after="0"/>
              <w:rPr>
                <w:sz w:val="18"/>
                <w:szCs w:val="18"/>
                <w:color w:val="auto"/>
              </w:rPr>
            </w:pPr>
          </w:p>
        </w:tc>
        <w:tc>
          <w:tcPr>
            <w:tcW w:w="14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3,575,610</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86"/>
              </w:rPr>
              <w:t>6.5 years</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52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940" w:type="dxa"/>
            <w:vAlign w:val="bottom"/>
            <w:gridSpan w:val="3"/>
          </w:tcPr>
          <w:p>
            <w:pPr>
              <w:spacing w:after="0"/>
              <w:rPr>
                <w:sz w:val="18"/>
                <w:szCs w:val="18"/>
                <w:color w:val="auto"/>
              </w:rPr>
            </w:pPr>
          </w:p>
        </w:tc>
        <w:tc>
          <w:tcPr>
            <w:tcW w:w="14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July 31, 2016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2,027,160</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86"/>
              </w:rPr>
              <w:t>5.0 years</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There were 45,000 share options granted during the three month period ended July 31, 2016, with a weighted-average grant date fair value of $3.44 per share and 63,000 share options granted during the three month period ended August 2, 2015, with a weighted-average grant date fair value of $3.46 per share. There were 647,250 share options granted during the nine month period ended July 31, 2016, with a weighted-average grant date fair value of $4.55 per share and 667,800 share options granted during the nine month period ended August 2, 2015, with a weighted-average grant date fair value of $3.82 per share. As of July 31, 2016, the total unrecognized compensation cost related to unvested option awards was approximately $4.8 million. That cost is expected to be recognized over a weighted-average amortization period of 2.6 years.</w:t>
      </w:r>
    </w:p>
    <w:p>
      <w:pPr>
        <w:sectPr>
          <w:pgSz w:w="11900" w:h="16838" w:orient="portrait"/>
          <w:cols w:equalWidth="0" w:num="1">
            <w:col w:w="11420"/>
          </w:cols>
          <w:pgMar w:left="240" w:top="122"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periodically grants restricted stock awards. The restrictions on these awards lapse over a service period that has ranged from less-than-one to four years. No restricted stock awards were granted during the three month period ended July 31, 2016, and 115,225 restricted stock awards were issued during the nine month period ended July 31, 2016, with a weighted average grant date fair value of $12.13 per share. Awards totaling 10,000 shares of restricted stock were granted during the three month period ended August 2, 2015, with a weighted-average grant date fair value of $8.84 per share, and 121,334 restricted stock awards were issued during the nine month period ended August 2, 2015, with a weighted-average grant date fair value of $8.28 per share. As of July 31, 2016, the total compensation cost not yet recognized related to unvested restricted stock awards was approximately $1.3 million. That cost is expected to be recognized over a weighted-average amortization period of 2.1 years. As of July 31, 2016, there were 177,375 shares of restricted stock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49"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The effective tax rate differs from the U.S. statutory rate of 35% in the three and nine month periods ended July 31, 2016 and August 2, 2015, primarily due to earnings being taxed at lower statutory rates in foreign jurisdictions, combined with the realization of certain tax benefits (as further noted below) in a foreign jurisdiction and the benefit of various investment credits in a foreign jurisdiction. Valuation allowances in jurisdictions with historic losses eliminated the effective rate impact of these jurisdictions.</w:t>
      </w:r>
    </w:p>
    <w:p>
      <w:pPr>
        <w:spacing w:after="0" w:line="17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As of July 31, 2016 and August 2, 2015, the Company determined that deferred tax assets of $2.5 million and $1.7 million, respectively, including $0.2 million within the three month period ended August 2, 2015, whose realization was previously not considered to be more likely than not, are realizable and, therefore, reduced their related valuation allowances. During the nine month period ended July 31, 2016, the Company realized a $2.4 million benefit, which resulted from the reversal of a previously recorded undistributed earnings tax liability in a foreign jurisdiction. As a result of a shareholder action to approve a dividend in this jurisdiction, the Company determined that it is no longer liable for this tax. In addition, during the nine month period ended July 31, 2016, $0.7 million of withholding tax was incurred upon the completion of a foreign subsidiary share redemption which commenced in fiscal year 2015.</w:t>
      </w:r>
    </w:p>
    <w:p>
      <w:pPr>
        <w:spacing w:after="0" w:line="158"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Unrecognized tax benefits related to uncertain tax positions were $4.8 million at July 31, 2016, and $4.1 million at November 1, 2015, all of which would favorably impact the Company’s effective tax rate if recognized. Accrued interest and penalties related to unrecognized tax benefits was $0.1 million at July 31, 2016 and November 1, 2015. As of July 31, 2016, the total amount of unrecognized tax benefits is not expected to significantly increase or decrease in the next twelve months.</w:t>
      </w:r>
    </w:p>
    <w:p>
      <w:pPr>
        <w:spacing w:after="0" w:line="177"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PKLT, the Company’s FPD manufacturing facility in Taiwan, has been accorded a tax holiday, which started in 2012 and expires in 2017. This tax holiday had no dollar or per share effect in the three and nine month periods ended July 31, 2016 and August 2, 2015. PDMC, the Company’s IC manufacturing facility in Taiwan was accorded a tax holiday that commenced in 2015 and expires in 2019. The Company realized tax benefits from this tax holiday of $0.1 million in the three month periods ended July 31, 2016 and August 2, 2015, and $0.3 million and $0.2 million in the respective nine month periods. The tax holiday had no per share effect in the three and nine month periods ended July 31, 2016 and August 2, 2015.</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 of basic and diluted earnings per share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4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July 31,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2"/>
              </w:rPr>
              <w:t>August 2,</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9"/>
              </w:rPr>
              <w:t>July 31,</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5"/>
              </w:rPr>
              <w:t>August 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Interest expense on convertible notes, net of related tax effects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Earnings for diluted earnings per share</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ind w:left="160"/>
              <w:spacing w:after="0" w:line="201" w:lineRule="exact"/>
              <w:rPr>
                <w:sz w:val="20"/>
                <w:szCs w:val="20"/>
                <w:color w:val="auto"/>
              </w:rPr>
            </w:pPr>
            <w:r>
              <w:rPr>
                <w:rFonts w:ascii="Arial" w:cs="Arial" w:eastAsia="Arial" w:hAnsi="Arial"/>
                <w:sz w:val="18"/>
                <w:szCs w:val="18"/>
                <w:color w:val="auto"/>
                <w:w w:val="91"/>
              </w:rPr>
              <w:t>Weighted-average common shares used for basic earnings per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67,953</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66,454</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67,377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5,542</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11,085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payment awards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Potentially dilutive common shares</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6,364</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12,115</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Weighted-average common shares used for diluted earnings per</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74,317</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78,569</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table below shows the outstanding weighted-average share-based payment awards that were excluded from the calculation of diluted earnings per share because their exercise price exceeded the average market value of the common shares for the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Borders>
              <w:top w:val="single" w:sz="8" w:color="auto"/>
            </w:tcBorders>
            <w:gridSpan w:val="2"/>
          </w:tcPr>
          <w:p>
            <w:pPr>
              <w:ind w:left="280"/>
              <w:spacing w:after="0" w:line="198" w:lineRule="exact"/>
              <w:rPr>
                <w:sz w:val="20"/>
                <w:szCs w:val="20"/>
                <w:color w:val="auto"/>
              </w:rPr>
            </w:pPr>
            <w:r>
              <w:rPr>
                <w:rFonts w:ascii="Arial" w:cs="Arial" w:eastAsia="Arial" w:hAnsi="Arial"/>
                <w:sz w:val="18"/>
                <w:szCs w:val="18"/>
                <w:b w:val="1"/>
                <w:bCs w:val="1"/>
                <w:color w:val="auto"/>
              </w:rPr>
              <w:t>July 31,</w:t>
            </w:r>
          </w:p>
        </w:tc>
        <w:tc>
          <w:tcPr>
            <w:tcW w:w="114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August 2,</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July 31,</w:t>
            </w:r>
          </w:p>
        </w:tc>
        <w:tc>
          <w:tcPr>
            <w:tcW w:w="114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August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18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8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jc w:val="right"/>
              <w:ind w:right="219"/>
              <w:spacing w:after="0"/>
              <w:rPr>
                <w:sz w:val="20"/>
                <w:szCs w:val="20"/>
                <w:color w:val="auto"/>
              </w:rPr>
            </w:pPr>
            <w:r>
              <w:rPr>
                <w:rFonts w:ascii="Arial" w:cs="Arial" w:eastAsia="Arial" w:hAnsi="Arial"/>
                <w:sz w:val="14"/>
                <w:szCs w:val="14"/>
                <w:color w:val="auto"/>
              </w:rPr>
              <w:t>15</w:t>
            </w: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CHANGES IN ACCUMULATED OTHER COMPREHENSIVE INCOME BY COMPONENT</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set forth the changes in the Company’s accumulated other comprehensive income by component (net of tax of $0) for the three and nine month periods ended July 31, 2016 and August 2,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14"/>
          </w:tcPr>
          <w:p>
            <w:pPr>
              <w:jc w:val="right"/>
              <w:ind w:right="140"/>
              <w:spacing w:after="0"/>
              <w:rPr>
                <w:sz w:val="20"/>
                <w:szCs w:val="20"/>
                <w:color w:val="auto"/>
              </w:rPr>
            </w:pPr>
            <w:r>
              <w:rPr>
                <w:rFonts w:ascii="Arial" w:cs="Arial" w:eastAsia="Arial" w:hAnsi="Arial"/>
                <w:sz w:val="18"/>
                <w:szCs w:val="18"/>
                <w:b w:val="1"/>
                <w:bCs w:val="1"/>
                <w:color w:val="auto"/>
              </w:rPr>
              <w:t>Three Months Ended July 31, 2016</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 w:type="dxa"/>
            <w:vAlign w:val="bottom"/>
          </w:tcPr>
          <w:p>
            <w:pPr>
              <w:spacing w:after="0"/>
              <w:rPr>
                <w:sz w:val="17"/>
                <w:szCs w:val="17"/>
                <w:color w:val="auto"/>
              </w:rPr>
            </w:pPr>
          </w:p>
        </w:tc>
        <w:tc>
          <w:tcPr>
            <w:tcW w:w="1260" w:type="dxa"/>
            <w:vAlign w:val="bottom"/>
            <w:gridSpan w:val="4"/>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Flow Hedge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1, 2016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(7,966)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5,064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(1,180)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July 31, 2016</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(4,082)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(210)</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(644)</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4"/>
          </w:tcPr>
          <w:p>
            <w:pPr>
              <w:jc w:val="right"/>
              <w:ind w:right="80"/>
              <w:spacing w:after="0"/>
              <w:rPr>
                <w:sz w:val="20"/>
                <w:szCs w:val="20"/>
                <w:color w:val="auto"/>
              </w:rPr>
            </w:pPr>
            <w:r>
              <w:rPr>
                <w:rFonts w:ascii="Arial" w:cs="Arial" w:eastAsia="Arial" w:hAnsi="Arial"/>
                <w:sz w:val="18"/>
                <w:szCs w:val="18"/>
                <w:b w:val="1"/>
                <w:bCs w:val="1"/>
                <w:color w:val="auto"/>
              </w:rPr>
              <w:t>Three Months Ended August 2, 2015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58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 w:type="dxa"/>
            <w:vAlign w:val="bottom"/>
          </w:tcPr>
          <w:p>
            <w:pPr>
              <w:spacing w:after="0"/>
              <w:rPr>
                <w:sz w:val="17"/>
                <w:szCs w:val="17"/>
                <w:color w:val="auto"/>
              </w:rPr>
            </w:pPr>
          </w:p>
        </w:tc>
        <w:tc>
          <w:tcPr>
            <w:tcW w:w="1260" w:type="dxa"/>
            <w:vAlign w:val="bottom"/>
            <w:gridSpan w:val="4"/>
          </w:tcPr>
          <w:p>
            <w:pPr>
              <w:jc w:val="center"/>
              <w:ind w:right="14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Flow Hedge</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160" w:type="dxa"/>
            <w:vAlign w:val="bottom"/>
            <w:gridSpan w:val="3"/>
          </w:tcPr>
          <w:p>
            <w:pPr>
              <w:spacing w:after="0"/>
              <w:rPr>
                <w:sz w:val="18"/>
                <w:szCs w:val="18"/>
                <w:color w:val="auto"/>
              </w:rPr>
            </w:pPr>
          </w:p>
        </w:tc>
        <w:tc>
          <w:tcPr>
            <w:tcW w:w="30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c>
          <w:tcPr>
            <w:tcW w:w="32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 2015</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(440)</w:t>
            </w: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(25,342)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(25,342)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August 2, 2015</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(7,486)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(338)</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(432)</w:t>
            </w: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16</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8"/>
                <w:szCs w:val="18"/>
                <w:b w:val="1"/>
                <w:bCs w:val="1"/>
                <w:color w:val="auto"/>
                <w:w w:val="91"/>
              </w:rPr>
              <w:t>Nine Months Ended July 31, 2016</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5"/>
          </w:tcPr>
          <w:p>
            <w:pPr>
              <w:jc w:val="center"/>
              <w:spacing w:after="0" w:line="198" w:lineRule="exact"/>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7"/>
                <w:szCs w:val="17"/>
                <w:color w:val="auto"/>
              </w:rPr>
            </w:pPr>
          </w:p>
        </w:tc>
        <w:tc>
          <w:tcPr>
            <w:tcW w:w="1240" w:type="dxa"/>
            <w:vAlign w:val="bottom"/>
            <w:gridSpan w:val="4"/>
          </w:tcPr>
          <w:p>
            <w:pPr>
              <w:jc w:val="center"/>
              <w:ind w:right="8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of Cash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1"/>
              </w:rPr>
              <w:t>Flow Hedge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November 1, 2015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7,810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w w:val="91"/>
              </w:rPr>
              <w:t>Less: other comprehensive (income) loss attributable to noncontrolling interests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Balance at July 31, 2016</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(4,082)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(210)</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3"/>
          </w:tcPr>
          <w:p>
            <w:pPr>
              <w:jc w:val="right"/>
              <w:ind w:right="100"/>
              <w:spacing w:after="0"/>
              <w:rPr>
                <w:sz w:val="20"/>
                <w:szCs w:val="20"/>
                <w:color w:val="auto"/>
              </w:rPr>
            </w:pPr>
            <w:r>
              <w:rPr>
                <w:rFonts w:ascii="Arial" w:cs="Arial" w:eastAsia="Arial" w:hAnsi="Arial"/>
                <w:sz w:val="18"/>
                <w:szCs w:val="18"/>
                <w:b w:val="1"/>
                <w:bCs w:val="1"/>
                <w:color w:val="auto"/>
              </w:rPr>
              <w:t>Nine Months Ended August 2, 2015</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6"/>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Foreign Currency</w:t>
            </w:r>
          </w:p>
        </w:tc>
        <w:tc>
          <w:tcPr>
            <w:tcW w:w="1360" w:type="dxa"/>
            <w:vAlign w:val="bottom"/>
            <w:gridSpan w:val="5"/>
          </w:tcPr>
          <w:p>
            <w:pPr>
              <w:ind w:left="120"/>
              <w:spacing w:after="0" w:line="198" w:lineRule="exact"/>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of Cash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Flow Hedge</w:t>
            </w:r>
          </w:p>
        </w:tc>
        <w:tc>
          <w:tcPr>
            <w:tcW w:w="10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November 2, 2014</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(32,915)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w w:val="91"/>
              </w:rPr>
              <w:t>Less: other comprehensive income (loss) attributable to noncontrolling interests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Balance at August 2, 2015</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(7,486)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(338)</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amortization of the cash flow hedge is included in cost of sales in the condensed consolidated statements of income for all periods presented.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25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have any assets or liabilities measured at fair value on a recurring or a nonrecurring basis at July 31, 2016 or November 1, 2015.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convertible senior notes is a Level 2 measurement that is determined using recent bid prices.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presents the fair and carrying values of the Company’s convertible senior notes at July 31, 2016 and November 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July 31, 2016</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1"/>
              </w:rPr>
              <w:t>November 1, 2015</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2019</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67,701</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64,550</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3.25% convertible senior notes due 2016</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60,375</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57,500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31, 2016, the Company had commitments outstanding for capital expenditures of approximately $51 million.</w:t>
      </w:r>
    </w:p>
    <w:p>
      <w:pPr>
        <w:spacing w:after="0" w:line="25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Note 14 for a discussion of the Company’s announced expansion into China.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GAINS ON SALES OF INVESTMENTS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quarter of fiscal 2016 the Company sold a minority interest it held in a foreign entity, which resulted in it recognizing a gain of $8.8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4, in the third quarter of fiscal year 2016 we sold our investment in the MP Mask joint venture.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SUBSIDIARY DIVIDEND</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June 2016 PDMC, the Company’s majority owned IC facility in Taiwan, paid a dividend of which 49.99%, or approximately $11.9 million, was paid to its noncontrolling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EXPANSION INTO CHINA</w:t>
      </w:r>
    </w:p>
    <w:p>
      <w:pPr>
        <w:spacing w:after="0" w:line="22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In August 2016 the Company announced that it had signed an investment agreement with the Xiamen Torch Hi-Tech Industrial Development Zone (Xiamen Torch) to establish an IC manufacturing facility in Xiamen, China. Under the terms of the agreement the Company will build and operate a state-of-the-art IC manufacturing and research and development facility, in return for which Xiamen Torch will provide certain investment incentives and support.</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plans to invest $160 million over the next five years, with construction commencing in 2017 and production estimated to start in late 2018. The investment will be in the form of cash, transferred capital equipment and, possibly, local financing. Support for the project has been obtained from an existing customer.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RECENT ACCOUNTING PRONOUNCEMENTS</w:t>
      </w:r>
    </w:p>
    <w:p>
      <w:pPr>
        <w:spacing w:after="0" w:line="25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2016 – 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The Update is effective for the Company in its first quarter of fiscal year 2018, with early application permitted. The Company is currently evaluating the effect this ASU will have on its consolidated financial statements.</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February 2016 the FASB issued ASU 2016 – 02 “Leases (Topic 842)”, which requires lessees to recognize right-of-use assets and corresponding liabilities for all leases with an initial term in excess of twelve months. The Update is to be adopted using a modified retrospective approach, which includes a number of practical expedients, that require leases to be measured and recognized under the new guidance at the beginning of the earliest period presented. The ASU is effective for the Company in its first quarter of fiscal year 2020, with early application permitted, and the Company is currently evaluating the effect this ASU will have on its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January 2016 the FASB issued ASU 2016-01 “Recognition and Measurement of Financial Assets and Financial Liabilities”, which provides targeted improvements to the recognition, measurement, presentation and disclosure of financial assets and financial liabilities. Specific accounting areas addressed include, equity investments, financial liabilities reported under the fair value option and valuation allowance assessment resulting from unrealized losses on available-for-sale securities. The ASU also changes certain presentation and disclosure requirements for financial instruments. The Update is to be applied by means of a cumulative effect adjustment to the balance sheet as of the beginning of the fiscal year of adoption. This ASU is effective for the Company in its first quarter of fiscal year 2019. Early adoption, with certain exceptions, is not permitted. The Company is currently evaluating the effect this ASU will have on its consolidated financial statements.</w:t>
      </w:r>
    </w:p>
    <w:p>
      <w:pPr>
        <w:spacing w:after="0" w:line="20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November 2015 the FASB issued ASU 2015-17 “Balance Sheet Classification of Deferred Taxes”, which requires that deferred tax liabilities and assets be classified as noncurrent in a classified statement of financial position. This ASU is effective for the Company in its first quarter of fiscal year 2018, with early application permitted and, upon adoption, may be applied either prospectively or retrospectively. The Company is currently evaluating the effect this ASU will have on its consolidated financial statements.</w:t>
      </w:r>
    </w:p>
    <w:p>
      <w:pPr>
        <w:spacing w:after="0" w:line="21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April 2015 the FASB issued ASU 2015-03 “Simplifying the Presentation of Debt Issuance Costs”, which requires debt issuance costs related to recognized debt liability to be presented in the balance sheet as a direct deduction from that debt liability, consistent with the presentation of a debt discount. This ASU is effective for the Company in its first quarter of fiscal year 2017 and, upon adoption, should be applied retrospectively. Early adoption is permitted. The Company is currently evaluating the effect this ASU will have on its consolidated financial statements.</w:t>
      </w:r>
    </w:p>
    <w:p>
      <w:pPr>
        <w:spacing w:after="0" w:line="19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the Company in its first quarter of fiscal year 2019. ASU 2014-09 allows for either full retrospective or modified retrospective adoption. In April 2016 the FASB issued ASU 2016-10 “Identifying Performance Obligations and Licensing” which amends guidance previously issued on these matters in ASU 2014-09. The effective date and transition requirements of ASU 2016-10 are the same as those for ASU 2014-09. The Company is evaluating the transition method that will be elected and the potential effects of the adoption of these Updates on its consolidated financial statements.</w:t>
      </w: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2015 year), that may cause actual results to materially differ from these expectations.</w:t>
      </w:r>
    </w:p>
    <w:p>
      <w:pPr>
        <w:spacing w:after="0" w:line="18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In August 2016 the Company announced that it had signed an investment agreement with the Xiamen Torch Hi-Tech Industrial Development Zone (Xiamen Torch) to establish an IC manufacturing facility in Xiamen, China. Under the terms of the agreement the Company will build and operate a state-of-the-art IC manufacturing and research and development facility, in return for which Xiamen Torch will provide certain investment incentives and support.</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plans to invest $160 million over the next five years, with construction commencing in 2017 and production estimated to start in late 2018. The investment will be in the form of cash, transferred capital equipment and, possibly, local financing. Support for the project has been obtained from an existing customer.</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ectPr>
          <w:pgSz w:w="11900" w:h="16838" w:orient="portrait"/>
          <w:cols w:equalWidth="0" w:num="1">
            <w:col w:w="11420"/>
          </w:cols>
          <w:pgMar w:left="240" w:top="122"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July 31, 2016 and August 2, 2015</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7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7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340" w:type="dxa"/>
            <w:vAlign w:val="bottom"/>
            <w:tcBorders>
              <w:top w:val="single" w:sz="8" w:color="auto"/>
            </w:tcBorders>
            <w:gridSpan w:val="3"/>
          </w:tcPr>
          <w:p>
            <w:pPr>
              <w:jc w:val="right"/>
              <w:ind w:right="500"/>
              <w:spacing w:after="0" w:line="198" w:lineRule="exact"/>
              <w:rPr>
                <w:sz w:val="20"/>
                <w:szCs w:val="20"/>
                <w:color w:val="auto"/>
              </w:rPr>
            </w:pPr>
            <w:r>
              <w:rPr>
                <w:rFonts w:ascii="Arial" w:cs="Arial" w:eastAsia="Arial" w:hAnsi="Arial"/>
                <w:sz w:val="18"/>
                <w:szCs w:val="18"/>
                <w:b w:val="1"/>
                <w:bCs w:val="1"/>
                <w:color w:val="auto"/>
              </w:rPr>
              <w:t>July 31,</w:t>
            </w:r>
          </w:p>
        </w:tc>
        <w:tc>
          <w:tcPr>
            <w:tcW w:w="112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August 2,</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July 31,</w:t>
            </w:r>
          </w:p>
        </w:tc>
        <w:tc>
          <w:tcPr>
            <w:tcW w:w="11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August 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(74.5)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Gross margin</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26.1</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Gains on sales of investments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July31, 2016 (Q3-16) and August 2, 2015 (Q3-15) and for the nine months ended July 31, 2016 (YTD-16) and August 2, 2015 (YTD-15), in millions of dollars.</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2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Sales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b w:val="1"/>
                <w:bCs w:val="1"/>
                <w:color w:val="auto"/>
                <w:w w:val="97"/>
              </w:rPr>
              <w:t>Three Months Ended</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0"/>
              </w:rPr>
              <w:t>Nine Months Ended</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Q3-16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Q3-15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YTD-15</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FPD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376.1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Net sales for Q3-16 decreased 6.4% to $123.2 million as compared to $131.7 million for Q3-15. The decrease was primarily a result of reduced demand for both high-end and mainstream IC photomasks, which was partially offset by increased demand for FPD photomasks, including high-end. Revenues attributable to high-end products decreased by $3.7 million to $53.3 million in Q3-16 as compared to $57.0 million in Q3-15. High-end photomask applications include mask sets for 45 nanometer and below for IC products, and G8 and above and active matrix organic light-emitting diode (AMOLED) display screen technologies for FPD products. By geographic area, net sales in Q3-16, as compared to Q3-15, increased (decreased) by $1.4 million or 2.8% to $52.0 million in Taiwan, $(9.1) million or (26.9)%, to $24.7 million in the United States, and $(0.8) million or (8.3)% to $8.4 million in Europe. Net sales in Korea in Q3-16 were $37.6 million, unchanged from Q3-15.</w:t>
      </w:r>
    </w:p>
    <w:p>
      <w:pPr>
        <w:spacing w:after="0" w:line="20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Net sales for YTD-16 decreased to $376.1 million as compared with $382.5 million for YTD-15, as a result of lower high-end and mainstream IC revenues, partially offset by strong high-end FPD revenues. Revenues attributable to high-end products increased by $11.1 million to $176.5 million in YTD-16 as compared to $165.4 million in YTD-15 primarily due to increased advanced display FPD revenues offset by decreased demand for high-end IC photomasks.</w:t>
      </w:r>
    </w:p>
    <w:p>
      <w:pPr>
        <w:spacing w:after="0" w:line="21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Company’s quarterly revenues can be affected by the seasonal purchasing of its customers. Demand for the Company’s products is typically negatively impacted during the first six months of its fiscal year by the North American, European and Asian holiday periods, as some customers reduce their effective workdays and orders during this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9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Q3-16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Q3-15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YTD-15</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c>
          <w:tcPr>
            <w:tcW w:w="9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5"/>
              </w:rPr>
              <w:t>31.5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(15.6)%  $</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6"/>
              </w:rPr>
              <w:t>98.2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98.5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00" w:type="dxa"/>
            <w:vAlign w:val="bottom"/>
          </w:tcPr>
          <w:p>
            <w:pPr>
              <w:spacing w:after="0"/>
              <w:rPr>
                <w:sz w:val="20"/>
                <w:szCs w:val="20"/>
                <w:color w:val="auto"/>
              </w:rPr>
            </w:pPr>
          </w:p>
        </w:tc>
        <w:tc>
          <w:tcPr>
            <w:tcW w:w="1160" w:type="dxa"/>
            <w:vAlign w:val="bottom"/>
            <w:gridSpan w:val="3"/>
          </w:tcPr>
          <w:p>
            <w:pPr>
              <w:ind w:left="58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20"/>
                <w:szCs w:val="20"/>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20"/>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25.8%</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Gross margin percentage decreased to 25.5% in Q3-16 from 28.3% in Q3-15, primarily due to lower demand for IC products. YTD-16 gross margin percentage increased to 26.1% from 25.8% in YTD-15, primarily due to improved manufacturing efficiencies and cost reductions. The Company operates in a high fixed cost environment and, to the extent that the Company’s revenues and utilization increase or decrease, gross margin will generally be positively or negatively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Q3-16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1"/>
              </w:rPr>
              <w:t>Q3-15</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YTD-16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YTD-15</w:t>
            </w: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11.2</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780" w:type="dxa"/>
            <w:vAlign w:val="bottom"/>
          </w:tcPr>
          <w:p>
            <w:pPr>
              <w:spacing w:after="0"/>
              <w:rPr>
                <w:sz w:val="20"/>
                <w:szCs w:val="20"/>
                <w:color w:val="auto"/>
              </w:rPr>
            </w:pPr>
          </w:p>
        </w:tc>
        <w:tc>
          <w:tcPr>
            <w:tcW w:w="580" w:type="dxa"/>
            <w:vAlign w:val="bottom"/>
            <w:gridSpan w:val="3"/>
          </w:tcPr>
          <w:p>
            <w:pPr>
              <w:jc w:val="right"/>
              <w:ind w:right="3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Selling, general and administrative expenses were $11.2 million in Q3-16 and $12.4 million in Q3-15, and were $34.4 million in YTD-16 and $36.8 million in YTD-15. These decreases were primarily the result of reduced costs, including freight and other items.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1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9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Q3-16</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1"/>
              </w:rPr>
              <w:t>Q3-15</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YTD-15</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9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5.5</w:t>
            </w:r>
          </w:p>
        </w:tc>
        <w:tc>
          <w:tcPr>
            <w:tcW w:w="11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82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4.4%</w:t>
            </w:r>
          </w:p>
        </w:tc>
        <w:tc>
          <w:tcPr>
            <w:tcW w:w="84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expenses decreased by $0.8 million to $5.5 million in Q3-16, as compared to $6.3 million in Q3-15 due to decreased advanced nanometer technology development activities in the Asian region. YTD-16 research and development expenses did not significantly change from YTD-15.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Q3-16</w:t>
            </w:r>
          </w:p>
        </w:tc>
        <w:tc>
          <w:tcPr>
            <w:tcW w:w="3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Q3-15</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Gains on sales of investments</w:t>
            </w:r>
          </w:p>
        </w:tc>
        <w:tc>
          <w:tcPr>
            <w:tcW w:w="18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(0.6)</w:t>
            </w:r>
          </w:p>
        </w:tc>
        <w:tc>
          <w:tcPr>
            <w:tcW w:w="8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January 2016 the Company sold a minority interest investment in a foreign entity and recognized a gain of $8.8 million. In May the Company sold its 49.99% interest in the MP Mask joint venture and recognized a gain of $0.2 million.</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Interest expense decreased by $0.6 million in Q3-16, as compared to Q3-15, and by $1.1 million in YTD-16, as compared to YTD-15, primarily as a result of the impact of the 3.25% convertible debt that matured on April 1, 2016.</w:t>
      </w:r>
    </w:p>
    <w:p>
      <w:pPr>
        <w:spacing w:after="0" w:line="197"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Interest and other income (expense), net increased in Q3-16 as compared to Q3-15 by $0.4 million primarily due to the favorable settlement of a liability related to a prior year’s acquisition, which was partially offset by less favorable foreign currency exchange gains. Interest and other income (expense), net increased in FY-16 from FY-15, primarily as the result of the aforementioned settlement of the liability related to a prior year’s acquisition.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(Benefit) Provision</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Q3-16</w:t>
            </w: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Q3-15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YTD-16</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Company’s effective income tax rate is sensitive to the jurisdictional mix of earnings, due in part to the non-recognition of tax benefits on losses in jurisdictions with valuation allowances.</w:t>
      </w:r>
    </w:p>
    <w:p>
      <w:pPr>
        <w:spacing w:after="0" w:line="19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effective income tax rate increase in Q3-16, as compared with Q3-15, was primarily attributable to a greater percentage of income before income taxes being earned in jurisdictions where the Company does not maintain valuation allowances and, therefore recognizes a tax expense. The effective income tax rate decrease in YTD-16, as compared with YTD-15, is primarily a result of the following factors: the recognition in FY-16 of $2.5 million, compared with $1.5 million in FY-15, of previously unrecognized deferred tax assets which resulted from the improved performance of the Company’s FPD operations; the reversal of previously recognized tax expense of $2.4 million that was eliminated by a distribution of the FY-15 earnings of a foreign subsidiary to its foreign parent; and a higher percentage of income before income taxes, including the $8.8 million gain on the sale of investment in Q1-16 that was generated in jurisdictions where the Company previously incurred losses which, due to valuation allowances, did not result in the Company recognizing tax benefits. These positive factors were offset in part by the accrual of $0.7 million of withholding taxes related to a foreign subsidiary share redemption in a foreign jurisdiction. As of each reporting date, the Company considers new evidence, both positive and negative, that could impact management’s view with regards to the future realizations of deferred tax assets.</w:t>
      </w:r>
    </w:p>
    <w:p>
      <w:pPr>
        <w:sectPr>
          <w:pgSz w:w="11900" w:h="16838" w:orient="portrait"/>
          <w:cols w:equalWidth="0" w:num="1">
            <w:col w:w="11420"/>
          </w:cols>
          <w:pgMar w:left="240" w:top="114"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Net income attributable to noncontrolling interests increased $0.1 million to $3.4 million in Q3-16, as compared to $3.3 million in Q3-15, and decreased by $0.5 million to $8.2 million in YTD-16, as compared to $8.7 million in YTD-15, as a result of fluctuations in net income of the Company’s IC manufacturing facility in Taiwan.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Company’s working capital increased to $344.4 million at July 31, 2016 as compared to $171.4 million at November 1, 2015, primarily as a result of the following: increased cash and cash equivalents due to the sale of the Company’s 49.99% interest in the MP Mask joint venture for $93.1 million in May 2016; the conversion of $7.4 million of debt to common stock in April 2016; proceeds from the sale of an investment in a foreign entity of $8.8 million in January 2016; and cash generated from operating activities. Net cash provided by operating activities was $91.4 million for the nine month period ended July 31, 2016, essentially unchanged from $91.8 million for the nine month period ended August 2, 2015. Net cash provided by investing activities for the nine month period ended July 31, 2016, was $57.6 million, which was comprised primarily of proceeds of $101.9 million received from the sale of investments, partially offset by capital expenditure payments. Net cash used in financing activities of $65.0 million for the nine month period ended July 31, 2016, was comprised of repayments of long-term borrowings of $56.3 million and the payment by a subsidiary of a dividend to noncontrolling interests of $11.9 million in June 2016, which were partially offset by proceeds of $3.2 million received from exercises of employee stock options. The Company may use its cash available on hand for operations, capital expenditures, debt repayments, strategic opportunities, stock repurchases or other corporate uses, any of which may be material.</w:t>
      </w:r>
    </w:p>
    <w:p>
      <w:pPr>
        <w:spacing w:after="0" w:line="210"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As of July 31, 2016 and November 1, 2015, the Company’s total cash and cash equivalents include $115.9 million and $102.9 million, respectively, held by its foreign subsidiaries. The majority of earnings of the Company’s foreign subsidiaries are considered to be indefinitely reinvested. However, in the event that the Company was to repatriate these earnings, such action may result in increased U.S. federal income taxes and local country withholding tax in certain jurisdictions. The Company’s foreign subsidiaries continue to grow through the reinvestment of earnings in additional manufacturing capacity and capability, particularly in the high-end IC and FPD areas.</w:t>
      </w:r>
    </w:p>
    <w:p>
      <w:pPr>
        <w:spacing w:after="0" w:line="215"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In August 2016 the Company announced that it had signed an investment agreement with the Xiamen Torch Hi-Tech Industrial Development Zone (Xiamen Torch) to establish an IC manufacturing facility in Xiamen, China. Under the terms of the agreement the Company will build and operate a state-of-the-art IC manufacturing and research and development facility, in return for which Xiamen Torch will provide certain investment incentives and support.</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plans to invest $160 million over the next five years, with construction commencing in 2017 and production estimated to start in late 2018. The investment will be in the form of cash, transferred capital equipment and, possibly, local financing. Support for the project has been obtained from an existing customer.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2016 PDMC, the Company’s majority owned IC facility in Taiwan, paid a dividend of $11.9 million to its noncontrolling interests.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May 2016, the Company sold its investment in MP Mask to Micron for $93.1 million. On that same date a supply agreement commenced between the Company and Micron, which provides that the Company will be the majority outsourced supplier of Micron’s photomasks and related services. The supply agreement has a one year term, subject to mutually agreeable renewals. In addition, the Company forevermore has the rights to use technology under the prior technology license agreement.</w:t>
      </w:r>
    </w:p>
    <w:p>
      <w:pPr>
        <w:spacing w:after="0" w:line="21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April 2016 $57.5 million of the Company’s senior convertible notes matured. The Company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9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precludes the Company from paying cash dividends and is subject to a minimum interest coverage ratio, total leverage ratio and minimum unrestricted cash balance financial covenants, all of which the Company was in compliance with at July 31, 2016. The Company had no outstanding borrowings against the credit facility at July 31, 2016, and $50 million was available for borrowing. The interest rate on the credit facility (1.73% at July 31, 2016) is based on the Company’s total leverage ratio at LIBOR plus a spread, as defined in the credit facility.</w:t>
      </w:r>
    </w:p>
    <w:p>
      <w:pPr>
        <w:spacing w:after="0" w:line="205"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As of July 31, 2016, the Company had capital equipment commitments outstanding of approximately $51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00"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However, the Company believes its cash on hand, cash generated from its operations and cash committed under its credit facility will allow it to fund its operations through at least the next twelve months.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In April 2014 the Company acquired 50.01% (a controlling interest) of PDMC, its IC manufacturing facility located in Taiwan. Under the PDMC operating agreement the shareholders of PDMC may be requested to make additional contributions to PDMC. In the event that PDMC requests additional capital from its shareholders, the Company may be required to make additional capital contributions to PDMC in order to maintain its 50.01% ownership. The PDMC operating agreement limits the amount of contributions that may be requested during both the first four years of PDMC and during any individual year within those first four years. As of July 31, 2016, the Company had not been requested to make any capital contribution to PDMC.</w:t>
      </w:r>
    </w:p>
    <w:p>
      <w:pPr>
        <w:spacing w:after="0" w:line="185"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208"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15 – Recent Accounting Pronouncements” to the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conducts business in several major international currencies through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South Korean won, the New Taiwan dollar, and the Singapore dollar. The functional currencies of the Company’s European subsidiaries are the British pound and the euro. The Company also engages in transactions and holds balances in Japanese yen.</w:t>
      </w:r>
    </w:p>
    <w:p>
      <w:pPr>
        <w:spacing w:after="0" w:line="21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There can be no assurance that this approach will continue to be successful, especially in the event of a significant adverse movement in the value of any foreign currency against the U.S. dollar, the New Taiwan dollar or the South Korean won. However, in some instances, the Company sells products in a currency other than the functional currency of the country where it was produced or purchases products in a currency that differs from the functional currency of the purchasing manufacturing facility.</w:t>
      </w:r>
    </w:p>
    <w:p>
      <w:pPr>
        <w:spacing w:after="0" w:line="18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The Company’s primary net foreign currency exposures as of July 31, 2016, included the South Korean won, the Japanese yen, the New Taiwan dollar, the Singapore dollar, the British pound, and the euro. As of July 31, 2016, a 10% adverse movement in the value of these currencies against the functional currencies of our subsidiaries would have resulted in a net unrealized pre-tax loss of $7.5 million. The Company does not believe that a 10% change in the exchange rates of other non-US dollar currencies would have a material effect on its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At July 31, 2016, the Company did not have any variable rate borrowings. A 10% change in interest rates would not have had a material effect on the Company’s consolidated financial position, results of operations, or cash flows in the three or nine month periods ended July 31, 2016.</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has established and currently maintains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0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Company’s third quarter of fiscal 2016 that has materially affected, or is reasonably likely to materially affect, the Company’s internal control over financial reporting.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announced expansion into China entails substantial risks.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August 2016 the Company announced that it would invest $160 million over the next five years to construct an IC manufacturing facility in Xiamen, China. This investment is subject to substantial risks which may include, but are not limited to: delays in or the inability to obtain necessary permits that are needed to enable us to construct our facility or conduct our ongoing business; the inability to protect our intellectual property rights under Chinese law, which may not offer as high of a level of protection as U.S. law; unexpectedly long negotiation periods with Chinese suppliers and customers; quality issues related to materials sourced from local vendors; unexpectedly high labor costs due to a tight labor supply; and difficulty in repatriating funds and selling or transferring assets. Our investment in China also exposes us to a significant additional foreign currency exchange risk, which we have not been subject to in recent years. These and other risks may result in our not realizing a return on, or losing some of or all of our planned investment in China, which would have a material adverse effect on our financial condition and financial performance.</w:t>
      </w:r>
    </w:p>
    <w:p>
      <w:pPr>
        <w:spacing w:after="0" w:line="17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Please refer to Part 1, Item 1A of the Company’s Form 10-K for the year ended November 1, 2015, for additional risks related to the Company’s business.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ind w:left="1160"/>
              <w:spacing w:after="0"/>
              <w:rPr>
                <w:sz w:val="20"/>
                <w:szCs w:val="20"/>
                <w:color w:val="auto"/>
              </w:rPr>
            </w:pPr>
            <w:r>
              <w:rPr>
                <w:rFonts w:ascii="Arial" w:cs="Arial" w:eastAsia="Arial" w:hAnsi="Arial"/>
                <w:sz w:val="18"/>
                <w:szCs w:val="18"/>
                <w:color w:val="auto"/>
              </w:rPr>
              <w:t>(a)</w:t>
            </w:r>
          </w:p>
        </w:tc>
        <w:tc>
          <w:tcPr>
            <w:tcW w:w="1160" w:type="dxa"/>
            <w:vAlign w:val="bottom"/>
            <w:gridSpan w:val="4"/>
          </w:tcPr>
          <w:p>
            <w:pPr>
              <w:spacing w:after="0"/>
              <w:rPr>
                <w:sz w:val="20"/>
                <w:szCs w:val="20"/>
                <w:color w:val="auto"/>
              </w:rPr>
            </w:pPr>
            <w:r>
              <w:rPr>
                <w:rFonts w:ascii="Arial" w:cs="Arial" w:eastAsia="Arial" w:hAnsi="Arial"/>
                <w:sz w:val="18"/>
                <w:szCs w:val="18"/>
                <w:color w:val="auto"/>
              </w:rPr>
              <w:t>Exhibits</w:t>
            </w:r>
          </w:p>
        </w:tc>
        <w:tc>
          <w:tcPr>
            <w:tcW w:w="880" w:type="dxa"/>
            <w:vAlign w:val="bottom"/>
          </w:tcPr>
          <w:p>
            <w:pPr>
              <w:spacing w:after="0"/>
              <w:rPr>
                <w:sz w:val="20"/>
                <w:szCs w:val="20"/>
                <w:color w:val="auto"/>
              </w:rPr>
            </w:pPr>
          </w:p>
        </w:tc>
        <w:tc>
          <w:tcPr>
            <w:tcW w:w="7640" w:type="dxa"/>
            <w:vAlign w:val="bottom"/>
          </w:tcPr>
          <w:p>
            <w:pPr>
              <w:spacing w:after="0"/>
              <w:rPr>
                <w:sz w:val="20"/>
                <w:szCs w:val="20"/>
                <w:color w:val="auto"/>
              </w:rPr>
            </w:pPr>
          </w:p>
        </w:tc>
      </w:tr>
      <w:tr>
        <w:trPr>
          <w:trHeight w:val="414"/>
        </w:trPr>
        <w:tc>
          <w:tcPr>
            <w:tcW w:w="17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194"/>
        </w:trPr>
        <w:tc>
          <w:tcPr>
            <w:tcW w:w="1740" w:type="dxa"/>
            <w:vAlign w:val="bottom"/>
          </w:tcPr>
          <w:p>
            <w:pPr>
              <w:spacing w:after="0"/>
              <w:rPr>
                <w:sz w:val="16"/>
                <w:szCs w:val="16"/>
                <w:color w:val="auto"/>
              </w:rPr>
            </w:pPr>
          </w:p>
        </w:tc>
        <w:tc>
          <w:tcPr>
            <w:tcW w:w="11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Number</w:t>
            </w:r>
          </w:p>
        </w:tc>
        <w:tc>
          <w:tcPr>
            <w:tcW w:w="85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37"/>
        </w:trPr>
        <w:tc>
          <w:tcPr>
            <w:tcW w:w="17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640" w:type="dxa"/>
            <w:vAlign w:val="bottom"/>
          </w:tcPr>
          <w:p>
            <w:pPr>
              <w:spacing w:after="0"/>
              <w:rPr>
                <w:sz w:val="20"/>
                <w:szCs w:val="20"/>
                <w:color w:val="auto"/>
              </w:rPr>
            </w:pPr>
          </w:p>
        </w:tc>
      </w:tr>
      <w:tr>
        <w:trPr>
          <w:trHeight w:val="176"/>
        </w:trPr>
        <w:tc>
          <w:tcPr>
            <w:tcW w:w="17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10.</w:t>
              </w:r>
              <w:r>
                <w:rPr>
                  <w:rFonts w:ascii="Arial" w:cs="Arial" w:eastAsia="Arial" w:hAnsi="Arial"/>
                  <w:sz w:val="18"/>
                  <w:szCs w:val="18"/>
                  <w:u w:val="single" w:color="auto"/>
                  <w:color w:val="0000EE"/>
                </w:rPr>
                <w:t>35</w:t>
              </w:r>
            </w:hyperlink>
          </w:p>
        </w:tc>
        <w:tc>
          <w:tcPr>
            <w:tcW w:w="520" w:type="dxa"/>
            <w:vAlign w:val="bottom"/>
            <w:shd w:val="clear" w:color="auto" w:fill="CCEEFF"/>
          </w:tcPr>
          <w:p>
            <w:pPr>
              <w:spacing w:after="0"/>
              <w:rPr>
                <w:sz w:val="15"/>
                <w:szCs w:val="15"/>
                <w:color w:val="auto"/>
              </w:rPr>
            </w:pPr>
          </w:p>
        </w:tc>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Investment Agreement between Xiamen Torch Hi-Tech Industrial Development Zone Management Committee and</w:t>
            </w:r>
          </w:p>
        </w:tc>
      </w:tr>
      <w:tr>
        <w:trPr>
          <w:trHeight w:val="237"/>
        </w:trPr>
        <w:tc>
          <w:tcPr>
            <w:tcW w:w="1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Photronics Singapore Pte, Ltd dated August 18, 2016.*</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176"/>
        </w:trPr>
        <w:tc>
          <w:tcPr>
            <w:tcW w:w="17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Certification of Chief Executive Officer pursuant to Rule 13a-14(a)/15d-14(a) of the Securities Exchange Act of</w:t>
            </w:r>
          </w:p>
        </w:tc>
      </w:tr>
      <w:tr>
        <w:trPr>
          <w:trHeight w:val="237"/>
        </w:trPr>
        <w:tc>
          <w:tcPr>
            <w:tcW w:w="1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176"/>
        </w:trPr>
        <w:tc>
          <w:tcPr>
            <w:tcW w:w="17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w:t>
            </w:r>
          </w:p>
        </w:tc>
      </w:tr>
      <w:tr>
        <w:trPr>
          <w:trHeight w:val="237"/>
        </w:trPr>
        <w:tc>
          <w:tcPr>
            <w:tcW w:w="1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176"/>
        </w:trPr>
        <w:tc>
          <w:tcPr>
            <w:tcW w:w="17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w:t>
            </w:r>
          </w:p>
        </w:tc>
      </w:tr>
      <w:tr>
        <w:trPr>
          <w:trHeight w:val="237"/>
        </w:trPr>
        <w:tc>
          <w:tcPr>
            <w:tcW w:w="1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Sarbanes-Oxley Act of 2002.</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176"/>
        </w:trPr>
        <w:tc>
          <w:tcPr>
            <w:tcW w:w="17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w:t>
            </w:r>
          </w:p>
        </w:tc>
      </w:tr>
      <w:tr>
        <w:trPr>
          <w:trHeight w:val="237"/>
        </w:trPr>
        <w:tc>
          <w:tcPr>
            <w:tcW w:w="1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Sarbanes-Oxley Act of 2002.</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101.INS</w:t>
            </w: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information has been omitted and filed separately with the Commission.</w:t>
      </w:r>
    </w:p>
    <w:p>
      <w:pPr>
        <w:spacing w:after="0" w:line="221"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097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2016</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10.35</w:t>
      </w:r>
    </w:p>
    <w:p>
      <w:pPr>
        <w:spacing w:after="0" w:line="24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Confidential information has been omitted and filed separately with the Commission.</w:t>
      </w:r>
    </w:p>
    <w:p>
      <w:pPr>
        <w:spacing w:after="0" w:line="248" w:lineRule="exact"/>
        <w:rPr>
          <w:rFonts w:ascii="Arial" w:cs="Arial" w:eastAsia="Arial" w:hAnsi="Arial"/>
          <w:sz w:val="18"/>
          <w:szCs w:val="18"/>
          <w:color w:val="auto"/>
        </w:rPr>
      </w:pPr>
    </w:p>
    <w:p>
      <w:pPr>
        <w:ind w:left="4500"/>
        <w:spacing w:after="0"/>
        <w:rPr>
          <w:rFonts w:ascii="Arial" w:cs="Arial" w:eastAsia="Arial" w:hAnsi="Arial"/>
          <w:sz w:val="18"/>
          <w:szCs w:val="18"/>
          <w:color w:val="auto"/>
        </w:rPr>
      </w:pPr>
      <w:r>
        <w:rPr>
          <w:rFonts w:ascii="Arial" w:cs="Arial" w:eastAsia="Arial" w:hAnsi="Arial"/>
          <w:sz w:val="18"/>
          <w:szCs w:val="18"/>
          <w:b w:val="1"/>
          <w:bCs w:val="1"/>
          <w:color w:val="auto"/>
        </w:rPr>
        <w:t>INVESTMENT AGREEMENT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Agreement Number: XM20160810-01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Party A: Xiamen Torch Hi-Tech Industrial Development Zone Management Committee (hereinafter </w:t>
      </w:r>
      <w:r>
        <w:rPr>
          <w:rFonts w:ascii="Arial" w:cs="Arial" w:eastAsia="Arial" w:hAnsi="Arial"/>
          <w:sz w:val="18"/>
          <w:szCs w:val="18"/>
          <w:b w:val="1"/>
          <w:bCs w:val="1"/>
          <w:color w:val="auto"/>
        </w:rPr>
        <w:t>“Party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Party B: Photronics Singapore Pte, Ltd. (hereinafter </w:t>
      </w:r>
      <w:r>
        <w:rPr>
          <w:rFonts w:ascii="Arial" w:cs="Arial" w:eastAsia="Arial" w:hAnsi="Arial"/>
          <w:sz w:val="18"/>
          <w:szCs w:val="18"/>
          <w:b w:val="1"/>
          <w:bCs w:val="1"/>
          <w:color w:val="auto"/>
        </w:rPr>
        <w:t>“Party B”)</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Party A is an agency of Xiamen municipality, jointly established by the National Scientific and Technological Commission and the People’s Municipal Government of Xiamen, one of the three national- level hi-tech zones named with “Torch” in China.</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Xiamen municipality is *, Xiamen municipality and Party A acknowledges that the Photronics, Inc.and its subsidiaries, Photronics Singapore Pte, Ltd are major commercial photomask producers in the world, and recognizes its important position in the industry. Xiamen municipality and Party A welcomes and supports Party’s B’s proposed investment project of IC photomask in Xiamen.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Party A and Party B have agreed to the following with respect to Party B’s proposed investment:</w:t>
      </w:r>
    </w:p>
    <w:p>
      <w:pPr>
        <w:spacing w:after="0" w:line="252" w:lineRule="exact"/>
        <w:rPr>
          <w:sz w:val="20"/>
          <w:szCs w:val="20"/>
          <w:color w:val="auto"/>
        </w:rPr>
      </w:pPr>
    </w:p>
    <w:p>
      <w:pPr>
        <w:ind w:left="860" w:right="6200" w:hanging="690"/>
        <w:spacing w:after="0" w:line="532"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Party B’s Investment Project, Construction Plan and Covenants a. Investment Project</w:t>
      </w:r>
    </w:p>
    <w:p>
      <w:pPr>
        <w:jc w:val="both"/>
        <w:ind w:left="1800" w:hanging="225"/>
        <w:spacing w:after="0" w:line="264" w:lineRule="auto"/>
        <w:tabs>
          <w:tab w:leader="none" w:pos="1800" w:val="left"/>
        </w:tabs>
        <w:numPr>
          <w:ilvl w:val="2"/>
          <w:numId w:val="5"/>
        </w:numPr>
        <w:rPr>
          <w:rFonts w:ascii="Arial" w:cs="Arial" w:eastAsia="Arial" w:hAnsi="Arial"/>
          <w:sz w:val="18"/>
          <w:szCs w:val="18"/>
          <w:color w:val="auto"/>
        </w:rPr>
      </w:pPr>
      <w:r>
        <w:rPr>
          <w:rFonts w:ascii="Arial" w:cs="Arial" w:eastAsia="Arial" w:hAnsi="Arial"/>
          <w:sz w:val="18"/>
          <w:szCs w:val="18"/>
          <w:color w:val="auto"/>
        </w:rPr>
        <w:t xml:space="preserve">Party B intends to establish a manufacturing company within the jurisdiction of Xiamen Torch Hi-Tech Industrial Development (hereinafter </w:t>
      </w:r>
      <w:r>
        <w:rPr>
          <w:rFonts w:ascii="Arial" w:cs="Arial" w:eastAsia="Arial" w:hAnsi="Arial"/>
          <w:sz w:val="18"/>
          <w:szCs w:val="18"/>
          <w:b w:val="1"/>
          <w:bCs w:val="1"/>
          <w:color w:val="auto"/>
        </w:rPr>
        <w:t>“Project Company”)</w:t>
      </w:r>
      <w:r>
        <w:rPr>
          <w:rFonts w:ascii="Arial" w:cs="Arial" w:eastAsia="Arial" w:hAnsi="Arial"/>
          <w:sz w:val="18"/>
          <w:szCs w:val="18"/>
          <w:color w:val="auto"/>
        </w:rPr>
        <w:t xml:space="preserve"> to operate the investment project. The Project Company shall be registered and established within * of the execution of this Agreement.</w:t>
      </w:r>
    </w:p>
    <w:p>
      <w:pPr>
        <w:spacing w:after="0" w:line="208" w:lineRule="exact"/>
        <w:rPr>
          <w:rFonts w:ascii="Arial" w:cs="Arial" w:eastAsia="Arial" w:hAnsi="Arial"/>
          <w:sz w:val="18"/>
          <w:szCs w:val="18"/>
          <w:color w:val="auto"/>
        </w:rPr>
      </w:pPr>
    </w:p>
    <w:p>
      <w:pPr>
        <w:ind w:left="1800" w:hanging="225"/>
        <w:spacing w:after="0"/>
        <w:tabs>
          <w:tab w:leader="none" w:pos="1800" w:val="left"/>
        </w:tabs>
        <w:numPr>
          <w:ilvl w:val="2"/>
          <w:numId w:val="5"/>
        </w:numPr>
        <w:rPr>
          <w:rFonts w:ascii="Arial" w:cs="Arial" w:eastAsia="Arial" w:hAnsi="Arial"/>
          <w:sz w:val="17"/>
          <w:szCs w:val="17"/>
          <w:color w:val="auto"/>
        </w:rPr>
      </w:pPr>
      <w:r>
        <w:rPr>
          <w:rFonts w:ascii="Arial" w:cs="Arial" w:eastAsia="Arial" w:hAnsi="Arial"/>
          <w:sz w:val="17"/>
          <w:szCs w:val="17"/>
          <w:color w:val="auto"/>
        </w:rPr>
        <w:t>Scope of Business: the Project Company shall engage in the research and development, manufacture and sale of photomasks.</w:t>
      </w:r>
    </w:p>
    <w:p>
      <w:pPr>
        <w:spacing w:after="0" w:line="264" w:lineRule="exact"/>
        <w:rPr>
          <w:sz w:val="20"/>
          <w:szCs w:val="20"/>
          <w:color w:val="auto"/>
        </w:rPr>
      </w:pPr>
    </w:p>
    <w:p>
      <w:pPr>
        <w:jc w:val="both"/>
        <w:ind w:left="1800" w:hanging="225"/>
        <w:spacing w:after="0" w:line="264"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Amount: The Project Company shall make * of investments. The total amount of the * will be USD$ 160 million, which includes a * registration capital. Party B will assess the demand from * and subject to Board approval of Photronics, Inc. will * Subject to Board approval of Photronics, Inc. The registration capital will be *.</w:t>
      </w:r>
    </w:p>
    <w:p>
      <w:pPr>
        <w:spacing w:after="0" w:line="208" w:lineRule="exact"/>
        <w:rPr>
          <w:sz w:val="20"/>
          <w:szCs w:val="20"/>
          <w:color w:val="auto"/>
        </w:rPr>
      </w:pPr>
    </w:p>
    <w:p>
      <w:pPr>
        <w:jc w:val="both"/>
        <w:ind w:left="1800" w:hanging="225"/>
        <w:spacing w:after="0" w:line="276"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Revenues: Party B hereby covenants that the Project Company shall generate all its revenues and pay all its taxes within Party A’s jurisdiction, that the Project Company shall take steps to obtain permits required for the commencement of construction immediately after the Project Company is established, that the Project Company shall complete the construction and commence with production within Three (3) years, and the Project Company will use reasonable efforts to reach annual production capacity should reach yearly capacity of * within five (5) years of Party B’s obtaining the industrial land.</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8" w:name="page29"/>
    <w:bookmarkEnd w:id="28"/>
    <w:p>
      <w:pPr>
        <w:ind w:left="1010" w:hanging="321"/>
        <w:spacing w:after="0"/>
        <w:tabs>
          <w:tab w:leader="none" w:pos="101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Construction Plan</w:t>
      </w:r>
    </w:p>
    <w:p>
      <w:pPr>
        <w:spacing w:after="0" w:line="252" w:lineRule="exact"/>
        <w:rPr>
          <w:rFonts w:ascii="Arial" w:cs="Arial" w:eastAsia="Arial" w:hAnsi="Arial"/>
          <w:sz w:val="18"/>
          <w:szCs w:val="18"/>
          <w:color w:val="auto"/>
        </w:rPr>
      </w:pPr>
    </w:p>
    <w:p>
      <w:pPr>
        <w:ind w:left="1630" w:hanging="225"/>
        <w:spacing w:after="0" w:line="277" w:lineRule="auto"/>
        <w:tabs>
          <w:tab w:leader="none" w:pos="1630" w:val="left"/>
        </w:tabs>
        <w:numPr>
          <w:ilvl w:val="2"/>
          <w:numId w:val="8"/>
        </w:numPr>
        <w:rPr>
          <w:rFonts w:ascii="Arial" w:cs="Arial" w:eastAsia="Arial" w:hAnsi="Arial"/>
          <w:sz w:val="18"/>
          <w:szCs w:val="18"/>
          <w:color w:val="auto"/>
        </w:rPr>
      </w:pPr>
      <w:r>
        <w:rPr>
          <w:rFonts w:ascii="Arial" w:cs="Arial" w:eastAsia="Arial" w:hAnsi="Arial"/>
          <w:sz w:val="18"/>
          <w:szCs w:val="18"/>
          <w:color w:val="auto"/>
        </w:rPr>
        <w:t>Party B covenants that the Project Company shall commence and complete the construction of the plants strictly in accordance with the timeframe stipulated in the Land Sale Contract.</w:t>
      </w:r>
    </w:p>
    <w:p>
      <w:pPr>
        <w:spacing w:after="0" w:line="197" w:lineRule="exact"/>
        <w:rPr>
          <w:rFonts w:ascii="Arial" w:cs="Arial" w:eastAsia="Arial" w:hAnsi="Arial"/>
          <w:sz w:val="18"/>
          <w:szCs w:val="18"/>
          <w:color w:val="auto"/>
        </w:rPr>
      </w:pPr>
    </w:p>
    <w:p>
      <w:pPr>
        <w:jc w:val="both"/>
        <w:ind w:left="1630" w:hanging="225"/>
        <w:spacing w:after="0" w:line="259" w:lineRule="auto"/>
        <w:tabs>
          <w:tab w:leader="none" w:pos="1630" w:val="left"/>
        </w:tabs>
        <w:numPr>
          <w:ilvl w:val="2"/>
          <w:numId w:val="8"/>
        </w:numPr>
        <w:rPr>
          <w:rFonts w:ascii="Arial" w:cs="Arial" w:eastAsia="Arial" w:hAnsi="Arial"/>
          <w:sz w:val="18"/>
          <w:szCs w:val="18"/>
          <w:color w:val="auto"/>
        </w:rPr>
      </w:pPr>
      <w:r>
        <w:rPr>
          <w:rFonts w:ascii="Arial" w:cs="Arial" w:eastAsia="Arial" w:hAnsi="Arial"/>
          <w:sz w:val="18"/>
          <w:szCs w:val="18"/>
          <w:color w:val="auto"/>
        </w:rPr>
        <w:t>Party B agrees that Party B shall implement the project in accordance with Party A’s requirements and the relevant regulations of the Municipal Government of Xiamen, that the project shall meet with the requirements of the overall planning of the Municipal Government of Xiamen and Party A, and that Party B shall fulfill Party A’s investment requirements with respect to investment intensity, revenues and taxation.</w:t>
      </w:r>
    </w:p>
    <w:p>
      <w:pPr>
        <w:spacing w:after="0" w:line="213" w:lineRule="exact"/>
        <w:rPr>
          <w:rFonts w:ascii="Arial" w:cs="Arial" w:eastAsia="Arial" w:hAnsi="Arial"/>
          <w:sz w:val="18"/>
          <w:szCs w:val="18"/>
          <w:color w:val="auto"/>
        </w:rPr>
      </w:pPr>
    </w:p>
    <w:p>
      <w:pPr>
        <w:ind w:left="490" w:hanging="490"/>
        <w:spacing w:after="0"/>
        <w:tabs>
          <w:tab w:leader="none" w:pos="49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to be Conducted by Party A</w:t>
      </w:r>
    </w:p>
    <w:p>
      <w:pPr>
        <w:spacing w:after="0" w:line="252" w:lineRule="exact"/>
        <w:rPr>
          <w:rFonts w:ascii="Arial" w:cs="Arial" w:eastAsia="Arial" w:hAnsi="Arial"/>
          <w:sz w:val="18"/>
          <w:szCs w:val="18"/>
          <w:color w:val="auto"/>
        </w:rPr>
      </w:pPr>
    </w:p>
    <w:p>
      <w:pPr>
        <w:jc w:val="both"/>
        <w:ind w:left="1010" w:hanging="321"/>
        <w:spacing w:after="0" w:line="297" w:lineRule="auto"/>
        <w:tabs>
          <w:tab w:leader="none" w:pos="1010" w:val="left"/>
        </w:tabs>
        <w:numPr>
          <w:ilvl w:val="1"/>
          <w:numId w:val="9"/>
        </w:numPr>
        <w:rPr>
          <w:rFonts w:ascii="Arial" w:cs="Arial" w:eastAsia="Arial" w:hAnsi="Arial"/>
          <w:sz w:val="16"/>
          <w:szCs w:val="16"/>
          <w:color w:val="auto"/>
        </w:rPr>
      </w:pPr>
      <w:r>
        <w:rPr>
          <w:rFonts w:ascii="Arial" w:cs="Arial" w:eastAsia="Arial" w:hAnsi="Arial"/>
          <w:sz w:val="16"/>
          <w:szCs w:val="16"/>
          <w:color w:val="auto"/>
        </w:rPr>
        <w:t>Party A agrees to provide industrial land with an area of approximately * in Xiamen Torch Hi-Tech Development Zone (Xiang An) the land price of which shall be determined through fair market appraisal based on the base price of industrial land in the Development Zone, and the provision of which land shall be in accordance with the Municipal Government of Xiamen’s laws and regulations in relation to land sale and provision. The Project Company shall pay fees and taxes due in accordance with relevant regulations. In the unlikely event that Party A cannot provide Party B with the land referenced above then Party B can terminate this Agreement without any penalty or further obligation.</w:t>
      </w:r>
    </w:p>
    <w:p>
      <w:pPr>
        <w:spacing w:after="0" w:line="185" w:lineRule="exact"/>
        <w:rPr>
          <w:rFonts w:ascii="Arial" w:cs="Arial" w:eastAsia="Arial" w:hAnsi="Arial"/>
          <w:sz w:val="16"/>
          <w:szCs w:val="16"/>
          <w:color w:val="auto"/>
        </w:rPr>
      </w:pPr>
    </w:p>
    <w:p>
      <w:pPr>
        <w:jc w:val="both"/>
        <w:ind w:left="1010" w:hanging="321"/>
        <w:spacing w:after="0" w:line="276" w:lineRule="auto"/>
        <w:tabs>
          <w:tab w:leader="none" w:pos="101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land that Party A provides to the Project Company shall comply with the Municipal Government of Xiamen’s requirements on urban planning and environmental protection. The land condition shall meet with the requirements of the construction needs of the Project Company. The land use right shall be valid for * years. The floor area ratio, building density, greening, boundary line of building and the ratio of fixed investment amount to land area shall comply with the requirements of the Land and Resources Department, the Urban Planning Department and the Economic and Information Department of the Municipal Government of Xiamen.</w:t>
      </w:r>
    </w:p>
    <w:p>
      <w:pPr>
        <w:spacing w:after="0" w:line="199" w:lineRule="exact"/>
        <w:rPr>
          <w:rFonts w:ascii="Arial" w:cs="Arial" w:eastAsia="Arial" w:hAnsi="Arial"/>
          <w:sz w:val="17"/>
          <w:szCs w:val="17"/>
          <w:color w:val="auto"/>
        </w:rPr>
      </w:pPr>
    </w:p>
    <w:p>
      <w:pPr>
        <w:ind w:left="1010" w:hanging="321"/>
        <w:spacing w:after="0" w:line="277" w:lineRule="auto"/>
        <w:tabs>
          <w:tab w:leader="none" w:pos="101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Delivery of Land: In accordance with the land use and construction schedule as agreed between the parties, and upon the lawful approval of the provision of the construction land, Party A shall deliver the land in accordance agreed timeframe without delay.</w:t>
      </w:r>
    </w:p>
    <w:p>
      <w:pPr>
        <w:spacing w:after="0" w:line="197" w:lineRule="exact"/>
        <w:rPr>
          <w:rFonts w:ascii="Arial" w:cs="Arial" w:eastAsia="Arial" w:hAnsi="Arial"/>
          <w:sz w:val="18"/>
          <w:szCs w:val="18"/>
          <w:color w:val="auto"/>
        </w:rPr>
      </w:pPr>
    </w:p>
    <w:p>
      <w:pPr>
        <w:jc w:val="both"/>
        <w:ind w:left="1010" w:hanging="321"/>
        <w:spacing w:after="0" w:line="279" w:lineRule="auto"/>
        <w:tabs>
          <w:tab w:leader="none" w:pos="1010" w:val="left"/>
        </w:tabs>
        <w:numPr>
          <w:ilvl w:val="1"/>
          <w:numId w:val="9"/>
        </w:numPr>
        <w:rPr>
          <w:rFonts w:ascii="Arial" w:cs="Arial" w:eastAsia="Arial" w:hAnsi="Arial"/>
          <w:sz w:val="17"/>
          <w:szCs w:val="17"/>
          <w:color w:val="auto"/>
        </w:rPr>
      </w:pPr>
      <w:r>
        <w:rPr>
          <w:rFonts w:ascii="Arial" w:cs="Arial" w:eastAsia="Arial" w:hAnsi="Arial"/>
          <w:sz w:val="17"/>
          <w:szCs w:val="17"/>
          <w:color w:val="auto"/>
        </w:rPr>
        <w:t>Land Conditions upon Delivery: Party A covenants that, upon the delivery of the construction land, there shall be available major roads, storm water channel, sewage, water supply, power supply, telecommunications, and the internet. Party A shall be responsible for all the power supply and other infrastructure outside of the redlines defining the construction land used by the Project Company. The land surface shall be leveled and cleared in accordance with the leveling and clearance standard of the municipal urban planning.</w:t>
      </w:r>
    </w:p>
    <w:p>
      <w:pPr>
        <w:spacing w:after="0" w:line="198" w:lineRule="exact"/>
        <w:rPr>
          <w:sz w:val="20"/>
          <w:szCs w:val="20"/>
          <w:color w:val="auto"/>
        </w:rPr>
      </w:pPr>
    </w:p>
    <w:p>
      <w:pPr>
        <w:ind w:left="490" w:hanging="490"/>
        <w:spacing w:after="0"/>
        <w:tabs>
          <w:tab w:leader="none" w:pos="4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Policy Support</w:t>
      </w:r>
    </w:p>
    <w:p>
      <w:pPr>
        <w:spacing w:after="0" w:line="252" w:lineRule="exact"/>
        <w:rPr>
          <w:rFonts w:ascii="Arial" w:cs="Arial" w:eastAsia="Arial" w:hAnsi="Arial"/>
          <w:sz w:val="18"/>
          <w:szCs w:val="18"/>
          <w:color w:val="auto"/>
        </w:rPr>
      </w:pPr>
    </w:p>
    <w:p>
      <w:pPr>
        <w:jc w:val="both"/>
        <w:ind w:left="490"/>
        <w:spacing w:after="0" w:line="264" w:lineRule="auto"/>
        <w:rPr>
          <w:rFonts w:ascii="Arial" w:cs="Arial" w:eastAsia="Arial" w:hAnsi="Arial"/>
          <w:sz w:val="18"/>
          <w:szCs w:val="18"/>
          <w:color w:val="auto"/>
        </w:rPr>
      </w:pPr>
      <w:r>
        <w:rPr>
          <w:rFonts w:ascii="Arial" w:cs="Arial" w:eastAsia="Arial" w:hAnsi="Arial"/>
          <w:sz w:val="18"/>
          <w:szCs w:val="18"/>
          <w:color w:val="auto"/>
        </w:rPr>
        <w:t>In view of the significant scale of Party B’s proposed investment and the leading technologies that Party B will utilize and in view of the fact that * and which will contribute to the development of the integrated circuit industry that the Municipal Government of Xiamen seeks to build, Party A shall provide the following support to the Project Company:</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50"/>
          </w:cols>
          <w:pgMar w:left="410" w:top="125" w:right="239" w:bottom="1440" w:gutter="0" w:footer="0" w:header="0"/>
        </w:sectPr>
      </w:pPr>
    </w:p>
    <w:bookmarkStart w:id="29" w:name="page30"/>
    <w:bookmarkEnd w:id="29"/>
    <w:p>
      <w:pPr>
        <w:ind w:left="321" w:hanging="321"/>
        <w:spacing w:after="0"/>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Subsidies for Purchase of Equipment</w:t>
      </w:r>
    </w:p>
    <w:p>
      <w:pPr>
        <w:spacing w:after="0" w:line="252" w:lineRule="exact"/>
        <w:rPr>
          <w:rFonts w:ascii="Arial" w:cs="Arial" w:eastAsia="Arial" w:hAnsi="Arial"/>
          <w:sz w:val="18"/>
          <w:szCs w:val="18"/>
          <w:color w:val="auto"/>
        </w:rPr>
      </w:pPr>
    </w:p>
    <w:p>
      <w:pPr>
        <w:ind w:left="541" w:hanging="231"/>
        <w:spacing w:after="0" w:line="277" w:lineRule="auto"/>
        <w:tabs>
          <w:tab w:leader="none" w:pos="5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Party A agrees to provide * for the * that the Project Company will purchase for the plants in Xiamen *. Such * shall be * of the purchase price of the equipment, provided that such * shall not exceed an amount in RMB equivalent to *.</w:t>
      </w:r>
    </w:p>
    <w:p>
      <w:pPr>
        <w:spacing w:after="0" w:line="197" w:lineRule="exact"/>
        <w:rPr>
          <w:rFonts w:ascii="Arial" w:cs="Arial" w:eastAsia="Arial" w:hAnsi="Arial"/>
          <w:sz w:val="18"/>
          <w:szCs w:val="18"/>
          <w:color w:val="auto"/>
        </w:rPr>
      </w:pPr>
    </w:p>
    <w:p>
      <w:pPr>
        <w:jc w:val="both"/>
        <w:ind w:left="541" w:hanging="231"/>
        <w:spacing w:after="0" w:line="264" w:lineRule="auto"/>
        <w:tabs>
          <w:tab w:leader="none" w:pos="5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Upon application for the above-mentioned equipment *, the Project Company shall provide the required and appropriate documentation, such as equipment purchase contracts, purchase orders, invoices, lists of equipment, list of customs clearance, etc. Upon review and approval, Party A shall provide the * in three installments as follows:</w:t>
      </w:r>
    </w:p>
    <w:p>
      <w:pPr>
        <w:spacing w:after="0" w:line="208" w:lineRule="exact"/>
        <w:rPr>
          <w:rFonts w:ascii="Arial" w:cs="Arial" w:eastAsia="Arial" w:hAnsi="Arial"/>
          <w:sz w:val="18"/>
          <w:szCs w:val="18"/>
          <w:color w:val="auto"/>
        </w:rPr>
      </w:pPr>
    </w:p>
    <w:p>
      <w:pPr>
        <w:ind w:left="841" w:hanging="301"/>
        <w:spacing w:after="0" w:line="277" w:lineRule="auto"/>
        <w:tabs>
          <w:tab w:leader="none" w:pos="841" w:val="left"/>
        </w:tabs>
        <w:numPr>
          <w:ilvl w:val="2"/>
          <w:numId w:val="11"/>
        </w:numPr>
        <w:rPr>
          <w:rFonts w:ascii="Arial" w:cs="Arial" w:eastAsia="Arial" w:hAnsi="Arial"/>
          <w:sz w:val="18"/>
          <w:szCs w:val="18"/>
          <w:color w:val="auto"/>
        </w:rPr>
      </w:pPr>
      <w:r>
        <w:rPr>
          <w:rFonts w:ascii="Arial" w:cs="Arial" w:eastAsia="Arial" w:hAnsi="Arial"/>
          <w:sz w:val="18"/>
          <w:szCs w:val="18"/>
          <w:color w:val="auto"/>
        </w:rPr>
        <w:t>Upon the payment of no less than * by the Project Company, and upon the application by the Project Company and the verification by Party A, Party A shall provide * of the *;</w:t>
      </w:r>
    </w:p>
    <w:p>
      <w:pPr>
        <w:spacing w:after="0" w:line="197" w:lineRule="exact"/>
        <w:rPr>
          <w:rFonts w:ascii="Arial" w:cs="Arial" w:eastAsia="Arial" w:hAnsi="Arial"/>
          <w:sz w:val="18"/>
          <w:szCs w:val="18"/>
          <w:color w:val="auto"/>
        </w:rPr>
      </w:pPr>
    </w:p>
    <w:p>
      <w:pPr>
        <w:ind w:left="841" w:hanging="301"/>
        <w:spacing w:after="0" w:line="277" w:lineRule="auto"/>
        <w:tabs>
          <w:tab w:leader="none" w:pos="841" w:val="left"/>
        </w:tabs>
        <w:numPr>
          <w:ilvl w:val="2"/>
          <w:numId w:val="11"/>
        </w:numPr>
        <w:rPr>
          <w:rFonts w:ascii="Arial" w:cs="Arial" w:eastAsia="Arial" w:hAnsi="Arial"/>
          <w:sz w:val="18"/>
          <w:szCs w:val="18"/>
          <w:color w:val="auto"/>
        </w:rPr>
      </w:pPr>
      <w:r>
        <w:rPr>
          <w:rFonts w:ascii="Arial" w:cs="Arial" w:eastAsia="Arial" w:hAnsi="Arial"/>
          <w:sz w:val="18"/>
          <w:szCs w:val="18"/>
          <w:color w:val="auto"/>
        </w:rPr>
        <w:t>Upon the * that the Project Company purchases and installs in its plants in Xiamen, and upon the application by the Project Company and the verification by Party A, Party A shall provide * of the *;</w:t>
      </w:r>
    </w:p>
    <w:p>
      <w:pPr>
        <w:spacing w:after="0" w:line="197" w:lineRule="exact"/>
        <w:rPr>
          <w:rFonts w:ascii="Arial" w:cs="Arial" w:eastAsia="Arial" w:hAnsi="Arial"/>
          <w:sz w:val="18"/>
          <w:szCs w:val="18"/>
          <w:color w:val="auto"/>
        </w:rPr>
      </w:pPr>
    </w:p>
    <w:p>
      <w:pPr>
        <w:jc w:val="both"/>
        <w:ind w:left="841" w:hanging="301"/>
        <w:spacing w:after="0" w:line="264" w:lineRule="auto"/>
        <w:tabs>
          <w:tab w:leader="none" w:pos="841" w:val="left"/>
        </w:tabs>
        <w:numPr>
          <w:ilvl w:val="2"/>
          <w:numId w:val="11"/>
        </w:numPr>
        <w:rPr>
          <w:rFonts w:ascii="Arial" w:cs="Arial" w:eastAsia="Arial" w:hAnsi="Arial"/>
          <w:sz w:val="18"/>
          <w:szCs w:val="18"/>
          <w:color w:val="auto"/>
        </w:rPr>
      </w:pPr>
      <w:r>
        <w:rPr>
          <w:rFonts w:ascii="Arial" w:cs="Arial" w:eastAsia="Arial" w:hAnsi="Arial"/>
          <w:sz w:val="18"/>
          <w:szCs w:val="18"/>
          <w:color w:val="auto"/>
        </w:rPr>
        <w:t>No later than the commencement of production using the equipment purchased by the Project Company in Xiamen, and upon the application by the Project Company and the verification by Party A, Party A shall provide * of the *. The project company shall provide the equipment inspection report when fill the application.</w:t>
      </w:r>
    </w:p>
    <w:p>
      <w:pPr>
        <w:spacing w:after="0" w:line="181" w:lineRule="exact"/>
        <w:rPr>
          <w:rFonts w:ascii="Arial" w:cs="Arial" w:eastAsia="Arial" w:hAnsi="Arial"/>
          <w:sz w:val="18"/>
          <w:szCs w:val="18"/>
          <w:color w:val="auto"/>
        </w:rPr>
      </w:pPr>
    </w:p>
    <w:p>
      <w:pPr>
        <w:ind w:left="861" w:right="240"/>
        <w:spacing w:after="0" w:line="277" w:lineRule="auto"/>
        <w:rPr>
          <w:rFonts w:ascii="Arial" w:cs="Arial" w:eastAsia="Arial" w:hAnsi="Arial"/>
          <w:sz w:val="18"/>
          <w:szCs w:val="18"/>
          <w:color w:val="auto"/>
        </w:rPr>
      </w:pPr>
      <w:r>
        <w:rPr>
          <w:rFonts w:ascii="Arial" w:cs="Arial" w:eastAsia="Arial" w:hAnsi="Arial"/>
          <w:sz w:val="18"/>
          <w:szCs w:val="18"/>
          <w:color w:val="auto"/>
        </w:rPr>
        <w:t>Upon each * application by the Project Company and upon verification by Party A, Party A shall pay the relevant * within One (1) month. Party B’s applications shall not be delayed without a reasonable cause.</w:t>
      </w:r>
    </w:p>
    <w:p>
      <w:pPr>
        <w:spacing w:after="0" w:line="197" w:lineRule="exact"/>
        <w:rPr>
          <w:sz w:val="20"/>
          <w:szCs w:val="20"/>
          <w:color w:val="auto"/>
        </w:rPr>
      </w:pPr>
    </w:p>
    <w:p>
      <w:pPr>
        <w:ind w:left="1" w:right="4960" w:firstLine="309"/>
        <w:spacing w:after="0" w:line="532" w:lineRule="auto"/>
        <w:tabs>
          <w:tab w:leader="none" w:pos="541"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above subsidies applications shall be effective if made between *. b. Loan Interest Subsidies</w:t>
      </w:r>
    </w:p>
    <w:p>
      <w:pPr>
        <w:jc w:val="both"/>
        <w:ind w:left="841" w:hanging="301"/>
        <w:spacing w:after="0" w:line="259" w:lineRule="auto"/>
        <w:tabs>
          <w:tab w:leader="none" w:pos="841" w:val="left"/>
        </w:tabs>
        <w:numPr>
          <w:ilvl w:val="2"/>
          <w:numId w:val="12"/>
        </w:numPr>
        <w:rPr>
          <w:rFonts w:ascii="Arial" w:cs="Arial" w:eastAsia="Arial" w:hAnsi="Arial"/>
          <w:sz w:val="18"/>
          <w:szCs w:val="18"/>
          <w:color w:val="auto"/>
        </w:rPr>
      </w:pPr>
      <w:r>
        <w:rPr>
          <w:rFonts w:ascii="Arial" w:cs="Arial" w:eastAsia="Arial" w:hAnsi="Arial"/>
          <w:sz w:val="18"/>
          <w:szCs w:val="18"/>
          <w:color w:val="auto"/>
        </w:rPr>
        <w:t>Party A shall assist the Project Company in its application for project financing from banks. The Project Company shall covenant that such bank loans shall be used exclusively for the *. Party A agrees to provide * for * that the Project Company incurs with respect to such financing. Such loan interest * shall not exceed an amount in RMB equivalent to *, and shall be valid for * years from the date when the financing is obtained.</w:t>
      </w:r>
    </w:p>
    <w:p>
      <w:pPr>
        <w:spacing w:after="0" w:line="213" w:lineRule="exact"/>
        <w:rPr>
          <w:rFonts w:ascii="Arial" w:cs="Arial" w:eastAsia="Arial" w:hAnsi="Arial"/>
          <w:sz w:val="18"/>
          <w:szCs w:val="18"/>
          <w:color w:val="auto"/>
        </w:rPr>
      </w:pPr>
    </w:p>
    <w:p>
      <w:pPr>
        <w:jc w:val="both"/>
        <w:ind w:left="841" w:hanging="301"/>
        <w:spacing w:after="0" w:line="259" w:lineRule="auto"/>
        <w:tabs>
          <w:tab w:leader="none" w:pos="841" w:val="left"/>
        </w:tabs>
        <w:numPr>
          <w:ilvl w:val="2"/>
          <w:numId w:val="12"/>
        </w:numPr>
        <w:rPr>
          <w:rFonts w:ascii="Arial" w:cs="Arial" w:eastAsia="Arial" w:hAnsi="Arial"/>
          <w:sz w:val="18"/>
          <w:szCs w:val="18"/>
          <w:color w:val="auto"/>
        </w:rPr>
      </w:pPr>
      <w:r>
        <w:rPr>
          <w:rFonts w:ascii="Arial" w:cs="Arial" w:eastAsia="Arial" w:hAnsi="Arial"/>
          <w:sz w:val="18"/>
          <w:szCs w:val="18"/>
          <w:color w:val="auto"/>
        </w:rPr>
        <w:t>Party A shall assist the Project Company in its application for *. The Project Company shall covenant that such * shall be used exclusively for the * incurred in the course of the * of the project. Party A agrees to provide * for the interests that the Project Company incurs with respect to such *. Such * shall not exceed an amount in RMB equivalent to *, and shall be valid for * from the date when the loan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211455</wp:posOffset>
            </wp:positionV>
            <wp:extent cx="147066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61"/>
          </w:cols>
          <w:pgMar w:left="1099" w:top="125" w:right="239" w:bottom="1440" w:gutter="0" w:footer="0" w:header="0"/>
        </w:sectPr>
      </w:pPr>
    </w:p>
    <w:bookmarkStart w:id="30" w:name="page31"/>
    <w:bookmarkEnd w:id="30"/>
    <w:p>
      <w:pPr>
        <w:jc w:val="both"/>
        <w:ind w:left="1530" w:hanging="301"/>
        <w:spacing w:after="0" w:line="264" w:lineRule="auto"/>
        <w:tabs>
          <w:tab w:leader="none" w:pos="15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Party A shall assist the Project Company in its application for * from *. The Project Company shall covenant that such * shall be used exclusively for *. Party A agrees to provide * that the Project Company incurs with respect to such *. Such * shall not exceed an amount in RMB equivalent to *, and shall be valid for * from the date when the * is obtained.</w:t>
      </w:r>
    </w:p>
    <w:p>
      <w:pPr>
        <w:spacing w:after="0" w:line="208" w:lineRule="exact"/>
        <w:rPr>
          <w:sz w:val="20"/>
          <w:szCs w:val="20"/>
          <w:color w:val="auto"/>
        </w:rPr>
      </w:pPr>
    </w:p>
    <w:p>
      <w:pPr>
        <w:jc w:val="both"/>
        <w:ind w:left="1530" w:hanging="301"/>
        <w:spacing w:after="0" w:line="264" w:lineRule="auto"/>
        <w:tabs>
          <w:tab w:leader="none" w:pos="15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After the payment of interests incurred with respect to the above project * for the current year, the Project Company shall make one application to Party A for the relevant *. Upon review and verification, Party A shall make one lump sum payment for the * to the Project Company *. The above * applications shall be effective if made between *.</w:t>
      </w:r>
    </w:p>
    <w:p>
      <w:pPr>
        <w:spacing w:after="0" w:line="208" w:lineRule="exact"/>
        <w:rPr>
          <w:rFonts w:ascii="Arial" w:cs="Arial" w:eastAsia="Arial" w:hAnsi="Arial"/>
          <w:sz w:val="18"/>
          <w:szCs w:val="18"/>
          <w:color w:val="auto"/>
        </w:rPr>
      </w:pPr>
    </w:p>
    <w:p>
      <w:pPr>
        <w:jc w:val="both"/>
        <w:ind w:left="1010" w:hanging="321"/>
        <w:spacing w:after="0" w:line="264" w:lineRule="auto"/>
        <w:tabs>
          <w:tab w:leader="none" w:pos="10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 (including * for * and *) that Party A shall provide to the Project Company shall not exceed the lower of i) * and ii) * of the total investment the Project Company will make in the production and equipment in the Hi-Tech Development Zone within * years of the establishment of the Project Company.</w:t>
      </w:r>
    </w:p>
    <w:p>
      <w:pPr>
        <w:spacing w:after="0" w:line="181" w:lineRule="exact"/>
        <w:rPr>
          <w:rFonts w:ascii="Arial" w:cs="Arial" w:eastAsia="Arial" w:hAnsi="Arial"/>
          <w:sz w:val="18"/>
          <w:szCs w:val="18"/>
          <w:color w:val="auto"/>
        </w:rPr>
      </w:pPr>
    </w:p>
    <w:p>
      <w:pPr>
        <w:ind w:left="1010" w:hanging="321"/>
        <w:spacing w:after="0"/>
        <w:tabs>
          <w:tab w:leader="none" w:pos="10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Policy regarding Hi-Tech Companies</w:t>
      </w:r>
    </w:p>
    <w:p>
      <w:pPr>
        <w:spacing w:after="0" w:line="252" w:lineRule="exact"/>
        <w:rPr>
          <w:sz w:val="20"/>
          <w:szCs w:val="20"/>
          <w:color w:val="auto"/>
        </w:rPr>
      </w:pPr>
    </w:p>
    <w:p>
      <w:pPr>
        <w:ind w:left="970" w:right="440"/>
        <w:spacing w:after="0" w:line="277" w:lineRule="auto"/>
        <w:rPr>
          <w:sz w:val="20"/>
          <w:szCs w:val="20"/>
          <w:color w:val="auto"/>
        </w:rPr>
      </w:pPr>
      <w:r>
        <w:rPr>
          <w:rFonts w:ascii="Arial" w:cs="Arial" w:eastAsia="Arial" w:hAnsi="Arial"/>
          <w:sz w:val="18"/>
          <w:szCs w:val="18"/>
          <w:color w:val="auto"/>
        </w:rPr>
        <w:t>To the extent that the Project Company meets the conditions required for the classification of *, Party covenants that it shall use its best efforts to assist the Project Company to obtain such classification.</w:t>
      </w:r>
    </w:p>
    <w:p>
      <w:pPr>
        <w:spacing w:after="0" w:line="197" w:lineRule="exact"/>
        <w:rPr>
          <w:sz w:val="20"/>
          <w:szCs w:val="20"/>
          <w:color w:val="auto"/>
        </w:rPr>
      </w:pPr>
    </w:p>
    <w:p>
      <w:pPr>
        <w:ind w:left="1010" w:hanging="321"/>
        <w:spacing w:after="0"/>
        <w:tabs>
          <w:tab w:leader="none" w:pos="10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Policy regarding Talent Retention</w:t>
      </w:r>
    </w:p>
    <w:p>
      <w:pPr>
        <w:spacing w:after="0" w:line="252" w:lineRule="exact"/>
        <w:rPr>
          <w:rFonts w:ascii="Arial" w:cs="Arial" w:eastAsia="Arial" w:hAnsi="Arial"/>
          <w:sz w:val="18"/>
          <w:szCs w:val="18"/>
          <w:color w:val="auto"/>
        </w:rPr>
      </w:pPr>
    </w:p>
    <w:p>
      <w:pPr>
        <w:ind w:left="1030"/>
        <w:spacing w:after="0"/>
        <w:rPr>
          <w:rFonts w:ascii="Arial" w:cs="Arial" w:eastAsia="Arial" w:hAnsi="Arial"/>
          <w:sz w:val="18"/>
          <w:szCs w:val="18"/>
          <w:color w:val="auto"/>
        </w:rPr>
      </w:pPr>
      <w:r>
        <w:rPr>
          <w:rFonts w:ascii="Arial" w:cs="Arial" w:eastAsia="Arial" w:hAnsi="Arial"/>
          <w:sz w:val="18"/>
          <w:szCs w:val="18"/>
          <w:color w:val="auto"/>
        </w:rPr>
        <w:t>Party A shall facilitate the Project Company’s enjoyment of various * in accordance with the prevailing *.</w:t>
      </w:r>
    </w:p>
    <w:p>
      <w:pPr>
        <w:spacing w:after="0" w:line="252" w:lineRule="exact"/>
        <w:rPr>
          <w:rFonts w:ascii="Arial" w:cs="Arial" w:eastAsia="Arial" w:hAnsi="Arial"/>
          <w:sz w:val="18"/>
          <w:szCs w:val="18"/>
          <w:color w:val="auto"/>
        </w:rPr>
      </w:pPr>
    </w:p>
    <w:p>
      <w:pPr>
        <w:ind w:left="1010" w:hanging="321"/>
        <w:spacing w:after="0"/>
        <w:tabs>
          <w:tab w:leader="none" w:pos="10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3" w:lineRule="exact"/>
        <w:rPr>
          <w:sz w:val="20"/>
          <w:szCs w:val="20"/>
          <w:color w:val="auto"/>
        </w:rPr>
      </w:pPr>
    </w:p>
    <w:p>
      <w:pPr>
        <w:ind w:left="1105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10" w:right="1200" w:firstLine="17"/>
        <w:spacing w:after="0" w:line="261" w:lineRule="auto"/>
        <w:rPr>
          <w:sz w:val="20"/>
          <w:szCs w:val="20"/>
          <w:color w:val="auto"/>
        </w:rPr>
      </w:pPr>
      <w:r>
        <w:rPr>
          <w:rFonts w:ascii="Arial" w:cs="Arial" w:eastAsia="Arial" w:hAnsi="Arial"/>
          <w:sz w:val="18"/>
          <w:szCs w:val="18"/>
          <w:color w:val="auto"/>
        </w:rPr>
        <w:t>Party A shall use its best efforts to assist the Project Company in obtaining and implementing various applicable and prevailing * made available by *.</w:t>
      </w:r>
    </w:p>
    <w:p>
      <w:pPr>
        <w:spacing w:after="0" w:line="211" w:lineRule="exact"/>
        <w:rPr>
          <w:sz w:val="20"/>
          <w:szCs w:val="20"/>
          <w:color w:val="auto"/>
        </w:rPr>
      </w:pPr>
    </w:p>
    <w:p>
      <w:pPr>
        <w:ind w:left="10"/>
        <w:spacing w:after="0"/>
        <w:tabs>
          <w:tab w:leader="none" w:pos="469"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Party A’s Assistance and Services</w:t>
      </w:r>
    </w:p>
    <w:p>
      <w:pPr>
        <w:spacing w:after="0" w:line="252" w:lineRule="exact"/>
        <w:rPr>
          <w:sz w:val="20"/>
          <w:szCs w:val="20"/>
          <w:color w:val="auto"/>
        </w:rPr>
      </w:pPr>
    </w:p>
    <w:p>
      <w:pPr>
        <w:ind w:left="490"/>
        <w:spacing w:after="0" w:line="277" w:lineRule="auto"/>
        <w:rPr>
          <w:sz w:val="20"/>
          <w:szCs w:val="20"/>
          <w:color w:val="auto"/>
        </w:rPr>
      </w:pPr>
      <w:r>
        <w:rPr>
          <w:rFonts w:ascii="Arial" w:cs="Arial" w:eastAsia="Arial" w:hAnsi="Arial"/>
          <w:sz w:val="18"/>
          <w:szCs w:val="18"/>
          <w:color w:val="auto"/>
        </w:rPr>
        <w:t>Party A shall establish a * to * the establishment and operation of the Project Company, and to assist the Project Company in obtaining *, including, without limitation, business registration, taxation registration, construction, etc.</w:t>
      </w:r>
    </w:p>
    <w:p>
      <w:pPr>
        <w:spacing w:after="0" w:line="197" w:lineRule="exact"/>
        <w:rPr>
          <w:sz w:val="20"/>
          <w:szCs w:val="20"/>
          <w:color w:val="auto"/>
        </w:rPr>
      </w:pPr>
    </w:p>
    <w:p>
      <w:pPr>
        <w:ind w:left="490" w:hanging="490"/>
        <w:spacing w:after="0"/>
        <w:tabs>
          <w:tab w:leader="none" w:pos="4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Application of Policies and Amendment of Provisions</w:t>
      </w:r>
    </w:p>
    <w:p>
      <w:pPr>
        <w:spacing w:after="0" w:line="252" w:lineRule="exact"/>
        <w:rPr>
          <w:sz w:val="20"/>
          <w:szCs w:val="20"/>
          <w:color w:val="auto"/>
        </w:rPr>
      </w:pPr>
    </w:p>
    <w:p>
      <w:pPr>
        <w:jc w:val="both"/>
        <w:ind w:left="1010" w:hanging="321"/>
        <w:spacing w:after="0" w:line="291" w:lineRule="auto"/>
        <w:tabs>
          <w:tab w:leader="none" w:pos="101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Agreement is entered into and enforced in accordance with the relevant laws and regulations of the central government, the provincial government, the municipal government and the Hi-Tech Development Zone. To the extent that relevant policies governing this Agreement are</w:t>
      </w:r>
    </w:p>
    <w:p>
      <w:pPr>
        <w:ind w:left="1010"/>
        <w:spacing w:after="0"/>
        <w:rPr>
          <w:sz w:val="20"/>
          <w:szCs w:val="20"/>
          <w:color w:val="auto"/>
        </w:rPr>
      </w:pPr>
      <w:r>
        <w:rPr>
          <w:rFonts w:ascii="Arial" w:cs="Arial" w:eastAsia="Arial" w:hAnsi="Arial"/>
          <w:sz w:val="16"/>
          <w:szCs w:val="16"/>
          <w:color w:val="auto"/>
        </w:rPr>
        <w:t>amended due to the changes of the laws and/or regulations, Party A and Party B agree to enforce this Agreement as amended accordingly</w:t>
      </w:r>
    </w:p>
    <w:p>
      <w:pPr>
        <w:spacing w:after="0" w:line="32" w:lineRule="exact"/>
        <w:rPr>
          <w:sz w:val="20"/>
          <w:szCs w:val="20"/>
          <w:color w:val="auto"/>
        </w:rPr>
      </w:pPr>
    </w:p>
    <w:p>
      <w:pPr>
        <w:jc w:val="both"/>
        <w:ind w:left="1010" w:firstLine="3"/>
        <w:spacing w:after="0" w:line="255"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event that any amendment or change to the law causes a *, then Party B shall be authorized to * the Project Company, which * shall not be treated as a * of this Agreement; in such incidence, Party A shall provide reasonable support to Party B, provided that the above shall be in compliance with the relevant PRC laws and regulations.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50"/>
          </w:cols>
          <w:pgMar w:left="410" w:top="125" w:right="239" w:bottom="1440" w:gutter="0" w:footer="0" w:header="0"/>
        </w:sectPr>
      </w:pPr>
    </w:p>
    <w:bookmarkStart w:id="31" w:name="page32"/>
    <w:bookmarkEnd w:id="31"/>
    <w:p>
      <w:pPr>
        <w:jc w:val="both"/>
        <w:ind w:left="1000" w:hanging="321"/>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Party B agrees that if Party B fails to or only partially fulfill its covenants under Article I of this Agreement due to its own reasons and without Party A’s prior written consent, then Party A has the right to * the relevant provisions in this Agreement with respect to facilitating policies, including, without limitation, reducing or eliminating the various facilitating policies that are agreed upon in this Agreement but have yet to be enforced.</w:t>
      </w:r>
    </w:p>
    <w:p>
      <w:pPr>
        <w:spacing w:after="0" w:line="213" w:lineRule="exact"/>
        <w:rPr>
          <w:rFonts w:ascii="Arial" w:cs="Arial" w:eastAsia="Arial" w:hAnsi="Arial"/>
          <w:sz w:val="18"/>
          <w:szCs w:val="18"/>
          <w:color w:val="auto"/>
        </w:rPr>
      </w:pPr>
    </w:p>
    <w:p>
      <w:pPr>
        <w:jc w:val="both"/>
        <w:ind w:left="1000" w:hanging="321"/>
        <w:spacing w:after="0" w:line="279"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Upon its establishment, the Project Company shall operate for no less than *, shall not * during its existence, and shall not * to * in any way, otherwise Party A has the right to reduce, eliminate to retrieve various *. For the avoidance of doubt, in the event that the Project Company sustains *, then Party B shall be authorized to * the Project Company, which * shall not be treated as a breach of this Agreement in accordance with PRC law, provided that the above shall be in compliance with the relevant PRC laws and regulations.</w:t>
      </w:r>
    </w:p>
    <w:p>
      <w:pPr>
        <w:spacing w:after="0" w:line="19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VI.</w:t>
        <w:tab/>
        <w:t>Confidentiality</w:t>
      </w:r>
    </w:p>
    <w:p>
      <w:pPr>
        <w:spacing w:after="0" w:line="225" w:lineRule="exact"/>
        <w:rPr>
          <w:sz w:val="20"/>
          <w:szCs w:val="20"/>
          <w:color w:val="auto"/>
        </w:rPr>
      </w:pPr>
    </w:p>
    <w:p>
      <w:pPr>
        <w:ind w:left="1000" w:right="20" w:hanging="321"/>
        <w:spacing w:after="0" w:line="269"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To the extent that one party obtains knowledge or exposure to the other party’s trade secret or other confidential information or documents by virtue of executing or enforcing this Agreement (together with the existence of this Agreement and any provision in this Agreement, </w:t>
      </w: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the party obtaining such Confidential Information shall have the obligations to maintain such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confidential. Unless otherwise agreed upon in writing, neither party may, directly or indirectly, disclose or allow any person to disclose or use any Confidential Information to any person (including, without limitation, the media, any corporation, partnership, group companies, individual or any other entity), unless otherwise provided for in this agreement and except the use of the Confidential Information for purposes of enforcing this Agreement, and except the disclosure made by one party (hereinafter the </w:t>
      </w:r>
      <w:r>
        <w:rPr>
          <w:rFonts w:ascii="Arial" w:cs="Arial" w:eastAsia="Arial" w:hAnsi="Arial"/>
          <w:sz w:val="17"/>
          <w:szCs w:val="17"/>
          <w:b w:val="1"/>
          <w:bCs w:val="1"/>
          <w:color w:val="auto"/>
        </w:rPr>
        <w:t>“Recipient”)</w:t>
      </w:r>
      <w:r>
        <w:rPr>
          <w:rFonts w:ascii="Arial" w:cs="Arial" w:eastAsia="Arial" w:hAnsi="Arial"/>
          <w:sz w:val="17"/>
          <w:szCs w:val="17"/>
          <w:color w:val="auto"/>
        </w:rPr>
        <w:t xml:space="preserve"> to its affiliates, executives, directors, consultants, employees, agents or intermediaries (hereinafter, collectively, the </w:t>
      </w:r>
      <w:r>
        <w:rPr>
          <w:rFonts w:ascii="Arial" w:cs="Arial" w:eastAsia="Arial" w:hAnsi="Arial"/>
          <w:sz w:val="17"/>
          <w:szCs w:val="17"/>
          <w:b w:val="1"/>
          <w:bCs w:val="1"/>
          <w:color w:val="auto"/>
        </w:rPr>
        <w:t>“Representatives”)</w:t>
      </w:r>
      <w:r>
        <w:rPr>
          <w:rFonts w:ascii="Arial" w:cs="Arial" w:eastAsia="Arial" w:hAnsi="Arial"/>
          <w:sz w:val="17"/>
          <w:szCs w:val="17"/>
          <w:color w:val="auto"/>
        </w:rPr>
        <w:t xml:space="preserve"> to the extent that such disclosure is necessary for the Recipient to evaluate this Agreement. The Recipient agrees to inform the Representatives of the confidential nature of the Confidential Information, and to require the Representatives to strictly maintain the confidentiality of such Confidential Information in accordance with the requirements in this Agreement. The Recipient agrees to be responsible and liable for any breach of confidentiality committed by its Representatives.</w:t>
      </w:r>
    </w:p>
    <w:p>
      <w:pPr>
        <w:spacing w:after="0" w:line="206" w:lineRule="exact"/>
        <w:rPr>
          <w:rFonts w:ascii="Arial" w:cs="Arial" w:eastAsia="Arial" w:hAnsi="Arial"/>
          <w:sz w:val="17"/>
          <w:szCs w:val="17"/>
          <w:color w:val="auto"/>
        </w:rPr>
      </w:pPr>
    </w:p>
    <w:p>
      <w:pPr>
        <w:ind w:left="1000" w:hanging="321"/>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the foregoing, Confidential Information shall not include the following information:</w:t>
      </w:r>
    </w:p>
    <w:p>
      <w:pPr>
        <w:spacing w:after="0" w:line="252" w:lineRule="exact"/>
        <w:rPr>
          <w:rFonts w:ascii="Arial" w:cs="Arial" w:eastAsia="Arial" w:hAnsi="Arial"/>
          <w:sz w:val="18"/>
          <w:szCs w:val="18"/>
          <w:color w:val="auto"/>
        </w:rPr>
      </w:pPr>
    </w:p>
    <w:p>
      <w:pPr>
        <w:ind w:left="1620" w:hanging="225"/>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publicly available at the time of the disclosure;</w:t>
      </w:r>
    </w:p>
    <w:p>
      <w:pPr>
        <w:spacing w:after="0" w:line="252" w:lineRule="exact"/>
        <w:rPr>
          <w:rFonts w:ascii="Arial" w:cs="Arial" w:eastAsia="Arial" w:hAnsi="Arial"/>
          <w:sz w:val="18"/>
          <w:szCs w:val="18"/>
          <w:color w:val="auto"/>
        </w:rPr>
      </w:pPr>
    </w:p>
    <w:p>
      <w:pPr>
        <w:ind w:left="1620" w:hanging="225"/>
        <w:spacing w:after="0"/>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information that becomes publicly available without either party violating the confidentiality provisions in this Agreement;</w:t>
      </w:r>
    </w:p>
    <w:p>
      <w:pPr>
        <w:spacing w:after="0" w:line="263" w:lineRule="exact"/>
        <w:rPr>
          <w:rFonts w:ascii="Arial" w:cs="Arial" w:eastAsia="Arial" w:hAnsi="Arial"/>
          <w:sz w:val="17"/>
          <w:szCs w:val="17"/>
          <w:color w:val="auto"/>
        </w:rPr>
      </w:pPr>
    </w:p>
    <w:p>
      <w:pPr>
        <w:ind w:left="1620" w:hanging="225"/>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that either party is required to disclose in accordance with the relevant laws, regulations, regulatory requirements or public listing requirements; and</w:t>
      </w:r>
    </w:p>
    <w:p>
      <w:pPr>
        <w:spacing w:after="0" w:line="197" w:lineRule="exact"/>
        <w:rPr>
          <w:sz w:val="20"/>
          <w:szCs w:val="20"/>
          <w:color w:val="auto"/>
        </w:rPr>
      </w:pPr>
    </w:p>
    <w:p>
      <w:pPr>
        <w:ind w:left="1620" w:right="40" w:hanging="225"/>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that either party obtains from any third party that does not violate laws, regulations of the confidentiality provisions in this Agreement with respect to the Confidential Information.</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125" w:right="239" w:bottom="1440" w:gutter="0" w:footer="0" w:header="0"/>
        </w:sectPr>
      </w:pPr>
    </w:p>
    <w:bookmarkStart w:id="32" w:name="page33"/>
    <w:bookmarkEnd w:id="32"/>
    <w:p>
      <w:pPr>
        <w:jc w:val="both"/>
        <w:ind w:left="1000" w:hanging="321"/>
        <w:spacing w:after="0" w:line="27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the extent that one party is mandated by the law to disclose Confidential Information, such party shall immediately notify the other party of such lawful mandate and use its best efforts, permissible under applicable laws, to assist the other party in undertaking protective measures with respect to the disclosure of the Confidential Information. Party A acknowledges that Party A understands Party B’s obligations and that Party A agrees that Party B may disclose certain provisions in accordance with certain requirements under securities laws, provided that Party B shall notify Party A of the specific information that shall be disclosed prior to any disclosure .</w:t>
      </w:r>
    </w:p>
    <w:p>
      <w:pPr>
        <w:spacing w:after="0" w:line="199" w:lineRule="exact"/>
        <w:rPr>
          <w:rFonts w:ascii="Arial" w:cs="Arial" w:eastAsia="Arial" w:hAnsi="Arial"/>
          <w:sz w:val="17"/>
          <w:szCs w:val="17"/>
          <w:color w:val="auto"/>
        </w:rPr>
      </w:pPr>
    </w:p>
    <w:p>
      <w:pPr>
        <w:jc w:val="both"/>
        <w:ind w:left="1000" w:hanging="321"/>
        <w:spacing w:after="0" w:line="264"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confidentiality provisions in this Agreement shall not cease to be effective upon the expiration or termination of this Agreement. The confidentiality provisions under this Article shall continue to bind both parties within One (1) year of the expiration or termination of this Agreement.</w:t>
      </w:r>
    </w:p>
    <w:p>
      <w:pPr>
        <w:spacing w:after="0" w:line="20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VII.</w:t>
        <w:tab/>
        <w:t>Miscellaneous</w:t>
      </w:r>
    </w:p>
    <w:p>
      <w:pPr>
        <w:spacing w:after="0" w:line="252" w:lineRule="exact"/>
        <w:rPr>
          <w:sz w:val="20"/>
          <w:szCs w:val="20"/>
          <w:color w:val="auto"/>
        </w:rPr>
      </w:pPr>
    </w:p>
    <w:p>
      <w:pPr>
        <w:ind w:left="1000" w:hanging="321"/>
        <w:spacing w:after="0" w:line="30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disputes arising from this Agreement shall be resolved through consultation between the parties or, should such consultation fail to resolve the disputes, shall be submitted to the Shanghai International Economic and Trade Arbitration Commission for adjudication .</w:t>
      </w:r>
    </w:p>
    <w:p>
      <w:pPr>
        <w:spacing w:after="0" w:line="173" w:lineRule="exact"/>
        <w:rPr>
          <w:rFonts w:ascii="Arial" w:cs="Arial" w:eastAsia="Arial" w:hAnsi="Arial"/>
          <w:sz w:val="17"/>
          <w:szCs w:val="17"/>
          <w:color w:val="auto"/>
        </w:rPr>
      </w:pPr>
    </w:p>
    <w:p>
      <w:pPr>
        <w:jc w:val="both"/>
        <w:ind w:left="1000" w:hanging="321"/>
        <w:spacing w:after="0" w:line="276"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exchange computations shall be as follows: On the day when Party B submits subsidiary application, if the US-RMB exchange rate fluctuation is 10% of less of the middle rate (or specified rate) published by the People’s Bank of China on the same day, then such middle rate shall apply; if the exchange rate fluctuation exceeds 10% of such middle rate, then the applicable exchange rate shall be the average of i) the middle rate published by the People’s Bank of China on the date when this Agreement is executed and ii) the middle rate published by the People’s Bank of China on the date when the subsidy application is made by Party B.</w:t>
      </w:r>
    </w:p>
    <w:p>
      <w:pPr>
        <w:spacing w:after="0" w:line="199" w:lineRule="exact"/>
        <w:rPr>
          <w:rFonts w:ascii="Arial" w:cs="Arial" w:eastAsia="Arial" w:hAnsi="Arial"/>
          <w:sz w:val="17"/>
          <w:szCs w:val="17"/>
          <w:color w:val="auto"/>
        </w:rPr>
      </w:pPr>
    </w:p>
    <w:p>
      <w:pPr>
        <w:ind w:left="1000" w:hanging="321"/>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course of the resolution of the disputes, the parties shall continue to enforce the provisions and to fulfill their covenants under this Agreement except the provisions or covenants under dispute.</w:t>
      </w:r>
    </w:p>
    <w:p>
      <w:pPr>
        <w:spacing w:after="0" w:line="197" w:lineRule="exact"/>
        <w:rPr>
          <w:rFonts w:ascii="Arial" w:cs="Arial" w:eastAsia="Arial" w:hAnsi="Arial"/>
          <w:sz w:val="18"/>
          <w:szCs w:val="18"/>
          <w:color w:val="auto"/>
        </w:rPr>
      </w:pPr>
    </w:p>
    <w:p>
      <w:pPr>
        <w:ind w:left="1000" w:right="60" w:hanging="321"/>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matter not provided for in this Agreement may be determined through consultation between the parties and the parties may enter into supplementary agreements accordingly . Supplementary agreements and this Agreement shall be equally binding.</w:t>
      </w:r>
    </w:p>
    <w:p>
      <w:pPr>
        <w:spacing w:after="0" w:line="197" w:lineRule="exact"/>
        <w:rPr>
          <w:sz w:val="20"/>
          <w:szCs w:val="20"/>
          <w:color w:val="auto"/>
        </w:rPr>
      </w:pPr>
    </w:p>
    <w:p>
      <w:pPr>
        <w:jc w:val="both"/>
        <w:ind w:left="1000" w:right="20" w:hanging="319"/>
        <w:spacing w:after="0" w:line="264" w:lineRule="auto"/>
        <w:tabs>
          <w:tab w:leader="none" w:pos="980" w:val="left"/>
        </w:tabs>
        <w:rPr>
          <w:sz w:val="20"/>
          <w:szCs w:val="20"/>
          <w:color w:val="auto"/>
        </w:rPr>
      </w:pPr>
      <w:r>
        <w:rPr>
          <w:rFonts w:ascii="Arial" w:cs="Arial" w:eastAsia="Arial" w:hAnsi="Arial"/>
          <w:sz w:val="18"/>
          <w:szCs w:val="18"/>
          <w:color w:val="auto"/>
        </w:rPr>
        <w:t>e.</w:t>
        <w:tab/>
        <w:t>Party A and Party B both agree that this Agreement will be fully assigned by Party B to the project company it is forming in Xiamen. With respect total investment and registered capital, If the project company is lack of capacity to perform this agreement, the Party B shall perform this agreement.</w:t>
      </w:r>
    </w:p>
    <w:p>
      <w:pPr>
        <w:spacing w:after="0" w:line="208" w:lineRule="exact"/>
        <w:rPr>
          <w:sz w:val="20"/>
          <w:szCs w:val="20"/>
          <w:color w:val="auto"/>
        </w:rPr>
      </w:pPr>
    </w:p>
    <w:p>
      <w:pPr>
        <w:jc w:val="both"/>
        <w:ind w:left="1000" w:hanging="321"/>
        <w:spacing w:after="0" w:line="27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Agreement has been entered into in counterparts, including two identical copies in the language of Chinese and two identical copies in the language of English. All four counterparts shall be equally binding. The parties shall each maintain One (1) counterpart in the language of Chinese and One (1) counterpart in the language of English. All four counterparts shall take effect upon execution and stamping of seals. To the extent that there shall be conflicts between the Chinese version and the English version, the Chinese version shall control. This Agreement shall take effect when the parties’ representatives sign or stamp their seals.</w:t>
      </w:r>
    </w:p>
    <w:p>
      <w:pPr>
        <w:spacing w:after="0" w:line="20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 xml:space="preserve">{THE REMAINDER OF THIS PAGE </w:t>
      </w:r>
      <w:r>
        <w:rPr>
          <w:rFonts w:ascii="Arial" w:cs="Arial" w:eastAsia="Arial" w:hAnsi="Arial"/>
          <w:sz w:val="18"/>
          <w:szCs w:val="18"/>
          <w:color w:val="auto"/>
        </w:rPr>
        <w:t>IS</w:t>
      </w:r>
      <w:r>
        <w:rPr>
          <w:rFonts w:ascii="Arial" w:cs="Arial" w:eastAsia="Arial" w:hAnsi="Arial"/>
          <w:sz w:val="18"/>
          <w:szCs w:val="18"/>
          <w:i w:val="1"/>
          <w:iCs w:val="1"/>
          <w:color w:val="auto"/>
        </w:rPr>
        <w:t xml:space="preserve"> INTENTIONALLY BLANK]</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70485</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40"/>
          </w:cols>
          <w:pgMar w:left="42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3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July 31, 2016,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3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July 31, 2016,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Roman"/>
      <w:start w:val="4"/>
    </w:lvl>
  </w:abstractNum>
  <w:abstractNum w:abstractNumId="7">
    <w:nsid w:val="431BD7B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
    <w:nsid w:val="3F2DBA31"/>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abstractNum>
  <w:abstractNum w:abstractNumId="9">
    <w:nsid w:val="7C83E458"/>
    <w:multiLevelType w:val="hybridMultilevel"/>
    <w:lvl w:ilvl="0">
      <w:lvlJc w:val="left"/>
      <w:lvlText w:val="%1."/>
      <w:numFmt w:val="upperLetter"/>
      <w:start w:val="61"/>
    </w:lvl>
  </w:abstractNum>
  <w:abstractNum w:abstractNumId="10">
    <w:nsid w:val="257130A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
    <w:nsid w:val="62BBD95A"/>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abstractNum w:abstractNumId="12">
    <w:nsid w:val="436C6125"/>
    <w:multiLevelType w:val="hybridMultilevel"/>
    <w:lvl w:ilvl="0">
      <w:lvlJc w:val="left"/>
      <w:lvlText w:val="%1."/>
      <w:numFmt w:val="lowerRoman"/>
      <w:start w:val="3"/>
    </w:lvl>
  </w:abstractNum>
  <w:abstractNum w:abstractNumId="13">
    <w:nsid w:val="628C895D"/>
    <w:multiLevelType w:val="hybridMultilevel"/>
    <w:lvl w:ilvl="0">
      <w:lvlJc w:val="left"/>
      <w:lvlText w:val="%1."/>
      <w:numFmt w:val="lowerLetter"/>
      <w:start w:val="2"/>
    </w:lvl>
    <w:lvl w:ilvl="1">
      <w:lvlJc w:val="left"/>
      <w:lvlText w:val="*"/>
      <w:numFmt w:val="bullet"/>
      <w:start w:val="1"/>
    </w:lvl>
  </w:abstractNum>
  <w:abstractNum w:abstractNumId="14">
    <w:nsid w:val="333AB105"/>
    <w:multiLevelType w:val="hybridMultilevel"/>
    <w:lvl w:ilvl="0">
      <w:lvlJc w:val="left"/>
      <w:lvlText w:val="%1."/>
      <w:numFmt w:val="lowerLetter"/>
      <w:start w:val="5"/>
    </w:lvl>
  </w:abstractNum>
  <w:abstractNum w:abstractNumId="15">
    <w:nsid w:val="721DA317"/>
    <w:multiLevelType w:val="hybridMultilevel"/>
    <w:lvl w:ilvl="0">
      <w:lvlJc w:val="left"/>
      <w:lvlText w:val="%1."/>
      <w:numFmt w:val="upperLetter"/>
      <w:start w:val="2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Letter"/>
      <w:start w:val="2"/>
    </w:lvl>
  </w:abstractNum>
  <w:abstractNum w:abstractNumId="19">
    <w:nsid w:val="75A2A8D4"/>
    <w:multiLevelType w:val="hybridMultilevel"/>
    <w:lvl w:ilvl="0">
      <w:lvlJc w:val="left"/>
      <w:lvlText w:val="%1."/>
      <w:numFmt w:val="lowerLetter"/>
      <w:start w:val="1"/>
    </w:lvl>
    <w:lvl w:ilvl="1">
      <w:lvlJc w:val="left"/>
      <w:lvlText w:val="%2."/>
      <w:numFmt w:val="lowerRoman"/>
      <w:start w:val="1"/>
    </w:lvl>
  </w:abstractNum>
  <w:abstractNum w:abstractNumId="20">
    <w:nsid w:val="8EDBDAB"/>
    <w:multiLevelType w:val="hybridMultilevel"/>
    <w:lvl w:ilvl="0">
      <w:lvlJc w:val="left"/>
      <w:lvlText w:val="%1"/>
      <w:numFmt w:val="lowerRoman"/>
      <w:start w:val="4"/>
    </w:lvl>
  </w:abstractNum>
  <w:abstractNum w:abstractNumId="21">
    <w:nsid w:val="79838CB2"/>
    <w:multiLevelType w:val="hybridMultilevel"/>
    <w:lvl w:ilvl="0">
      <w:lvlJc w:val="left"/>
      <w:lvlText w:val="%1."/>
      <w:numFmt w:val="lowerLetter"/>
      <w:start w:val="3"/>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6"/>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2019-12-29T09:50:00Z</dcterms:created>
  <dcterms:modified xsi:type="dcterms:W3CDTF">2019-12-29T09:50:00Z</dcterms:modified>
</cp:coreProperties>
</file>