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900" w:right="1560" w:hanging="3892"/>
        <w:spacing w:after="0" w:line="266"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July 31, 2022</w:t>
      </w:r>
    </w:p>
    <w:p>
      <w:pPr>
        <w:spacing w:after="0" w:line="172" w:lineRule="exact"/>
        <w:rPr>
          <w:sz w:val="24"/>
          <w:szCs w:val="24"/>
          <w:color w:val="auto"/>
        </w:rPr>
      </w:pPr>
    </w:p>
    <w:p>
      <w:pPr>
        <w:ind w:left="4100" w:right="1540" w:hanging="4092"/>
        <w:spacing w:after="0" w:line="500" w:lineRule="auto"/>
        <w:tabs>
          <w:tab w:leader="none" w:pos="49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 (d) OF THE SECURITIES EXCHANGE ACT OF 1934 </w:t>
      </w:r>
      <w:r>
        <w:rPr>
          <w:rFonts w:ascii="Times New Roman" w:cs="Times New Roman" w:eastAsia="Times New Roman" w:hAnsi="Times New Roman"/>
          <w:sz w:val="18"/>
          <w:szCs w:val="18"/>
          <w:b w:val="1"/>
          <w:bCs w:val="1"/>
          <w:i w:val="1"/>
          <w:iCs w:val="1"/>
          <w:color w:val="auto"/>
        </w:rPr>
        <w:t>For the transition period from ___ to 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8"/>
                <w:szCs w:val="18"/>
                <w:color w:val="auto"/>
              </w:rPr>
            </w:pPr>
          </w:p>
        </w:tc>
        <w:tc>
          <w:tcPr>
            <w:tcW w:w="44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6"/>
        </w:trPr>
        <w:tc>
          <w:tcPr>
            <w:tcW w:w="496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840" w:type="dxa"/>
            <w:vAlign w:val="bottom"/>
          </w:tcPr>
          <w:p>
            <w:pPr>
              <w:spacing w:after="0"/>
              <w:rPr>
                <w:sz w:val="20"/>
                <w:szCs w:val="20"/>
                <w:color w:val="auto"/>
              </w:rPr>
            </w:pPr>
          </w:p>
        </w:tc>
        <w:tc>
          <w:tcPr>
            <w:tcW w:w="444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i w:val="1"/>
                <w:iCs w:val="1"/>
                <w:color w:val="auto"/>
                <w:w w:val="99"/>
              </w:rPr>
              <w:t>(IRS Employer Identification No.)</w:t>
            </w:r>
          </w:p>
        </w:tc>
      </w:tr>
      <w:tr>
        <w:trPr>
          <w:trHeight w:val="412"/>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40" w:type="dxa"/>
            <w:vAlign w:val="bottom"/>
            <w:gridSpan w:val="2"/>
          </w:tcPr>
          <w:p>
            <w:pPr>
              <w:jc w:val="center"/>
              <w:ind w:right="97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6"/>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80" w:type="dxa"/>
            <w:vAlign w:val="bottom"/>
          </w:tcPr>
          <w:p>
            <w:pPr>
              <w:jc w:val="center"/>
              <w:ind w:right="17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2"/>
        </w:trPr>
        <w:tc>
          <w:tcPr>
            <w:tcW w:w="49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4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9"/>
              </w:rPr>
              <w:t>PLAB</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PREFERRED STOCK PURCHASE RIGHTS</w:t>
            </w:r>
          </w:p>
        </w:tc>
        <w:tc>
          <w:tcPr>
            <w:tcW w:w="1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6"/>
              </w:rPr>
              <w:t>N/A</w:t>
            </w:r>
          </w:p>
        </w:tc>
        <w:tc>
          <w:tcPr>
            <w:tcW w:w="76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570" w:right="339" w:bottom="1440" w:gutter="0" w:footer="0" w:header="0"/>
        </w:sectPr>
      </w:pPr>
    </w:p>
    <w:p>
      <w:pPr>
        <w:spacing w:after="0" w:line="176"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Accelerated Filer Emerging growth company</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6" w:lineRule="exact"/>
        <w:rPr>
          <w:sz w:val="24"/>
          <w:szCs w:val="24"/>
          <w:color w:val="auto"/>
        </w:rPr>
      </w:pPr>
    </w:p>
    <w:p>
      <w:pPr>
        <w:sectPr>
          <w:pgSz w:w="11900" w:h="16838" w:orient="portrait"/>
          <w:cols w:equalWidth="0" w:num="6">
            <w:col w:w="2080" w:space="520"/>
            <w:col w:w="160" w:space="640"/>
            <w:col w:w="1960" w:space="620"/>
            <w:col w:w="160" w:space="620"/>
            <w:col w:w="1860" w:space="720"/>
            <w:col w:w="1900"/>
          </w:cols>
          <w:pgMar w:left="320" w:top="570" w:right="339" w:bottom="1440" w:gutter="0" w:footer="0" w:header="0"/>
          <w:type w:val="continuous"/>
        </w:sect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61,689,388 shares of common stock outstanding as of 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31,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1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3"/>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918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432"/>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Chip stacking</w:t>
            </w:r>
          </w:p>
        </w:tc>
        <w:tc>
          <w:tcPr>
            <w:tcW w:w="9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Placement of a computer chip on top of another computer chip, resulting in the reduction of the distance between the chips</w:t>
            </w:r>
          </w:p>
        </w:tc>
      </w:tr>
      <w:tr>
        <w:trPr>
          <w:trHeight w:val="234"/>
        </w:trPr>
        <w:tc>
          <w:tcPr>
            <w:tcW w:w="2060" w:type="dxa"/>
            <w:vAlign w:val="bottom"/>
          </w:tcPr>
          <w:p>
            <w:pPr>
              <w:spacing w:after="0"/>
              <w:rPr>
                <w:sz w:val="20"/>
                <w:szCs w:val="20"/>
                <w:color w:val="auto"/>
              </w:rPr>
            </w:pP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 a circuit board</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COVID-19</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Coronavirus 2019, an infectious disease that was declared a pandemic by the World Health Organization in March 2020</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9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 photomasks</w:t>
            </w:r>
          </w:p>
        </w:tc>
      </w:tr>
      <w:tr>
        <w:trPr>
          <w:trHeight w:val="216"/>
        </w:trPr>
        <w:tc>
          <w:tcPr>
            <w:tcW w:w="2060" w:type="dxa"/>
            <w:vAlign w:val="bottom"/>
            <w:shd w:val="clear" w:color="auto" w:fill="CCEEFF"/>
          </w:tcPr>
          <w:p>
            <w:pPr>
              <w:spacing w:after="0"/>
              <w:rPr>
                <w:sz w:val="18"/>
                <w:szCs w:val="18"/>
                <w:color w:val="auto"/>
              </w:rPr>
            </w:pP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function by selectively reflecting or blocking light, in contrast to conventional photomasks which function by selectively</w:t>
            </w:r>
          </w:p>
        </w:tc>
      </w:tr>
      <w:tr>
        <w:trPr>
          <w:trHeight w:val="234"/>
        </w:trPr>
        <w:tc>
          <w:tcPr>
            <w:tcW w:w="2060" w:type="dxa"/>
            <w:vAlign w:val="bottom"/>
            <w:shd w:val="clear" w:color="auto" w:fill="CCEEFF"/>
          </w:tcPr>
          <w:p>
            <w:pPr>
              <w:spacing w:after="0"/>
              <w:rPr>
                <w:sz w:val="20"/>
                <w:szCs w:val="20"/>
                <w:color w:val="auto"/>
              </w:rPr>
            </w:pP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transmitting or blocking light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FPDs</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9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refers to the size range of the underlying substrate to which a photomask is applied.</w:t>
            </w:r>
          </w:p>
        </w:tc>
      </w:tr>
      <w:tr>
        <w:trPr>
          <w:trHeight w:val="234"/>
        </w:trPr>
        <w:tc>
          <w:tcPr>
            <w:tcW w:w="2060" w:type="dxa"/>
            <w:vAlign w:val="bottom"/>
            <w:shd w:val="clear" w:color="auto" w:fill="CCEEFF"/>
          </w:tcPr>
          <w:p>
            <w:pPr>
              <w:spacing w:after="0"/>
              <w:rPr>
                <w:sz w:val="20"/>
                <w:szCs w:val="20"/>
                <w:color w:val="auto"/>
              </w:rPr>
            </w:pP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Higher generation (or “G”) numbers represent larger substrates</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ICs</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LIBOR</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198"/>
        </w:trPr>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9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 silicon</w:t>
            </w:r>
          </w:p>
        </w:tc>
      </w:tr>
      <w:tr>
        <w:trPr>
          <w:trHeight w:val="216"/>
        </w:trPr>
        <w:tc>
          <w:tcPr>
            <w:tcW w:w="2060" w:type="dxa"/>
            <w:vAlign w:val="bottom"/>
            <w:shd w:val="clear" w:color="auto" w:fill="CCEEFF"/>
          </w:tcPr>
          <w:p>
            <w:pPr>
              <w:spacing w:after="0"/>
              <w:rPr>
                <w:sz w:val="18"/>
                <w:szCs w:val="18"/>
                <w:color w:val="auto"/>
              </w:rPr>
            </w:pP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 thin-film transistors (TFTs) are used in liquid-crystal display (LCD) flat panels and to drive organic light-emitting diode</w:t>
            </w:r>
          </w:p>
        </w:tc>
      </w:tr>
      <w:tr>
        <w:trPr>
          <w:trHeight w:val="234"/>
        </w:trPr>
        <w:tc>
          <w:tcPr>
            <w:tcW w:w="2060" w:type="dxa"/>
            <w:vAlign w:val="bottom"/>
            <w:shd w:val="clear" w:color="auto" w:fill="CCEEFF"/>
          </w:tcPr>
          <w:p>
            <w:pPr>
              <w:spacing w:after="0"/>
              <w:rPr>
                <w:sz w:val="20"/>
                <w:szCs w:val="20"/>
                <w:color w:val="auto"/>
              </w:rPr>
            </w:pP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(OLED) displays</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MLA</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Master Lease Agreement</w:t>
            </w:r>
          </w:p>
        </w:tc>
      </w:tr>
      <w:tr>
        <w:trPr>
          <w:trHeight w:val="198"/>
        </w:trPr>
        <w:tc>
          <w:tcPr>
            <w:tcW w:w="11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Optical proximity correction </w:t>
            </w:r>
            <w:r>
              <w:rPr>
                <w:rFonts w:ascii="Times New Roman" w:cs="Times New Roman" w:eastAsia="Times New Roman" w:hAnsi="Times New Roman"/>
                <w:sz w:val="18"/>
                <w:szCs w:val="18"/>
                <w:color w:val="auto"/>
              </w:rPr>
              <w:t>A photolithography enhancement technique applied to compensate for the limitations of light to maintain the edge</w:t>
            </w:r>
          </w:p>
        </w:tc>
      </w:tr>
      <w:tr>
        <w:trPr>
          <w:trHeight w:val="234"/>
        </w:trPr>
        <w:tc>
          <w:tcPr>
            <w:tcW w:w="2060" w:type="dxa"/>
            <w:vAlign w:val="bottom"/>
            <w:shd w:val="clear" w:color="auto" w:fill="CCEEFF"/>
          </w:tcPr>
          <w:p>
            <w:pPr>
              <w:spacing w:after="0"/>
              <w:rPr>
                <w:sz w:val="20"/>
                <w:szCs w:val="20"/>
                <w:color w:val="auto"/>
              </w:rPr>
            </w:pP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placement integrity of an original design, after processing, into the etched image on a silicon wafer</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198"/>
        </w:trPr>
        <w:tc>
          <w:tcPr>
            <w:tcW w:w="2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Phase-shift photomasks</w:t>
            </w:r>
          </w:p>
        </w:tc>
        <w:tc>
          <w:tcPr>
            <w:tcW w:w="91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Photomasks that take advantage of the interference generated by phase differences to improve image resolution in</w:t>
            </w:r>
          </w:p>
        </w:tc>
      </w:tr>
      <w:tr>
        <w:trPr>
          <w:trHeight w:val="234"/>
        </w:trPr>
        <w:tc>
          <w:tcPr>
            <w:tcW w:w="2060" w:type="dxa"/>
            <w:vAlign w:val="bottom"/>
            <w:shd w:val="clear" w:color="auto" w:fill="CCEEFF"/>
          </w:tcPr>
          <w:p>
            <w:pPr>
              <w:spacing w:after="0"/>
              <w:rPr>
                <w:sz w:val="20"/>
                <w:szCs w:val="20"/>
                <w:color w:val="auto"/>
              </w:rPr>
            </w:pP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photolithography</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RMB</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Sputtering</w:t>
            </w:r>
          </w:p>
        </w:tc>
        <w:tc>
          <w:tcPr>
            <w:tcW w:w="9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The bombardment of a material with energetic particles to cause microscopic particles of the material to eject from its</w:t>
            </w:r>
          </w:p>
        </w:tc>
      </w:tr>
      <w:tr>
        <w:trPr>
          <w:trHeight w:val="234"/>
        </w:trPr>
        <w:tc>
          <w:tcPr>
            <w:tcW w:w="2060" w:type="dxa"/>
            <w:vAlign w:val="bottom"/>
          </w:tcPr>
          <w:p>
            <w:pPr>
              <w:spacing w:after="0"/>
              <w:rPr>
                <w:sz w:val="20"/>
                <w:szCs w:val="20"/>
                <w:color w:val="auto"/>
              </w:rPr>
            </w:pP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surface.</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9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918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 as the</w:t>
            </w:r>
          </w:p>
        </w:tc>
      </w:tr>
      <w:tr>
        <w:trPr>
          <w:trHeight w:val="234"/>
        </w:trPr>
        <w:tc>
          <w:tcPr>
            <w:tcW w:w="2060" w:type="dxa"/>
            <w:vAlign w:val="bottom"/>
          </w:tcPr>
          <w:p>
            <w:pPr>
              <w:spacing w:after="0"/>
              <w:rPr>
                <w:sz w:val="20"/>
                <w:szCs w:val="20"/>
                <w:color w:val="auto"/>
              </w:rPr>
            </w:pPr>
          </w:p>
        </w:tc>
        <w:tc>
          <w:tcPr>
            <w:tcW w:w="9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substrate for microelectronic devices built in and upon the wafer</w:t>
            </w:r>
          </w:p>
        </w:tc>
      </w:tr>
      <w:tr>
        <w:trPr>
          <w:trHeight w:val="570"/>
        </w:trPr>
        <w:tc>
          <w:tcPr>
            <w:tcW w:w="2060" w:type="dxa"/>
            <w:vAlign w:val="bottom"/>
          </w:tcPr>
          <w:p>
            <w:pPr>
              <w:spacing w:after="0"/>
              <w:rPr>
                <w:sz w:val="24"/>
                <w:szCs w:val="24"/>
                <w:color w:val="auto"/>
              </w:rPr>
            </w:pPr>
          </w:p>
        </w:tc>
        <w:tc>
          <w:tcPr>
            <w:tcW w:w="91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060" w:type="dxa"/>
            <w:vAlign w:val="bottom"/>
            <w:tcBorders>
              <w:bottom w:val="single" w:sz="8" w:color="auto"/>
            </w:tcBorders>
          </w:tcPr>
          <w:p>
            <w:pPr>
              <w:spacing w:after="0"/>
              <w:rPr>
                <w:sz w:val="3"/>
                <w:szCs w:val="3"/>
                <w:color w:val="auto"/>
              </w:rPr>
            </w:pPr>
          </w:p>
        </w:tc>
        <w:tc>
          <w:tcPr>
            <w:tcW w:w="9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162"/>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right="60" w:firstLine="162"/>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of our Form 10-K, as well as any additional risk factors we may provide in Part II, Item 1A of our Quarterly Reports on Form 10-Q.</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6"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276,670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$1,079 in 2022 and $1,218 in 2021</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174,447</w:t>
            </w:r>
          </w:p>
        </w:tc>
      </w:tr>
      <w:tr>
        <w:trPr>
          <w:trHeight w:val="216"/>
        </w:trPr>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55,249</w:t>
            </w: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40,414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44,250</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550,616</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696,553</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24,353</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22,680</w:t>
            </w:r>
          </w:p>
        </w:tc>
      </w:tr>
      <w:tr>
        <w:trPr>
          <w:trHeight w:val="256"/>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1,349,597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1,294,202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22,248</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82,234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81,534</w:t>
            </w: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197,114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176,148</w:t>
            </w:r>
          </w:p>
        </w:tc>
      </w:tr>
      <w:tr>
        <w:trPr>
          <w:trHeight w:val="216"/>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46,589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89,446</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25,936</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28,046</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293,640</w:t>
            </w: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60,754 shares issued and outstanding at July 31, 2022,</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and 60,024 shares issued and outstanding at October 31, 2021</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484,672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317,849</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(40,809)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r>
      <w:tr>
        <w:trPr>
          <w:trHeight w:val="216"/>
        </w:trPr>
        <w:tc>
          <w:tcPr>
            <w:tcW w:w="1020" w:type="dxa"/>
            <w:vAlign w:val="bottom"/>
            <w:tcBorders>
              <w:top w:val="single" w:sz="8" w:color="CCEEFF"/>
            </w:tcBorders>
            <w:gridSpan w:val="2"/>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823,692</w:t>
            </w: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229,640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176,870</w:t>
            </w:r>
          </w:p>
        </w:tc>
        <w:tc>
          <w:tcPr>
            <w:tcW w:w="100" w:type="dxa"/>
            <w:vAlign w:val="bottom"/>
          </w:tcPr>
          <w:p>
            <w:pPr>
              <w:spacing w:after="0"/>
              <w:rPr>
                <w:sz w:val="19"/>
                <w:szCs w:val="19"/>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1,079,958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1,000,562</w:t>
            </w:r>
          </w:p>
        </w:tc>
        <w:tc>
          <w:tcPr>
            <w:tcW w:w="100" w:type="dxa"/>
            <w:vAlign w:val="bottom"/>
          </w:tcPr>
          <w:p>
            <w:pPr>
              <w:spacing w:after="0"/>
              <w:rPr>
                <w:sz w:val="19"/>
                <w:szCs w:val="19"/>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1,349,597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1,294,202</w:t>
            </w:r>
          </w:p>
        </w:tc>
      </w:tr>
      <w:tr>
        <w:trPr>
          <w:trHeight w:val="20"/>
        </w:trPr>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6480" w:type="dxa"/>
            <w:vAlign w:val="bottom"/>
            <w:gridSpan w:val="6"/>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170,643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614,283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482,473</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136,085</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125,318</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400,338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367,370</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213,945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115,103</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15,083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48,306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43,203</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5,305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14,390</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20,388</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62,603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57,593</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(loss) income, net</w:t>
            </w:r>
          </w:p>
        </w:tc>
        <w:tc>
          <w:tcPr>
            <w:tcW w:w="1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3,525</w:t>
            </w:r>
          </w:p>
        </w:tc>
      </w:tr>
      <w:tr>
        <w:trPr>
          <w:trHeight w:val="216"/>
        </w:trPr>
        <w:tc>
          <w:tcPr>
            <w:tcW w:w="102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28,462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151,325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61,035</w:t>
            </w:r>
          </w:p>
        </w:tc>
      </w:tr>
      <w:tr>
        <w:trPr>
          <w:trHeight w:val="216"/>
        </w:trPr>
        <w:tc>
          <w:tcPr>
            <w:tcW w:w="1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16,974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3,627</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 net of subsidies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and expense, net</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32,197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167,695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64,678</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43,717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14,493</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24,355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123,978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50,185</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7,279</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42,252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14,547</w:t>
            </w: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35,638</w:t>
            </w:r>
          </w:p>
        </w:tc>
      </w:tr>
      <w:tr>
        <w:trPr>
          <w:trHeight w:val="21"/>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r>
      <w:tr>
        <w:trPr>
          <w:trHeight w:val="21"/>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r>
      <w:tr>
        <w:trPr>
          <w:trHeight w:val="20"/>
        </w:trPr>
        <w:tc>
          <w:tcPr>
            <w:tcW w:w="1020" w:type="dxa"/>
            <w:vAlign w:val="bottom"/>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5140" w:type="dxa"/>
            <w:vAlign w:val="bottom"/>
            <w:gridSpan w:val="3"/>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60,884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60,488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61,804</w:t>
            </w:r>
          </w:p>
        </w:tc>
      </w:tr>
      <w:tr>
        <w:trPr>
          <w:trHeight w:val="21"/>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61,515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61,127</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62,362</w:t>
            </w:r>
          </w:p>
        </w:tc>
      </w:tr>
      <w:tr>
        <w:trPr>
          <w:trHeight w:val="20"/>
        </w:trPr>
        <w:tc>
          <w:tcPr>
            <w:tcW w:w="10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49,224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123,978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50,185</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 of $0: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(22,136)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(10,482)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(76,086)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11,584</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(22,075)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(10,445)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(75,857)</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11,642</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27,149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13,910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48,121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61,827</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13,809</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7,144</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27,775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19,265</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42,562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00" w:type="dxa"/>
            <w:vAlign w:val="bottom"/>
            <w:gridSpan w:val="1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July 31, 2022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1, 2022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489,368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367,344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215,831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1,050,230</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31,230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17,994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49,224</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(17,890)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(4,185)</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(22,075)</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1,581</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July 31, 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491,945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398,574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(40,809)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229,640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1,079,958</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August 1, 2021</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2,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511,215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297,599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(23,250)</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35,192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169,425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990,817</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7,279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24,355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(10,445)</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(12,500)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(24,016)</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35,750</w:t>
            </w:r>
          </w:p>
        </w:tc>
        <w:tc>
          <w:tcPr>
            <w:tcW w:w="3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August 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60,758</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489,431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994,461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July 31, 2022</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1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60,024</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484,672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317,849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20,571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1,000,562</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123,978</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(61,380)</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(14,477)</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(75,857)</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4,170</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4,179</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4,623</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 from</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24,995</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24,995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(2,522)</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(2,522)</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(1,520)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2,522</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900" w:type="dxa"/>
            <w:vAlign w:val="bottom"/>
            <w:gridSpan w:val="2"/>
          </w:tcPr>
          <w:p>
            <w:pPr>
              <w:spacing w:after="0"/>
              <w:rPr>
                <w:sz w:val="19"/>
                <w:szCs w:val="19"/>
                <w:color w:val="auto"/>
              </w:rPr>
            </w:pPr>
          </w:p>
        </w:tc>
        <w:tc>
          <w:tcPr>
            <w:tcW w:w="22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31,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60,754</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491,945</w:t>
            </w: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398,574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229,640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1,079,958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August 1, 2021</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8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18"/>
                <w:szCs w:val="18"/>
                <w:color w:val="auto"/>
              </w:rPr>
            </w:pPr>
          </w:p>
        </w:tc>
        <w:tc>
          <w:tcPr>
            <w:tcW w:w="11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80" w:type="dxa"/>
            <w:vAlign w:val="bottom"/>
            <w:gridSpan w:val="6"/>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4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80" w:type="dxa"/>
            <w:vAlign w:val="bottom"/>
          </w:tcPr>
          <w:p>
            <w:pPr>
              <w:spacing w:after="0"/>
              <w:rPr>
                <w:sz w:val="19"/>
                <w:szCs w:val="19"/>
                <w:color w:val="auto"/>
              </w:rPr>
            </w:pPr>
          </w:p>
        </w:tc>
        <w:tc>
          <w:tcPr>
            <w:tcW w:w="11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00" w:type="dxa"/>
            <w:vAlign w:val="bottom"/>
          </w:tcPr>
          <w:p>
            <w:pPr>
              <w:spacing w:after="0"/>
              <w:rPr>
                <w:sz w:val="19"/>
                <w:szCs w:val="19"/>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2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63,138</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507,336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279,037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962,266</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50,185</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6,924</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4,718</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11,642</w:t>
            </w:r>
          </w:p>
        </w:tc>
        <w:tc>
          <w:tcPr>
            <w:tcW w:w="0" w:type="dxa"/>
            <w:vAlign w:val="bottom"/>
          </w:tcPr>
          <w:p>
            <w:pPr>
              <w:spacing w:after="0"/>
              <w:rPr>
                <w:sz w:val="1"/>
                <w:szCs w:val="1"/>
                <w:color w:val="auto"/>
              </w:rPr>
            </w:pPr>
          </w:p>
        </w:tc>
      </w:tr>
      <w:tr>
        <w:trPr>
          <w:trHeight w:val="198"/>
        </w:trPr>
        <w:tc>
          <w:tcPr>
            <w:tcW w:w="2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equity</w:t>
            </w: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2,077</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4,034</w:t>
            </w:r>
          </w:p>
        </w:tc>
        <w:tc>
          <w:tcPr>
            <w:tcW w:w="8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(35,750)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(35,750)</w:t>
            </w: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(24,016)</w:t>
            </w: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35,750</w:t>
            </w:r>
          </w:p>
        </w:tc>
        <w:tc>
          <w:tcPr>
            <w:tcW w:w="2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August 1, 2021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60,758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489,431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302,971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24,882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176,569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994,461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50,185</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61,210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69,305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(45,199)</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(13,854)</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5,073</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(12,280)</w:t>
            </w:r>
          </w:p>
        </w:tc>
      </w:tr>
      <w:tr>
        <w:trPr>
          <w:trHeight w:val="223"/>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49,078</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10,633</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195,921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113,096</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(46,337)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(92,301)</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5,775</w:t>
            </w:r>
          </w:p>
        </w:tc>
      </w:tr>
      <w:tr>
        <w:trPr>
          <w:trHeight w:val="223"/>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(45,122)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(86,696)</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(13,311)</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(35,750)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24,995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2,251</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20,858</w:t>
            </w:r>
          </w:p>
        </w:tc>
      </w:tr>
      <w:tr>
        <w:trPr>
          <w:trHeight w:val="223"/>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(25,402)</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(26,355)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(21,308)</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4,602</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4,647</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279,680</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286,249</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380,833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283,249</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non-cash information: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34"/>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during the period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7,367</w:t>
            </w: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0"/>
        </w:trPr>
        <w:tc>
          <w:tcPr>
            <w:tcW w:w="8680" w:type="dxa"/>
            <w:vAlign w:val="bottom"/>
            <w:gridSpan w:val="2"/>
          </w:tcPr>
          <w:p>
            <w:pPr>
              <w:jc w:val="center"/>
              <w:ind w:left="2491"/>
              <w:spacing w:after="0"/>
              <w:rPr>
                <w:sz w:val="20"/>
                <w:szCs w:val="20"/>
                <w:color w:val="auto"/>
              </w:rPr>
            </w:pPr>
            <w:r>
              <w:rPr>
                <w:rFonts w:ascii="Times New Roman" w:cs="Times New Roman" w:eastAsia="Times New Roman" w:hAnsi="Times New Roman"/>
                <w:sz w:val="14"/>
                <w:szCs w:val="14"/>
                <w:color w:val="auto"/>
                <w:w w:val="99"/>
              </w:rPr>
              <w:t>10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76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semiconductors and FPDs, and are used as masters to transfer circuit patterns onto semiconductor wafers and FPD substrates during the fabrication of ICs, a variety of FPDs and, to a lesser extent, other types of electrical and optical components. We operate eleven manufacturing facilities, which are located in Taiwan (3), Korea, China (2), the United States (3), and Europe (2).</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our Form 10-K for the fiscal year ended October 31, 2021, where we discuss and provide additional information about our accounting policies and the methods and assumptions used in our estimates.</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amounts reported in them. Our estimates, including those on the impact of COVID-19, are based on historical experience and on various assumptions that we believe to be reasonable under the circumstances. Our estimates are based on the facts and circumstances available at the time they are made. Subsequent actual results may differ from such estimates. We review these estimates periodically and reflect any effects of revisions in the period in which they are determined.</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INVENTORIES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determined under the first-in, first-out (“FIFO”) method, or net realizable value. Presented below are 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3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3360" w:type="dxa"/>
            <w:vAlign w:val="bottom"/>
          </w:tcPr>
          <w:p>
            <w:pPr>
              <w:spacing w:after="0"/>
              <w:rPr>
                <w:sz w:val="18"/>
                <w:szCs w:val="18"/>
                <w:color w:val="auto"/>
              </w:rPr>
            </w:pPr>
          </w:p>
        </w:tc>
        <w:tc>
          <w:tcPr>
            <w:tcW w:w="55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48,679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54,019</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w:t>
            </w:r>
          </w:p>
        </w:tc>
      </w:tr>
      <w:tr>
        <w:trPr>
          <w:trHeight w:val="22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3360" w:type="dxa"/>
            <w:vAlign w:val="bottom"/>
            <w:tcBorders>
              <w:top w:val="single" w:sz="8" w:color="CCEEFF"/>
            </w:tcBorders>
          </w:tcPr>
          <w:p>
            <w:pPr>
              <w:spacing w:after="0"/>
              <w:rPr>
                <w:sz w:val="18"/>
                <w:szCs w:val="18"/>
                <w:color w:val="auto"/>
              </w:rPr>
            </w:pPr>
          </w:p>
        </w:tc>
        <w:tc>
          <w:tcPr>
            <w:tcW w:w="5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360" w:type="dxa"/>
            <w:vAlign w:val="bottom"/>
            <w:shd w:val="clear" w:color="auto" w:fill="CCEEFF"/>
          </w:tcPr>
          <w:p>
            <w:pPr>
              <w:spacing w:after="0"/>
              <w:rPr>
                <w:sz w:val="22"/>
                <w:szCs w:val="22"/>
                <w:color w:val="auto"/>
              </w:rPr>
            </w:pPr>
          </w:p>
        </w:tc>
        <w:tc>
          <w:tcPr>
            <w:tcW w:w="5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55,249</w:t>
            </w:r>
          </w:p>
        </w:tc>
      </w:tr>
      <w:tr>
        <w:trPr>
          <w:trHeight w:val="564"/>
        </w:trPr>
        <w:tc>
          <w:tcPr>
            <w:tcW w:w="3360" w:type="dxa"/>
            <w:vAlign w:val="bottom"/>
            <w:tcBorders>
              <w:top w:val="single" w:sz="8" w:color="CCEEFF"/>
            </w:tcBorders>
          </w:tcPr>
          <w:p>
            <w:pPr>
              <w:spacing w:after="0"/>
              <w:rPr>
                <w:sz w:val="24"/>
                <w:szCs w:val="24"/>
                <w:color w:val="auto"/>
              </w:rPr>
            </w:pPr>
          </w:p>
        </w:tc>
        <w:tc>
          <w:tcPr>
            <w:tcW w:w="5320" w:type="dxa"/>
            <w:vAlign w:val="bottom"/>
            <w:tcBorders>
              <w:top w:val="single" w:sz="8" w:color="CCEEFF"/>
            </w:tcBorders>
          </w:tcPr>
          <w:p>
            <w:pPr>
              <w:jc w:val="right"/>
              <w:ind w:right="2896"/>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PROPERTY, PLANT AND EQUIPMENT, NET</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12,442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175,331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181,922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1,854,967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1,961,474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21,751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15,534</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46,832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2,228,132</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(1,483,197)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(1,531,579)</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1020" w:type="dxa"/>
            <w:vAlign w:val="bottom"/>
            <w:shd w:val="clear" w:color="auto" w:fill="CCEEFF"/>
          </w:tcPr>
          <w:p>
            <w:pPr>
              <w:spacing w:after="0"/>
              <w:rPr>
                <w:sz w:val="22"/>
                <w:szCs w:val="22"/>
                <w:color w:val="auto"/>
              </w:rPr>
            </w:pPr>
          </w:p>
        </w:tc>
        <w:tc>
          <w:tcPr>
            <w:tcW w:w="76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640,805</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696,553</w:t>
            </w:r>
          </w:p>
        </w:tc>
      </w:tr>
      <w:tr>
        <w:trPr>
          <w:trHeight w:val="42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w:t>
            </w: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42,760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40,827</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66,577</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PDMCX JOINT VENTURE</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leading-edge and advanced-generation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 In 2020, in combination with local financing obtained by PDMCX, Photronics and DNP fulfilled their investment obligations under the PDMCX operating agreement (“the Agreement”). As discussed in Note 5, liens were granted to the local financing entity on property, plant and equipment with a July 31, 2022, and October 31, 2021, total carrying value of $79.2 million and $90.1 million, respectively, as collateral for the loans.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twenty percent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we recorded from the operations of PDMCX during the reporting periods.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3,994</w:t>
            </w: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132,414</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64,918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137,799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68,913</w:t>
            </w:r>
          </w:p>
        </w:tc>
      </w:tr>
      <w:tr>
        <w:trPr>
          <w:trHeight w:val="216"/>
        </w:trPr>
        <w:tc>
          <w:tcPr>
            <w:tcW w:w="3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262,224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131,138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197,544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98,792</w:t>
            </w:r>
          </w:p>
        </w:tc>
      </w:tr>
      <w:tr>
        <w:trPr>
          <w:trHeight w:val="216"/>
        </w:trPr>
        <w:tc>
          <w:tcPr>
            <w:tcW w:w="35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48,688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24,349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26,559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13,282</w:t>
            </w: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21,396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10,700</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42,917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21,463</w:t>
            </w:r>
          </w:p>
        </w:tc>
      </w:tr>
      <w:tr>
        <w:trPr>
          <w:trHeight w:val="216"/>
        </w:trPr>
        <w:tc>
          <w:tcPr>
            <w:tcW w:w="354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70,084</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35,049</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69,476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34,745</w:t>
            </w:r>
          </w:p>
        </w:tc>
      </w:tr>
      <w:tr>
        <w:trPr>
          <w:trHeight w:val="216"/>
        </w:trPr>
        <w:tc>
          <w:tcPr>
            <w:tcW w:w="35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192,140</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64,047</w:t>
            </w:r>
          </w:p>
        </w:tc>
      </w:tr>
      <w:tr>
        <w:trPr>
          <w:trHeight w:val="564"/>
        </w:trPr>
        <w:tc>
          <w:tcPr>
            <w:tcW w:w="354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tables below provide information on our long-term debt.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Hefei</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Xiamen</w:t>
            </w: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2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As of July 31, 2022</w:t>
            </w:r>
          </w:p>
        </w:tc>
        <w:tc>
          <w:tcPr>
            <w:tcW w:w="10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Project Loans</w:t>
            </w:r>
          </w:p>
        </w:tc>
        <w:tc>
          <w:tcPr>
            <w:tcW w:w="120" w:type="dxa"/>
            <w:vAlign w:val="bottom"/>
          </w:tcPr>
          <w:p>
            <w:pPr>
              <w:spacing w:after="0"/>
              <w:rPr>
                <w:sz w:val="21"/>
                <w:szCs w:val="21"/>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Capital Loans</w:t>
            </w:r>
          </w:p>
        </w:tc>
        <w:tc>
          <w:tcPr>
            <w:tcW w:w="100" w:type="dxa"/>
            <w:vAlign w:val="bottom"/>
          </w:tcPr>
          <w:p>
            <w:pPr>
              <w:spacing w:after="0"/>
              <w:rPr>
                <w:sz w:val="21"/>
                <w:szCs w:val="21"/>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Leases</w:t>
            </w:r>
          </w:p>
        </w:tc>
        <w:tc>
          <w:tcPr>
            <w:tcW w:w="200" w:type="dxa"/>
            <w:vAlign w:val="bottom"/>
          </w:tcPr>
          <w:p>
            <w:pPr>
              <w:spacing w:after="0"/>
              <w:rPr>
                <w:sz w:val="21"/>
                <w:szCs w:val="21"/>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4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6,929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10,727</w:t>
            </w:r>
          </w:p>
        </w:tc>
      </w:tr>
      <w:tr>
        <w:trPr>
          <w:trHeight w:val="27"/>
        </w:trPr>
        <w:tc>
          <w:tcPr>
            <w:tcW w:w="4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1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6,585</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10,397</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19,622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29,012</w:t>
            </w: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7,180</w:t>
            </w:r>
          </w:p>
        </w:tc>
      </w:tr>
      <w:tr>
        <w:trPr>
          <w:trHeight w:val="223"/>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26,207</w:t>
            </w:r>
          </w:p>
        </w:tc>
        <w:tc>
          <w:tcPr>
            <w:tcW w:w="3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33,136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57,316</w:t>
            </w:r>
          </w:p>
        </w:tc>
      </w:tr>
      <w:tr>
        <w:trPr>
          <w:trHeight w:val="21"/>
        </w:trPr>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spread on interest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reset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0.00</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76.00</w:t>
            </w:r>
          </w:p>
        </w:tc>
        <w:tc>
          <w:tcPr>
            <w:tcW w:w="1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Quarterly</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Monthly/Annually</w:t>
            </w:r>
          </w:p>
        </w:tc>
        <w:tc>
          <w:tcPr>
            <w:tcW w:w="1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December</w:t>
            </w: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2025</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July 2023</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Paid July 2022</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w w:val="99"/>
              </w:rPr>
              <w:t>Varies as loans</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Increases as loans</w:t>
            </w:r>
          </w:p>
        </w:tc>
        <w:tc>
          <w:tcPr>
            <w:tcW w:w="1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100" w:type="dxa"/>
            <w:vAlign w:val="bottom"/>
          </w:tcPr>
          <w:p>
            <w:pPr>
              <w:spacing w:after="0"/>
              <w:rPr>
                <w:sz w:val="21"/>
                <w:szCs w:val="21"/>
                <w:color w:val="auto"/>
              </w:rPr>
            </w:pPr>
          </w:p>
        </w:tc>
        <w:tc>
          <w:tcPr>
            <w:tcW w:w="1220" w:type="dxa"/>
            <w:vAlign w:val="bottom"/>
          </w:tcPr>
          <w:p>
            <w:pPr>
              <w:jc w:val="center"/>
              <w:ind w:right="210"/>
              <w:spacing w:after="0" w:line="252" w:lineRule="exact"/>
              <w:rPr>
                <w:sz w:val="20"/>
                <w:szCs w:val="20"/>
                <w:color w:val="auto"/>
              </w:rPr>
            </w:pPr>
            <w:r>
              <w:rPr>
                <w:rFonts w:ascii="Times New Roman" w:cs="Times New Roman" w:eastAsia="Times New Roman" w:hAnsi="Times New Roman"/>
                <w:sz w:val="18"/>
                <w:szCs w:val="18"/>
                <w:color w:val="auto"/>
                <w:w w:val="88"/>
              </w:rPr>
              <w:t>mature</w:t>
            </w:r>
            <w:r>
              <w:rPr>
                <w:rFonts w:ascii="Times New Roman" w:cs="Times New Roman" w:eastAsia="Times New Roman" w:hAnsi="Times New Roman"/>
                <w:sz w:val="29"/>
                <w:szCs w:val="29"/>
                <w:color w:val="auto"/>
                <w:w w:val="88"/>
                <w:vertAlign w:val="superscript"/>
              </w:rPr>
              <w:t>(1)(2)</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mature</w:t>
            </w:r>
          </w:p>
        </w:tc>
        <w:tc>
          <w:tcPr>
            <w:tcW w:w="1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8"/>
              </w:rPr>
              <w:t>Semiannual,</w:t>
            </w:r>
          </w:p>
        </w:tc>
        <w:tc>
          <w:tcPr>
            <w:tcW w:w="16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color w:val="auto"/>
              </w:rPr>
              <w:t>on individual</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Semiannual, on</w:t>
            </w:r>
          </w:p>
        </w:tc>
        <w:tc>
          <w:tcPr>
            <w:tcW w:w="1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loans</w:t>
            </w:r>
          </w:p>
        </w:tc>
        <w:tc>
          <w:tcPr>
            <w:tcW w:w="16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individual loans</w:t>
            </w:r>
          </w:p>
        </w:tc>
        <w:tc>
          <w:tcPr>
            <w:tcW w:w="1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rPr>
              <w:t>Monthly</w:t>
            </w:r>
          </w:p>
        </w:tc>
        <w:tc>
          <w:tcPr>
            <w:tcW w:w="0" w:type="dxa"/>
            <w:vAlign w:val="bottom"/>
          </w:tcPr>
          <w:p>
            <w:pPr>
              <w:spacing w:after="0"/>
              <w:rPr>
                <w:sz w:val="1"/>
                <w:szCs w:val="1"/>
                <w:color w:val="auto"/>
              </w:rPr>
            </w:pPr>
          </w:p>
        </w:tc>
      </w:tr>
      <w:tr>
        <w:trPr>
          <w:trHeight w:val="398"/>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79,200</w:t>
            </w: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38,694</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-1500505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-1226185</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-651510</wp:posOffset>
            </wp:positionV>
            <wp:extent cx="7132320" cy="411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3600" w:space="720"/>
            <w:col w:w="6920"/>
          </w:cols>
          <w:pgMar w:left="320" w:top="116" w:right="339" w:bottom="1440" w:gutter="0" w:footer="0" w:header="0"/>
          <w:type w:val="continuous"/>
        </w:sectPr>
      </w:pPr>
    </w:p>
    <w:p>
      <w:pPr>
        <w:ind w:left="340" w:right="40" w:hanging="8"/>
        <w:spacing w:after="0" w:line="208" w:lineRule="auto"/>
        <w:tabs>
          <w:tab w:leader="none" w:pos="552"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During the three-month period ended July 31, 2022, we repaid 26.0 million RMB (approximately $3.9 million) that was due to be paid in December 2023, and 3.0 million RMB (approximately $0.4 million) that was due to be paid in June 2024.</w:t>
      </w:r>
    </w:p>
    <w:p>
      <w:pPr>
        <w:spacing w:after="0" w:line="24" w:lineRule="exact"/>
        <w:rPr>
          <w:rFonts w:ascii="Times New Roman" w:cs="Times New Roman" w:eastAsia="Times New Roman" w:hAnsi="Times New Roman"/>
          <w:sz w:val="28"/>
          <w:szCs w:val="28"/>
          <w:color w:val="auto"/>
          <w:vertAlign w:val="superscript"/>
        </w:rPr>
      </w:pPr>
    </w:p>
    <w:p>
      <w:pPr>
        <w:ind w:left="340" w:right="40" w:hanging="8"/>
        <w:spacing w:after="0" w:line="208" w:lineRule="auto"/>
        <w:tabs>
          <w:tab w:leader="none" w:pos="552"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 September 2022, we repaid the entire $3.8 million shown in the table above as due to be paid in months 13-24, and we repaid approximately $2.3 million of the amount shown in the table above as due to be paid in months 25-36.</w:t>
      </w:r>
    </w:p>
    <w:p>
      <w:pPr>
        <w:spacing w:after="0" w:line="1" w:lineRule="exact"/>
        <w:rPr>
          <w:rFonts w:ascii="Times New Roman" w:cs="Times New Roman" w:eastAsia="Times New Roman" w:hAnsi="Times New Roman"/>
          <w:sz w:val="28"/>
          <w:szCs w:val="28"/>
          <w:color w:val="auto"/>
          <w:vertAlign w:val="superscript"/>
        </w:rPr>
      </w:pPr>
    </w:p>
    <w:p>
      <w:pPr>
        <w:ind w:left="540" w:hanging="208"/>
        <w:spacing w:after="0" w:line="205" w:lineRule="auto"/>
        <w:tabs>
          <w:tab w:leader="none" w:pos="540" w:val="left"/>
        </w:tabs>
        <w:numPr>
          <w:ilvl w:val="0"/>
          <w:numId w:val="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See Note 7 for periodic payment amounts.</w:t>
      </w:r>
    </w:p>
    <w:p>
      <w:pPr>
        <w:spacing w:after="0" w:line="43" w:lineRule="exact"/>
        <w:rPr>
          <w:rFonts w:ascii="Times New Roman" w:cs="Times New Roman" w:eastAsia="Times New Roman" w:hAnsi="Times New Roman"/>
          <w:sz w:val="26"/>
          <w:szCs w:val="26"/>
          <w:color w:val="auto"/>
          <w:vertAlign w:val="superscript"/>
        </w:rPr>
      </w:pPr>
    </w:p>
    <w:p>
      <w:pPr>
        <w:ind w:left="540" w:hanging="208"/>
        <w:spacing w:after="0" w:line="194" w:lineRule="auto"/>
        <w:tabs>
          <w:tab w:leader="none" w:pos="5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61"/>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Xiamen</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Hefei</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Xiamen</w:t>
            </w:r>
          </w:p>
        </w:tc>
        <w:tc>
          <w:tcPr>
            <w:tcW w:w="14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Working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Equipment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29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As of October 31, 2021</w:t>
            </w:r>
          </w:p>
        </w:tc>
        <w:tc>
          <w:tcPr>
            <w:tcW w:w="120" w:type="dxa"/>
            <w:vAlign w:val="bottom"/>
          </w:tcPr>
          <w:p>
            <w:pPr>
              <w:spacing w:after="0"/>
              <w:rPr>
                <w:sz w:val="21"/>
                <w:szCs w:val="21"/>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Project Loans</w:t>
            </w:r>
          </w:p>
        </w:tc>
        <w:tc>
          <w:tcPr>
            <w:tcW w:w="14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Capital Loans</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Loan</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0" w:type="dxa"/>
            <w:vAlign w:val="bottom"/>
          </w:tcPr>
          <w:p>
            <w:pPr>
              <w:spacing w:after="0"/>
              <w:rPr>
                <w:sz w:val="21"/>
                <w:szCs w:val="21"/>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4,694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7,289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22,248</w:t>
            </w:r>
          </w:p>
        </w:tc>
      </w:tr>
      <w:tr>
        <w:trPr>
          <w:trHeight w:val="27"/>
        </w:trPr>
        <w:tc>
          <w:tcPr>
            <w:tcW w:w="10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6,512</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25,281</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6,610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23,145</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17,961</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33,448</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7,572</w:t>
            </w:r>
          </w:p>
        </w:tc>
      </w:tr>
      <w:tr>
        <w:trPr>
          <w:trHeight w:val="27"/>
        </w:trPr>
        <w:tc>
          <w:tcPr>
            <w:tcW w:w="102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16,535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31,083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89,446</w:t>
            </w:r>
          </w:p>
        </w:tc>
      </w:tr>
      <w:tr>
        <w:trPr>
          <w:trHeight w:val="256"/>
        </w:trPr>
        <w:tc>
          <w:tcPr>
            <w:tcW w:w="3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39,891</w:t>
            </w:r>
          </w:p>
        </w:tc>
        <w:tc>
          <w:tcPr>
            <w:tcW w:w="2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38,372</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111,694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at balance sheet date</w:t>
      </w:r>
    </w:p>
    <w:p>
      <w:pPr>
        <w:spacing w:after="0" w:line="36" w:lineRule="exact"/>
        <w:rPr>
          <w:sz w:val="20"/>
          <w:szCs w:val="20"/>
          <w:color w:val="auto"/>
        </w:rPr>
      </w:pPr>
    </w:p>
    <w:p>
      <w:pPr>
        <w:ind w:right="1240"/>
        <w:spacing w:after="0" w:line="282" w:lineRule="auto"/>
        <w:rPr>
          <w:sz w:val="20"/>
          <w:szCs w:val="20"/>
          <w:color w:val="auto"/>
        </w:rPr>
      </w:pPr>
      <w:r>
        <w:rPr>
          <w:rFonts w:ascii="Times New Roman" w:cs="Times New Roman" w:eastAsia="Times New Roman" w:hAnsi="Times New Roman"/>
          <w:sz w:val="18"/>
          <w:szCs w:val="18"/>
          <w:color w:val="auto"/>
        </w:rPr>
        <w:t>Basis spread on interest rates Interest rate reset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amount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Periodic payment frequency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collateral (carrying amount)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 - 4.61%</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0.00</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67.75 - 76.00</w:t>
            </w:r>
          </w:p>
        </w:tc>
        <w:tc>
          <w:tcPr>
            <w:tcW w:w="24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(45.00)</w:t>
            </w:r>
          </w:p>
        </w:tc>
        <w:tc>
          <w:tcPr>
            <w:tcW w:w="400" w:type="dxa"/>
            <w:vAlign w:val="bottom"/>
          </w:tcPr>
          <w:p>
            <w:pPr>
              <w:spacing w:after="0"/>
              <w:rPr>
                <w:sz w:val="18"/>
                <w:szCs w:val="18"/>
                <w:color w:val="auto"/>
              </w:rPr>
            </w:pPr>
          </w:p>
        </w:tc>
        <w:tc>
          <w:tcPr>
            <w:tcW w:w="9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Quarterly</w:t>
            </w:r>
          </w:p>
        </w:tc>
        <w:tc>
          <w:tcPr>
            <w:tcW w:w="1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Monthly/Annually</w:t>
            </w:r>
          </w:p>
        </w:tc>
        <w:tc>
          <w:tcPr>
            <w:tcW w:w="240" w:type="dxa"/>
            <w:vAlign w:val="bottom"/>
          </w:tcPr>
          <w:p>
            <w:pPr>
              <w:spacing w:after="0"/>
              <w:rPr>
                <w:sz w:val="18"/>
                <w:szCs w:val="18"/>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Annually</w:t>
            </w:r>
          </w:p>
        </w:tc>
        <w:tc>
          <w:tcPr>
            <w:tcW w:w="400" w:type="dxa"/>
            <w:vAlign w:val="bottom"/>
          </w:tcPr>
          <w:p>
            <w:pPr>
              <w:spacing w:after="0"/>
              <w:rPr>
                <w:sz w:val="18"/>
                <w:szCs w:val="18"/>
                <w:color w:val="auto"/>
              </w:rPr>
            </w:pPr>
          </w:p>
        </w:tc>
        <w:tc>
          <w:tcPr>
            <w:tcW w:w="92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December</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2025</w:t>
            </w: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July 2023</w:t>
            </w:r>
          </w:p>
        </w:tc>
        <w:tc>
          <w:tcPr>
            <w:tcW w:w="146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98"/>
              </w:rPr>
              <w:t>September 2025</w:t>
            </w: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7"/>
              </w:rPr>
              <w:t>Varies as loans</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Increases as loans</w:t>
            </w:r>
          </w:p>
        </w:tc>
        <w:tc>
          <w:tcPr>
            <w:tcW w:w="240" w:type="dxa"/>
            <w:vAlign w:val="bottom"/>
          </w:tcPr>
          <w:p>
            <w:pPr>
              <w:spacing w:after="0"/>
              <w:rPr>
                <w:sz w:val="18"/>
                <w:szCs w:val="18"/>
                <w:color w:val="auto"/>
              </w:rPr>
            </w:pPr>
          </w:p>
        </w:tc>
        <w:tc>
          <w:tcPr>
            <w:tcW w:w="122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color w:val="auto"/>
                <w:w w:val="89"/>
              </w:rPr>
              <w:t>Varies</w:t>
            </w:r>
            <w:r>
              <w:rPr>
                <w:rFonts w:ascii="Times New Roman" w:cs="Times New Roman" w:eastAsia="Times New Roman" w:hAnsi="Times New Roman"/>
                <w:sz w:val="29"/>
                <w:szCs w:val="29"/>
                <w:color w:val="auto"/>
                <w:w w:val="89"/>
                <w:vertAlign w:val="superscript"/>
              </w:rPr>
              <w:t>(1)</w:t>
            </w:r>
          </w:p>
        </w:tc>
        <w:tc>
          <w:tcPr>
            <w:tcW w:w="40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mature</w:t>
            </w:r>
          </w:p>
        </w:tc>
        <w:tc>
          <w:tcPr>
            <w:tcW w:w="17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mature</w:t>
            </w: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Semiannual,</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color w:val="auto"/>
                <w:w w:val="98"/>
              </w:rPr>
              <w:t>on individual</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Semiannual, on</w:t>
            </w:r>
          </w:p>
        </w:tc>
        <w:tc>
          <w:tcPr>
            <w:tcW w:w="1460" w:type="dxa"/>
            <w:vAlign w:val="bottom"/>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4"/>
              </w:rPr>
              <w:t>Semiannual</w:t>
            </w:r>
            <w:r>
              <w:rPr>
                <w:rFonts w:ascii="Times New Roman" w:cs="Times New Roman" w:eastAsia="Times New Roman" w:hAnsi="Times New Roman"/>
                <w:sz w:val="29"/>
                <w:szCs w:val="29"/>
                <w:color w:val="auto"/>
                <w:w w:val="94"/>
                <w:vertAlign w:val="superscript"/>
              </w:rPr>
              <w:t>(1)</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26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loans</w:t>
            </w:r>
          </w:p>
        </w:tc>
        <w:tc>
          <w:tcPr>
            <w:tcW w:w="17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individual loans</w:t>
            </w:r>
          </w:p>
        </w:tc>
        <w:tc>
          <w:tcPr>
            <w:tcW w:w="1460" w:type="dxa"/>
            <w:vAlign w:val="bottom"/>
            <w:gridSpan w:val="2"/>
            <w:vMerge w:val="continue"/>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Monthly</w:t>
            </w:r>
          </w:p>
        </w:tc>
        <w:tc>
          <w:tcPr>
            <w:tcW w:w="0" w:type="dxa"/>
            <w:vAlign w:val="bottom"/>
          </w:tcPr>
          <w:p>
            <w:pPr>
              <w:spacing w:after="0"/>
              <w:rPr>
                <w:sz w:val="1"/>
                <w:szCs w:val="1"/>
                <w:color w:val="auto"/>
              </w:rPr>
            </w:pPr>
          </w:p>
        </w:tc>
      </w:tr>
      <w:tr>
        <w:trPr>
          <w:trHeight w:val="3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90,096</w:t>
            </w: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86,487</w:t>
            </w: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40,826</w:t>
            </w:r>
            <w:r>
              <w:rPr>
                <w:rFonts w:ascii="Times New Roman" w:cs="Times New Roman" w:eastAsia="Times New Roman" w:hAnsi="Times New Roman"/>
                <w:sz w:val="29"/>
                <w:szCs w:val="29"/>
                <w:color w:val="auto"/>
                <w:vertAlign w:val="superscript"/>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-1637665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-1337310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-925830</wp:posOffset>
            </wp:positionV>
            <wp:extent cx="7132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-240030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3340" w:space="720"/>
            <w:col w:w="7180"/>
          </w:cols>
          <w:pgMar w:left="320" w:top="114" w:right="339" w:bottom="1440" w:gutter="0" w:footer="0" w:header="0"/>
          <w:type w:val="continuous"/>
        </w:sectPr>
      </w:pPr>
    </w:p>
    <w:p>
      <w:pPr>
        <w:jc w:val="both"/>
        <w:ind w:left="340" w:right="160" w:hanging="8"/>
        <w:spacing w:after="0" w:line="224" w:lineRule="auto"/>
        <w:tabs>
          <w:tab w:leader="none" w:pos="552" w:val="left"/>
        </w:tabs>
        <w:numPr>
          <w:ilvl w:val="0"/>
          <w:numId w:val="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First five semiannual loan repayments were each to be for 7.5 percent of the approved 200 million RMB loan principal; last five installments were each to be for 12.5 percent of the approved loan principal. We repaid our entire outstanding balance on this loan in July 2022, and did not extend our credit agreement with the lender. The collateral associated with this loan has been released.</w:t>
      </w:r>
    </w:p>
    <w:p>
      <w:pPr>
        <w:ind w:left="560" w:hanging="228"/>
        <w:spacing w:after="0" w:line="184" w:lineRule="auto"/>
        <w:tabs>
          <w:tab w:leader="none" w:pos="56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See Note 7 for interest rates on lease liabilities, maturity dates, and periodic payment amounts.</w:t>
      </w:r>
    </w:p>
    <w:p>
      <w:pPr>
        <w:spacing w:after="0" w:line="42" w:lineRule="exact"/>
        <w:rPr>
          <w:rFonts w:ascii="Times New Roman" w:cs="Times New Roman" w:eastAsia="Times New Roman" w:hAnsi="Times New Roman"/>
          <w:sz w:val="29"/>
          <w:szCs w:val="29"/>
          <w:color w:val="auto"/>
          <w:vertAlign w:val="superscript"/>
        </w:rPr>
      </w:pPr>
    </w:p>
    <w:p>
      <w:pPr>
        <w:ind w:left="560" w:hanging="228"/>
        <w:spacing w:after="0" w:line="194" w:lineRule="auto"/>
        <w:tabs>
          <w:tab w:leader="none" w:pos="5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the carrying amount at the balance sheet date of the related ROU assets, in which the lessors have secured interests.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Project Loans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In November 2018, PDMCX obtained approval to borrow 345.0 million RMB from the Industrial and Commercial Bank of China. From November 2018 through July 2020, PDMCX entered into separate loan agreements (the “Project Loans”) for the entire approved amount and, as of July 31, 2022, 137.4 million RMB ($20.4 million) remained outstanding. The Project Loans were used to finance certain capital expenditures at the PDMCX facility and are collateralized by liens granted on the land use right, building, and certain equipment located at the facility. The interest rates on the Project Loans are variable (based on the RMB Loan Prime Rate of the National Interbank Funding Center), and interest incurred on the loans was eligible for reimbursement through incentives provided by the Xiamen Torch Hi-Tech Industrial Development Zone, which provide for such reimbursements up to a prescribed limit and duration. The Project Loans are subject to covenants and provisions, certain of which relate to the assets pledged as security for the loans, all of which we were in compliance with at July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October 2022. As of July 31, 2022, PDMCX had 25.6 million RMB ($3.8 million) outstanding against the approval. The interest rates are variable, based on the RMB Loan Prime Rate of the National Interbank Funding Center. Interest incurred on the loans is eligible for reimbursement through incentives provided by the Xiamen Torch Hi-Tech Industrial Development Zone, which provided for such reimbursements up to a prescribed limit and duration.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Hefei Equipment Loan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October 2020, our Hefei, China, facility was approved to borrow 200 million RMB from the China Construction Bank Corporation. In July 2022, we repaid our entire outstanding balance of 120.7 million RMB ($18.0 million). This credit facility was subject to annual reviews and extension, the most recent of which expired in August 2022; we did not apply for an extension. The loan proceeds were used to fund purchases of two lithography tools at the Hefei facility. The interest rate on the loan was variable and based on the RMB Loan Prime Rate of the National Interbank Funding Center. The borrowings were secured by the Hefei facility, its related land use right, and certain manufacturing equipment. The Hefei Equipment Loan was subject to covenants and provisions, certain of which related to the assets pledged as security for the loan, including covenants for the ratio of total liabilities to total assets and the ratio of current assets to current liabilities, all of which we were in compliance with at the time of repayment.</w:t>
      </w:r>
    </w:p>
    <w:p>
      <w:pPr>
        <w:sectPr>
          <w:pgSz w:w="11900" w:h="16838" w:orient="portrait"/>
          <w:cols w:equalWidth="0" w:num="1">
            <w:col w:w="11240"/>
          </w:cols>
          <w:pgMar w:left="320" w:top="114" w:right="339" w:bottom="1440" w:gutter="0" w:footer="0" w:header="0"/>
          <w:type w:val="continuous"/>
        </w:sectPr>
      </w:pPr>
    </w:p>
    <w:p>
      <w:pPr>
        <w:spacing w:after="0" w:line="3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 w:name="page16"/>
    <w:bookmarkEnd w:id="15"/>
    <w:p>
      <w:pPr>
        <w:ind w:left="34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and, in December 2020, we entered into a $35.5 million lease for a high-end lithography tool. See Note 7 for additional information on these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Agreement</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September 2018, we entered into a five-year amended and restated credit agreement (the “Credit Agreement”), which has a $50 million borrowing limit, with an expansion capacity to $100 million. The Credit Agreement is secured by substantially all of our assets located in the United States and common stock we own in certain subsidiaries. The Credit Agreement includes covenants around minimum interest coverage ratio, total leverage ratio, and minimum unrestricted cash balance (all of which we were in compliance with at July 31, 2022), and limits the amount of cash dividends, distributions, and redemptions we can pay on our common stock to an aggregate annual amount of $50 million. We had no outstanding borrowings against the Credit Agreement at July 31, 2022. The interest rate on the Credit Agreement (3.36% at July 31, 2022) is based on our total leverage ratio at one-month LIBOR plus a spread, as defined in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REVENUE</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 or nine-month periods ended July 31, 2022, or August 1, 2021.</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 w:right="3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4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5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contract balances at the balance sheet dates.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5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392"/>
        </w:trPr>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9,859</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24,950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14,717</w:t>
            </w:r>
          </w:p>
        </w:tc>
      </w:tr>
      <w:tr>
        <w:trPr>
          <w:trHeight w:val="223"/>
        </w:trPr>
        <w:tc>
          <w:tcPr>
            <w:tcW w:w="85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19,914</w:t>
            </w:r>
          </w:p>
        </w:tc>
      </w:tr>
      <w:tr>
        <w:trPr>
          <w:trHeight w:val="27"/>
        </w:trPr>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 liabilities that existed at the beginning of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r>
    </w:tbl>
    <w:p>
      <w:pPr>
        <w:spacing w:after="0" w:line="198" w:lineRule="exact"/>
        <w:rPr>
          <w:sz w:val="20"/>
          <w:szCs w:val="20"/>
          <w:color w:val="auto"/>
        </w:rPr>
      </w:pPr>
    </w:p>
    <w:p>
      <w:pPr>
        <w:jc w:val="both"/>
        <w:ind w:right="120" w:firstLine="324"/>
        <w:spacing w:after="0" w:line="258" w:lineRule="auto"/>
        <w:rPr>
          <w:sz w:val="20"/>
          <w:szCs w:val="20"/>
          <w:color w:val="auto"/>
        </w:rPr>
      </w:pPr>
      <w:r>
        <w:rPr>
          <w:rFonts w:ascii="Times New Roman" w:cs="Times New Roman" w:eastAsia="Times New Roman" w:hAnsi="Times New Roman"/>
          <w:sz w:val="18"/>
          <w:szCs w:val="18"/>
          <w:color w:val="auto"/>
        </w:rPr>
        <w:t>We generally record our accounts receivable at their billed amounts. All outstanding past due customer invoices are reviewed for collectibility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did not incur any credit losses on our accounts receivable during the three or nine-month periods ended July 31, 2022, or August 1, 2021.</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invoice terms generally range from net 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collectibility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three and nine-month periods ended July 31, 2022, and August 1, 2021,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75"/>
        </w:trPr>
        <w:tc>
          <w:tcPr>
            <w:tcW w:w="598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6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IC</w:t>
            </w:r>
          </w:p>
        </w:tc>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8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52,698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150,983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120,390</w:t>
            </w:r>
          </w:p>
        </w:tc>
      </w:tr>
      <w:tr>
        <w:trPr>
          <w:trHeight w:val="223"/>
        </w:trPr>
        <w:tc>
          <w:tcPr>
            <w:tcW w:w="160" w:type="dxa"/>
            <w:vAlign w:val="bottom"/>
          </w:tcPr>
          <w:p>
            <w:pPr>
              <w:spacing w:after="0"/>
              <w:rPr>
                <w:sz w:val="19"/>
                <w:szCs w:val="19"/>
                <w:color w:val="auto"/>
              </w:rPr>
            </w:pPr>
          </w:p>
        </w:tc>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75,423</w:t>
            </w:r>
          </w:p>
        </w:tc>
        <w:tc>
          <w:tcPr>
            <w:tcW w:w="180" w:type="dxa"/>
            <w:vAlign w:val="bottom"/>
          </w:tcPr>
          <w:p>
            <w:pPr>
              <w:spacing w:after="0"/>
              <w:rPr>
                <w:sz w:val="19"/>
                <w:szCs w:val="19"/>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285,829</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214,332</w:t>
            </w: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6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161,253</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436,812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1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w w:val="90"/>
              </w:rPr>
              <w:t>FPD</w:t>
            </w:r>
          </w:p>
        </w:tc>
        <w:tc>
          <w:tcPr>
            <w:tcW w:w="5480" w:type="dxa"/>
            <w:vAlign w:val="bottom"/>
            <w:tcBorders>
              <w:bottom w:val="single" w:sz="8" w:color="CCEEFF"/>
            </w:tcBorders>
            <w:gridSpan w:val="2"/>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160" w:type="dxa"/>
            <w:vAlign w:val="bottom"/>
          </w:tcPr>
          <w:p>
            <w:pPr>
              <w:spacing w:after="0"/>
              <w:rPr>
                <w:sz w:val="18"/>
                <w:szCs w:val="18"/>
                <w:color w:val="auto"/>
              </w:rPr>
            </w:pPr>
          </w:p>
        </w:tc>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50,693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143,579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114,685</w:t>
            </w:r>
          </w:p>
        </w:tc>
      </w:tr>
      <w:tr>
        <w:trPr>
          <w:trHeight w:val="216"/>
        </w:trPr>
        <w:tc>
          <w:tcPr>
            <w:tcW w:w="160" w:type="dxa"/>
            <w:vAlign w:val="bottom"/>
            <w:shd w:val="clear" w:color="auto" w:fill="CCEEFF"/>
          </w:tcPr>
          <w:p>
            <w:pPr>
              <w:spacing w:after="0"/>
              <w:rPr>
                <w:sz w:val="18"/>
                <w:szCs w:val="18"/>
                <w:color w:val="auto"/>
              </w:rPr>
            </w:pPr>
          </w:p>
        </w:tc>
        <w:tc>
          <w:tcPr>
            <w:tcW w:w="58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33,892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33,066</w:t>
            </w:r>
          </w:p>
        </w:tc>
      </w:tr>
      <w:tr>
        <w:trPr>
          <w:trHeight w:val="27"/>
        </w:trPr>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58,695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177,471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147,751</w:t>
            </w:r>
          </w:p>
        </w:tc>
      </w:tr>
      <w:tr>
        <w:trPr>
          <w:trHeight w:val="257"/>
        </w:trPr>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4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5"/>
              </w:rPr>
              <w:t>614,283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100" w:type="dxa"/>
            <w:vAlign w:val="bottom"/>
          </w:tcPr>
          <w:p>
            <w:pPr>
              <w:spacing w:after="0"/>
              <w:rPr>
                <w:sz w:val="16"/>
                <w:szCs w:val="16"/>
                <w:color w:val="auto"/>
              </w:rPr>
            </w:pPr>
          </w:p>
        </w:tc>
      </w:t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176"/>
        </w:trPr>
        <w:tc>
          <w:tcPr>
            <w:tcW w:w="5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5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179,441</w:t>
            </w: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60,524</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32,664</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160,169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77,391</w:t>
            </w: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37,895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39,575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118,178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118,597</w:t>
            </w:r>
          </w:p>
        </w:tc>
      </w:tr>
      <w:tr>
        <w:trPr>
          <w:trHeight w:val="216"/>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34,685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24,693</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92,196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78,447</w:t>
            </w: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9,437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27,352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27,269</w:t>
            </w: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2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August 1,</w:t>
            </w:r>
          </w:p>
        </w:tc>
        <w:tc>
          <w:tcPr>
            <w:tcW w:w="100" w:type="dxa"/>
            <w:vAlign w:val="bottom"/>
          </w:tcPr>
          <w:p>
            <w:pPr>
              <w:spacing w:after="0"/>
              <w:rPr>
                <w:sz w:val="16"/>
                <w:szCs w:val="16"/>
                <w:color w:val="auto"/>
              </w:rPr>
            </w:pPr>
          </w:p>
        </w:tc>
      </w:tr>
      <w:tr>
        <w:trPr>
          <w:trHeight w:val="245"/>
        </w:trPr>
        <w:tc>
          <w:tcPr>
            <w:tcW w:w="2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1"/>
                <w:szCs w:val="21"/>
                <w:color w:val="auto"/>
              </w:rPr>
            </w:pPr>
          </w:p>
        </w:tc>
      </w:tr>
      <w:tr>
        <w:trPr>
          <w:trHeight w:val="175"/>
        </w:trPr>
        <w:tc>
          <w:tcPr>
            <w:tcW w:w="5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5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7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202,693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565,726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443,923</w:t>
            </w:r>
          </w:p>
        </w:tc>
      </w:tr>
      <w:tr>
        <w:trPr>
          <w:trHeight w:val="223"/>
        </w:trPr>
        <w:tc>
          <w:tcPr>
            <w:tcW w:w="5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17,255</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12,702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48,557</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38,550</w:t>
            </w:r>
          </w:p>
        </w:tc>
      </w:tr>
      <w:tr>
        <w:trPr>
          <w:trHeight w:val="256"/>
        </w:trPr>
        <w:tc>
          <w:tcPr>
            <w:tcW w:w="25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219,948</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170,643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614,283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18</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25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one to twenty-four months. We warrant that our photomasks conform to customer specifications and will typically repair, replace, or issue a refund (at our option) for any photomasks that fail to do so. The warranties do not represent separate performance obligations in our revenue contracts. Historically, customer claims under warranties have been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involvement in lease arrangements has typically been as a lessee. We determine if an agreement is or contains a lease on the earlier of the date of the agreement or the date on which we commit to entering the agreement. Our evaluation considers whether the agreement includes an identified asset and whether it affords us the right to control the asset. Our having the right to control an identified asset is determined by whether we are entitled to substantially all of its economic benefits and can direct its use.</w:t>
      </w:r>
    </w:p>
    <w:p>
      <w:pPr>
        <w:spacing w:after="0" w:line="180"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recognize leases on our consolidated balance sheet when a lessor makes an asset underlying a lease having a term in excess of twelve months available for our use. As allowed under ASC Topic 842 – “Leases” (“Topic 842”), we have elected not to apply the recognition requirements to leases that, at their commencement dates, have lease terms of twelve months or less and do not include options to purchase their underlying assets that we are reasonably certain to exercise. The present value of lease payments over the term of the lease provides the basis for the initial measurement of ROU assets and their related lease liabilities. We measure finance lease liabilities using the rates implicit in the leases; operating lease liabilities are measured using our incremental borrowing rates, for collateralized loans, at the commencement date. Variable lease payments, other than those that are dependent on an index or on a rate (at which they are measured on their commencement dates), are not included in the measurement of ROU assets and their related lease liabilities. Lease terms include extension periods if the lease agreement includes an option to extend the lease that we are reasonably certain to exercise. As allowed under Topic 842, we have elected, for all classes of assets, the practical expedient to not separate lease components of a contract from nonlease components of a contract.</w:t>
      </w:r>
    </w:p>
    <w:p>
      <w:pPr>
        <w:spacing w:after="0" w:line="194"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Corporate Credit Agreement, which are detailed in Note 5, and includes a cross-default provision for any agreement or instrument with an outstanding, committed balance greater than $5.0 million in which we are the indebted party.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540" w:type="dxa"/>
            <w:vAlign w:val="bottom"/>
            <w:gridSpan w:val="5"/>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88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on operating and finance leases included in our consolidated balance sheets.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5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391"/>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ROU Assets – Operating Leases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5,581</w:t>
            </w: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85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ROU Assets – Finance Leases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020" w:type="dxa"/>
            <w:vAlign w:val="bottom"/>
            <w:tcBorders>
              <w:top w:val="single" w:sz="8" w:color="auto"/>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40,827</w:t>
            </w:r>
          </w:p>
        </w:tc>
      </w:tr>
      <w:tr>
        <w:trPr>
          <w:trHeight w:val="216"/>
        </w:trPr>
        <w:tc>
          <w:tcPr>
            <w:tcW w:w="1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5"/>
        </w:trPr>
        <w:tc>
          <w:tcPr>
            <w:tcW w:w="856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Operating Leases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5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2,273</w:t>
            </w:r>
          </w:p>
        </w:tc>
      </w:tr>
      <w:tr>
        <w:trPr>
          <w:trHeight w:val="223"/>
        </w:trPr>
        <w:tc>
          <w:tcPr>
            <w:tcW w:w="856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3,246</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5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Lease Liabilities – Finance Leases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i w:val="1"/>
                <w:iCs w:val="1"/>
                <w:color w:val="auto"/>
              </w:rPr>
              <w:t>Current portion of long-term debt</w:t>
            </w:r>
          </w:p>
        </w:tc>
        <w:tc>
          <w:tcPr>
            <w:tcW w:w="608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7,289</w:t>
            </w:r>
          </w:p>
        </w:tc>
      </w:tr>
      <w:tr>
        <w:trPr>
          <w:trHeight w:val="223"/>
        </w:trPr>
        <w:tc>
          <w:tcPr>
            <w:tcW w:w="8560" w:type="dxa"/>
            <w:vAlign w:val="bottom"/>
            <w:tcBorders>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26,207</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38,372</w:t>
            </w:r>
          </w:p>
        </w:tc>
      </w:tr>
      <w:tr>
        <w:trPr>
          <w:trHeight w:val="21"/>
        </w:trPr>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323"/>
        <w:spacing w:after="0" w:line="282" w:lineRule="auto"/>
        <w:rPr>
          <w:sz w:val="20"/>
          <w:szCs w:val="20"/>
          <w:color w:val="auto"/>
        </w:rPr>
      </w:pPr>
      <w:r>
        <w:rPr>
          <w:rFonts w:ascii="Times New Roman" w:cs="Times New Roman" w:eastAsia="Times New Roman" w:hAnsi="Times New Roman"/>
          <w:sz w:val="18"/>
          <w:szCs w:val="18"/>
          <w:color w:val="auto"/>
        </w:rPr>
        <w:t>The following table presents future lease payments under noncancelable operating and finance leases as of July 31, 2022. Imputed interest represents the difference between undiscounted cash flows and discounted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0" w:type="dxa"/>
            <w:vAlign w:val="bottom"/>
          </w:tcPr>
          <w:p>
            <w:pPr>
              <w:spacing w:after="0"/>
              <w:rPr>
                <w:sz w:val="21"/>
                <w:szCs w:val="21"/>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2022</w:t>
            </w: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6,938</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3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18,013</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3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34,102</w:t>
            </w:r>
          </w:p>
        </w:tc>
        <w:tc>
          <w:tcPr>
            <w:tcW w:w="100" w:type="dxa"/>
            <w:vAlign w:val="bottom"/>
            <w:shd w:val="clear" w:color="auto" w:fill="CCEEFF"/>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5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r>
      <w:tr>
        <w:trPr>
          <w:trHeight w:val="256"/>
        </w:trPr>
        <w:tc>
          <w:tcPr>
            <w:tcW w:w="8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lease costs for the three and nine-month periods ended July 31, 2022, and August 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40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543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costs</w:t>
            </w:r>
          </w:p>
        </w:tc>
        <w:tc>
          <w:tcPr>
            <w:tcW w:w="2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2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on finance lease liabilities</w:t>
            </w:r>
          </w:p>
        </w:tc>
        <w:tc>
          <w:tcPr>
            <w:tcW w:w="21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21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r>
      <w:tr>
        <w:trPr>
          <w:trHeight w:val="571"/>
        </w:trPr>
        <w:tc>
          <w:tcPr>
            <w:tcW w:w="4000" w:type="dxa"/>
            <w:vAlign w:val="bottom"/>
          </w:tcPr>
          <w:p>
            <w:pPr>
              <w:spacing w:after="0"/>
              <w:rPr>
                <w:sz w:val="24"/>
                <w:szCs w:val="24"/>
                <w:color w:val="auto"/>
              </w:rPr>
            </w:pPr>
          </w:p>
        </w:tc>
        <w:tc>
          <w:tcPr>
            <w:tcW w:w="1980" w:type="dxa"/>
            <w:vAlign w:val="bottom"/>
          </w:tcPr>
          <w:p>
            <w:pPr>
              <w:jc w:val="right"/>
              <w:ind w:right="194"/>
              <w:spacing w:after="0"/>
              <w:rPr>
                <w:sz w:val="20"/>
                <w:szCs w:val="20"/>
                <w:color w:val="auto"/>
              </w:rPr>
            </w:pPr>
            <w:r>
              <w:rPr>
                <w:rFonts w:ascii="Times New Roman" w:cs="Times New Roman" w:eastAsia="Times New Roman" w:hAnsi="Times New Roman"/>
                <w:sz w:val="14"/>
                <w:szCs w:val="14"/>
                <w:color w:val="auto"/>
              </w:rPr>
              <w:t>20</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0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statistical information related to our operating and finance leases. The information presented is as of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31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4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2980" w:type="dxa"/>
            <w:vAlign w:val="bottom"/>
            <w:tcBorders>
              <w:bottom w:val="single" w:sz="8" w:color="auto"/>
            </w:tcBorders>
            <w:gridSpan w:val="3"/>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194"/>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 lease</w:t>
            </w: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 lease</w:t>
            </w:r>
          </w:p>
        </w:tc>
        <w:tc>
          <w:tcPr>
            <w:tcW w:w="1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r>
      <w:tr>
        <w:trPr>
          <w:trHeight w:val="245"/>
        </w:trPr>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26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(in years)</w:t>
            </w:r>
          </w:p>
        </w:tc>
        <w:tc>
          <w:tcPr>
            <w:tcW w:w="2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discount rate</w:t>
            </w:r>
          </w:p>
        </w:tc>
        <w:tc>
          <w:tcPr>
            <w:tcW w:w="160" w:type="dxa"/>
            <w:vAlign w:val="bottom"/>
          </w:tcPr>
          <w:p>
            <w:pPr>
              <w:spacing w:after="0"/>
              <w:rPr>
                <w:sz w:val="21"/>
                <w:szCs w:val="21"/>
                <w:color w:val="auto"/>
              </w:rPr>
            </w:pPr>
          </w:p>
        </w:tc>
      </w:tr>
      <w:tr>
        <w:trPr>
          <w:trHeight w:val="216"/>
        </w:trPr>
        <w:tc>
          <w:tcPr>
            <w:tcW w:w="486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1640" w:type="dxa"/>
            <w:vAlign w:val="bottom"/>
            <w:gridSpan w:val="2"/>
          </w:tcPr>
          <w:p>
            <w:pPr>
              <w:spacing w:after="0"/>
              <w:rPr>
                <w:sz w:val="18"/>
                <w:szCs w:val="18"/>
                <w:color w:val="auto"/>
              </w:rPr>
            </w:pPr>
          </w:p>
        </w:tc>
        <w:tc>
          <w:tcPr>
            <w:tcW w:w="160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effects of leases on our condensed consolidated statements of cash flows, and provides leases-related non-cash information for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used for finance leases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operating lease obligations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assets obtained in exchange for finance lease obligations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is four million shares.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 and nine-month periods ended July 31, 2022, and August 1, 2021.</w:t>
      </w:r>
    </w:p>
    <w:p>
      <w:pPr>
        <w:spacing w:after="0" w:line="37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340" w:type="dxa"/>
            <w:vAlign w:val="bottom"/>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4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432"/>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3,380</w:t>
            </w:r>
          </w:p>
        </w:tc>
      </w:tr>
      <w:tr>
        <w:trPr>
          <w:trHeight w:val="216"/>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7"/>
        </w:trPr>
        <w:tc>
          <w:tcPr>
            <w:tcW w:w="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4,034</w:t>
            </w:r>
          </w:p>
        </w:tc>
      </w:tr>
      <w:tr>
        <w:trPr>
          <w:trHeight w:val="21"/>
        </w:trPr>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3,703</w:t>
            </w:r>
          </w:p>
        </w:tc>
      </w:tr>
      <w:tr>
        <w:trPr>
          <w:trHeight w:val="216"/>
        </w:trPr>
        <w:tc>
          <w:tcPr>
            <w:tcW w:w="59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59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43"/>
        </w:trPr>
        <w:tc>
          <w:tcPr>
            <w:tcW w:w="340" w:type="dxa"/>
            <w:vAlign w:val="bottom"/>
            <w:tcBorders>
              <w:top w:val="single" w:sz="8" w:color="CCEEFF"/>
            </w:tcBorders>
          </w:tcPr>
          <w:p>
            <w:pPr>
              <w:spacing w:after="0"/>
              <w:rPr>
                <w:sz w:val="21"/>
                <w:szCs w:val="21"/>
                <w:color w:val="auto"/>
              </w:rPr>
            </w:pPr>
          </w:p>
        </w:tc>
        <w:tc>
          <w:tcPr>
            <w:tcW w:w="1000" w:type="dxa"/>
            <w:vAlign w:val="bottom"/>
            <w:tcBorders>
              <w:top w:val="single" w:sz="8" w:color="CCEEFF"/>
            </w:tcBorders>
          </w:tcPr>
          <w:p>
            <w:pPr>
              <w:spacing w:after="0"/>
              <w:rPr>
                <w:sz w:val="21"/>
                <w:szCs w:val="21"/>
                <w:color w:val="auto"/>
              </w:rPr>
            </w:pPr>
          </w:p>
        </w:tc>
        <w:tc>
          <w:tcPr>
            <w:tcW w:w="46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r>
      <w:tr>
        <w:trPr>
          <w:trHeight w:val="257"/>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4,034</w:t>
            </w:r>
          </w:p>
        </w:tc>
      </w:tr>
      <w:tr>
        <w:trPr>
          <w:trHeight w:val="209"/>
        </w:trPr>
        <w:tc>
          <w:tcPr>
            <w:tcW w:w="3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34"/>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 cost capitalized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 and nine-month periods ended July 31, 2022, and August 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556,200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15.95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916,554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973,309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916,554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973,309</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the three and nine-month periods ended July 31, 2022, and August 1, 2021.</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10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option exercised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1,922</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8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July 31, 2022,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82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Pr>
          <w:p>
            <w:pPr>
              <w:spacing w:after="0"/>
              <w:rPr>
                <w:sz w:val="21"/>
                <w:szCs w:val="21"/>
                <w:color w:val="auto"/>
              </w:rPr>
            </w:pPr>
          </w:p>
        </w:tc>
        <w:tc>
          <w:tcPr>
            <w:tcW w:w="15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626,001</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9.75</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8,803</w:t>
            </w:r>
          </w:p>
        </w:tc>
      </w:tr>
      <w:tr>
        <w:trPr>
          <w:trHeight w:val="234"/>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July 31, 2022</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601,775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8,463</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 The table below sets forth the primary reasons that our effective income tax rates differed from the U.S. statutory tax rates in effect during the three and nine-month periods ended July 31, 2022, and August 1, 2021.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Photronics</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2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Effective Tax</w:t>
            </w:r>
          </w:p>
        </w:tc>
        <w:tc>
          <w:tcPr>
            <w:tcW w:w="10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45"/>
        </w:trPr>
        <w:tc>
          <w:tcPr>
            <w:tcW w:w="432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Tax Rates</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00" w:type="dxa"/>
            <w:vAlign w:val="bottom"/>
          </w:tcPr>
          <w:p>
            <w:pPr>
              <w:spacing w:after="0"/>
              <w:rPr>
                <w:sz w:val="21"/>
                <w:szCs w:val="21"/>
                <w:color w:val="auto"/>
              </w:rPr>
            </w:pPr>
          </w:p>
        </w:tc>
        <w:tc>
          <w:tcPr>
            <w:tcW w:w="43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4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4440" w:type="dxa"/>
            <w:vAlign w:val="bottom"/>
            <w:gridSpan w:val="2"/>
          </w:tcPr>
          <w:p>
            <w:pPr>
              <w:spacing w:after="0"/>
              <w:rPr>
                <w:sz w:val="18"/>
                <w:szCs w:val="18"/>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July 31, 2022</w:t>
            </w:r>
          </w:p>
        </w:tc>
        <w:tc>
          <w:tcPr>
            <w:tcW w:w="12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124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8"/>
              </w:rPr>
              <w:t>26.9%</w:t>
            </w:r>
          </w:p>
        </w:tc>
        <w:tc>
          <w:tcPr>
            <w:tcW w:w="4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rates in non-U.S. jurisdictions; and the establishment of</w:t>
            </w:r>
          </w:p>
        </w:tc>
      </w:tr>
      <w:tr>
        <w:trPr>
          <w:trHeight w:val="234"/>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uncertain tax positions in non-U.S. jurisdiction.</w:t>
            </w:r>
          </w:p>
        </w:tc>
      </w:tr>
      <w:tr>
        <w:trPr>
          <w:trHeight w:val="216"/>
        </w:trPr>
        <w:tc>
          <w:tcPr>
            <w:tcW w:w="4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4440" w:type="dxa"/>
            <w:vAlign w:val="bottom"/>
            <w:gridSpan w:val="2"/>
          </w:tcPr>
          <w:p>
            <w:pPr>
              <w:spacing w:after="0"/>
              <w:rPr>
                <w:sz w:val="18"/>
                <w:szCs w:val="18"/>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August 1, 2021</w:t>
            </w:r>
          </w:p>
        </w:tc>
        <w:tc>
          <w:tcPr>
            <w:tcW w:w="12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124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8"/>
              </w:rPr>
              <w:t>24.4%</w:t>
            </w:r>
          </w:p>
        </w:tc>
        <w:tc>
          <w:tcPr>
            <w:tcW w:w="4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Changes in forecasted jurisdictional earnings; benefits of</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credits in certain foreign jurisdictions, partially</w:t>
            </w:r>
          </w:p>
        </w:tc>
      </w:tr>
      <w:tr>
        <w:trPr>
          <w:trHeight w:val="234"/>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offset by valuation allowance activity.</w:t>
            </w:r>
          </w:p>
        </w:tc>
      </w:tr>
      <w:tr>
        <w:trPr>
          <w:trHeight w:val="216"/>
        </w:trPr>
        <w:tc>
          <w:tcPr>
            <w:tcW w:w="4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4440" w:type="dxa"/>
            <w:vAlign w:val="bottom"/>
            <w:gridSpan w:val="2"/>
          </w:tcPr>
          <w:p>
            <w:pPr>
              <w:spacing w:after="0"/>
              <w:rPr>
                <w:sz w:val="18"/>
                <w:szCs w:val="18"/>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Nine months ended July 31, 2022</w:t>
            </w:r>
          </w:p>
        </w:tc>
        <w:tc>
          <w:tcPr>
            <w:tcW w:w="12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124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8"/>
              </w:rPr>
              <w:t>26.1%</w:t>
            </w:r>
          </w:p>
        </w:tc>
        <w:tc>
          <w:tcPr>
            <w:tcW w:w="4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rates in non-U.S. jurisdictions; and the establishment of</w:t>
            </w:r>
          </w:p>
        </w:tc>
      </w:tr>
      <w:tr>
        <w:trPr>
          <w:trHeight w:val="234"/>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uncertain tax positions in non-U.S. jurisdiction.</w:t>
            </w:r>
          </w:p>
        </w:tc>
      </w:tr>
      <w:tr>
        <w:trPr>
          <w:trHeight w:val="216"/>
        </w:trPr>
        <w:tc>
          <w:tcPr>
            <w:tcW w:w="43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4440" w:type="dxa"/>
            <w:vAlign w:val="bottom"/>
            <w:gridSpan w:val="2"/>
          </w:tcPr>
          <w:p>
            <w:pPr>
              <w:spacing w:after="0"/>
              <w:rPr>
                <w:sz w:val="18"/>
                <w:szCs w:val="18"/>
                <w:color w:val="auto"/>
              </w:rPr>
            </w:pPr>
          </w:p>
        </w:tc>
      </w:tr>
      <w:tr>
        <w:trPr>
          <w:trHeight w:val="198"/>
        </w:trPr>
        <w:tc>
          <w:tcPr>
            <w:tcW w:w="4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Nine months ended August 1, 2021</w:t>
            </w:r>
          </w:p>
        </w:tc>
        <w:tc>
          <w:tcPr>
            <w:tcW w:w="124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1240" w:type="dxa"/>
            <w:vAlign w:val="bottom"/>
            <w:gridSpan w:val="2"/>
            <w:shd w:val="clear" w:color="auto" w:fill="CCEEFF"/>
          </w:tcPr>
          <w:p>
            <w:pPr>
              <w:jc w:val="center"/>
              <w:ind w:left="130"/>
              <w:spacing w:after="0" w:line="198" w:lineRule="exact"/>
              <w:rPr>
                <w:sz w:val="20"/>
                <w:szCs w:val="20"/>
                <w:color w:val="auto"/>
              </w:rPr>
            </w:pPr>
            <w:r>
              <w:rPr>
                <w:rFonts w:ascii="Times New Roman" w:cs="Times New Roman" w:eastAsia="Times New Roman" w:hAnsi="Times New Roman"/>
                <w:sz w:val="18"/>
                <w:szCs w:val="18"/>
                <w:color w:val="auto"/>
                <w:w w:val="98"/>
              </w:rPr>
              <w:t>22.4%</w:t>
            </w:r>
          </w:p>
        </w:tc>
        <w:tc>
          <w:tcPr>
            <w:tcW w:w="444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Changes in forecasted jurisdictional earnings; benefits of</w:t>
            </w:r>
          </w:p>
        </w:tc>
      </w:tr>
      <w:tr>
        <w:trPr>
          <w:trHeight w:val="216"/>
        </w:trPr>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 tax credits in certain foreign jurisdictions,</w:t>
            </w:r>
          </w:p>
        </w:tc>
      </w:tr>
      <w:tr>
        <w:trPr>
          <w:trHeight w:val="234"/>
        </w:trPr>
        <w:tc>
          <w:tcPr>
            <w:tcW w:w="4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partially offset by valuation allowance activity</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the expirations of statutes of limitations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and major foreign or state jurisdictions for years prior to fiscal year 2016. The table below presents information on our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July 31,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ind w:left="340"/>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4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4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31,230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81,726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35,638</w:t>
            </w: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31,230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17,076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81,726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35,638</w:t>
            </w:r>
          </w:p>
        </w:tc>
      </w:tr>
      <w:tr>
        <w:trPr>
          <w:trHeight w:val="21"/>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60,701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60,884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61,804</w:t>
            </w: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61,299</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61,515</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61,127</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62,362</w:t>
            </w:r>
          </w:p>
        </w:tc>
      </w:tr>
      <w:tr>
        <w:trPr>
          <w:trHeight w:val="209"/>
        </w:trPr>
        <w:tc>
          <w:tcPr>
            <w:tcW w:w="59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960" w:type="dxa"/>
            <w:vAlign w:val="bottom"/>
            <w:tcBorders>
              <w:top w:val="single" w:sz="8" w:color="auto"/>
            </w:tcBorders>
          </w:tcPr>
          <w:p>
            <w:pPr>
              <w:jc w:val="center"/>
              <w:ind w:lef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12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694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598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9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425"/>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As of July 31, 2022, the Company had commitments outstanding for capital expenditures of approximately $145.4 million, primarily for purchases of high-end equipment.</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May 2022, the Company was informed of a customs audit in one of its China operations. As of the date of this filing, the audit is ongoing. The Company estimated a contingency ranging from $2.2 million to $3.7 million which includes unpaid additional customs duties and related interest and penalties for the previous three years (the period under audit). In the three month period ended May 1, 2022, we recorded a contingent loss of $2.2 million, as we believe this is the most likely outcome. The $2.2 million amount was recorded with a charge to </w:t>
      </w: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xml:space="preserve"> in the condensed consolidated statements of income and </w:t>
      </w:r>
      <w:r>
        <w:rPr>
          <w:rFonts w:ascii="Times New Roman" w:cs="Times New Roman" w:eastAsia="Times New Roman" w:hAnsi="Times New Roman"/>
          <w:sz w:val="18"/>
          <w:szCs w:val="18"/>
          <w:i w:val="1"/>
          <w:iCs w:val="1"/>
          <w:color w:val="auto"/>
        </w:rPr>
        <w:t>Accrued liabilities</w:t>
      </w:r>
      <w:r>
        <w:rPr>
          <w:rFonts w:ascii="Times New Roman" w:cs="Times New Roman" w:eastAsia="Times New Roman" w:hAnsi="Times New Roman"/>
          <w:sz w:val="18"/>
          <w:szCs w:val="18"/>
          <w:color w:val="auto"/>
        </w:rPr>
        <w:t xml:space="preserve"> in the condensed consolidated balance sheets.</w:t>
      </w:r>
    </w:p>
    <w:p>
      <w:pPr>
        <w:spacing w:after="0" w:line="183"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CHANGES IN ACCUMULATED OTHER COMPREHENSIVE (LOSS) INCOME BY COMPONENT</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(loss) income by component (net of tax of $0) for the three and nine-month periods ended July 31, 2022, and August 1, 2021.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Three Months Ended July 31, 2022</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2022</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(22,097)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(22,919)</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(22,075)</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4,185</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2022</w:t>
            </w: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(40,018)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(40,809)</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August 1, 2021</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2, 2021</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36,052</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35,192</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(10,445)</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1, 2021</w:t>
            </w: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24,882</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Nine Months Ended July 31, 2022</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21,476</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20,571</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(75,857)</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14,477</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July 31, 2022</w:t>
            </w:r>
          </w:p>
        </w:tc>
        <w:tc>
          <w:tcPr>
            <w:tcW w:w="1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(40,018)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(40,809)</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 August 1, 2021</w:t>
            </w:r>
          </w:p>
        </w:tc>
      </w:tr>
      <w:tr>
        <w:trPr>
          <w:trHeight w:val="194"/>
        </w:trPr>
        <w:tc>
          <w:tcPr>
            <w:tcW w:w="10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80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18,828</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17,958</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11,642</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attributable to noncontrolling interests</w:t>
            </w:r>
          </w:p>
        </w:tc>
        <w:tc>
          <w:tcPr>
            <w:tcW w:w="1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(4,718)</w:t>
            </w:r>
          </w:p>
        </w:tc>
      </w:tr>
      <w:tr>
        <w:trPr>
          <w:trHeight w:val="216"/>
        </w:trPr>
        <w:tc>
          <w:tcPr>
            <w:tcW w:w="102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August 1, 2021</w:t>
            </w:r>
          </w:p>
        </w:tc>
        <w:tc>
          <w:tcPr>
            <w:tcW w:w="18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25,723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24,882</w:t>
            </w:r>
          </w:p>
        </w:tc>
      </w:tr>
      <w:tr>
        <w:trPr>
          <w:trHeight w:val="564"/>
        </w:trPr>
        <w:tc>
          <w:tcPr>
            <w:tcW w:w="1020" w:type="dxa"/>
            <w:vAlign w:val="bottom"/>
            <w:tcBorders>
              <w:top w:val="single" w:sz="8" w:color="CCEEFF"/>
            </w:tcBorders>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jc w:val="right"/>
              <w:ind w:right="1333"/>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1020" w:type="dxa"/>
            <w:vAlign w:val="bottom"/>
            <w:tcBorders>
              <w:bottom w:val="single" w:sz="8" w:color="auto"/>
            </w:tcBorders>
          </w:tcPr>
          <w:p>
            <w:pPr>
              <w:spacing w:after="0"/>
              <w:rPr>
                <w:sz w:val="3"/>
                <w:szCs w:val="3"/>
                <w:color w:val="auto"/>
              </w:rPr>
            </w:pPr>
          </w:p>
        </w:tc>
        <w:tc>
          <w:tcPr>
            <w:tcW w:w="44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MEASUREMENTS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our cash and cash equivalents (Level 1 measurements), accounts receivable, accounts payable, and certain other current assets and current liabilities (Level 2 measurements) approximate their carrying values due to their short-term maturities. The fair values of our variable rate debt instruments are a Level 2 measurement and approximate their carrying values due to the variable nature of the underlying interest rates. We did not have any assets or liabilities measured at fair value, on a recurring or a nonrecurring basis, at July 31, 2022, or October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We commenced repurchasing shares under this authorization on September 16, 2020. All of the shares repurchased under this authorization prior to January 30, 2022, were retired prior to that date. As of July 31, 2022, $31.7 million was available under this authorization for the purchase of additional shares. The table below presents information on this repurchase program for the three and nine-month periods ended July 31, 2022, and August 1,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6"/>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1"/>
                <w:szCs w:val="21"/>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5980" w:type="dxa"/>
            <w:vAlign w:val="bottom"/>
          </w:tcPr>
          <w:p>
            <w:pPr>
              <w:spacing w:after="0"/>
              <w:rPr>
                <w:sz w:val="16"/>
                <w:szCs w:val="16"/>
                <w:color w:val="auto"/>
              </w:rPr>
            </w:pPr>
          </w:p>
        </w:tc>
        <w:tc>
          <w:tcPr>
            <w:tcW w:w="960" w:type="dxa"/>
            <w:vAlign w:val="bottom"/>
            <w:tcBorders>
              <w:top w:val="single" w:sz="8" w:color="auto"/>
            </w:tcBorders>
          </w:tcPr>
          <w:p>
            <w:pPr>
              <w:jc w:val="right"/>
              <w:ind w:right="12"/>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shares repurchased</w:t>
            </w:r>
          </w:p>
        </w:tc>
        <w:tc>
          <w:tcPr>
            <w:tcW w:w="960" w:type="dxa"/>
            <w:vAlign w:val="bottom"/>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35,750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price paid per share</w:t>
            </w:r>
          </w:p>
        </w:tc>
        <w:tc>
          <w:tcPr>
            <w:tcW w:w="96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RECENT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Adopted</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as part of its overall simplification initiative to reduce costs and complexity of applying accounting standards while maintaining or improving the usefulness of the information provided to users of financial statements. The FASB’s amendments primarily impact ASC 740, Income Taxes, and may impact both interim and annual reporting periods. We adopted ASU 2019-12 on November 1, 2021; the effect of the adoption was immaterial.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to be Adopted</w:t>
      </w:r>
    </w:p>
    <w:p>
      <w:pPr>
        <w:spacing w:after="0" w:line="229"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In April 2022, the FASB issued ASU 2022-02, “Financial Instruments – Credit Losses (Topic 326): Troubled Debt Restructurings and Vintage Disclosures”, which requires: 1) an entity to measure and record the lifetime expected credit losses of an asset that is within the scope of the Update upon origination or acquisition; as a result, credit losses from loans modified as troubled debt restructurings are to be incorporated into the allowance for credit losses and, 2) public business entities to disclose current-period gross writeoffs by year of origination for financing receivables and net investments in leases within the scope of Subtopic 326-20, “Financial Instruments—Credit Losses—Measured at Amortized Cost”. The guidance in this Update will be effective for Photronics in its first quarter of fiscal 2024. The amendments are to be applied prospectively, with the exception of the transition method related to the recognition and measurement of troubled debt restructurings for which an entity has the option to apply a modified retrospective transition method. We are currently evaluating the effect the adoption of this ASU may have on our disclosures.</w:t>
      </w:r>
    </w:p>
    <w:p>
      <w:pPr>
        <w:spacing w:after="0" w:line="19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to increase the transparency of government assistance including the disclosure of the types of assistance an entity receives, an entity’s method of accounting for government assistance, and the effect of the assistance on an entity’s financial statements. The guidance in this Update will be effective for Photronics in its fiscal year 2023 Form 10-K, with early application of the amendments allowed. The amendments are to be applied prospectively to all transactions within the scope of the amendments that are reflected in financial statements at the date of initial application and new transactions that are entered into after the date of initial application or, retrospectively to those transactions. We are currently evaluating the effect the adoption of this ASU may have on our disclosures.</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March 2020, the FASB issued ASU 2020-04, “Reference Rate Reform (Topic 848): Facilitation of the Effects of Reference Rate Reform on Financial Reporting”, which provides optional expedients and exceptions to applying the guidance on contract modifications, hedge accounting, and other transactions, to simplify the accounting for transitioning from LIBOR, and other interbank offered rates expected to be discontinued, to alternative reference rates. The guidance in this Update was effective upon its issuance; if elected, it is to be applied prospectively from December 31, 2022. We do not expect the impact of this ASU to be material to our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and results of operations should be read in conjunction with its condensed consolidated financial statements and related notes. Various segments of this MD&amp;A contain forward-looking statements, all of which are presented based on current expectations, which may be adversely affected by uncertainties and risk factors (presented throughout this filing and in the Company’s Form 10-K for fiscal 2021), that may cause actual results to materially differ from these expectations.</w:t>
      </w:r>
    </w:p>
    <w:p>
      <w:pPr>
        <w:spacing w:after="0" w:line="180"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This results in a minimal level of backlog, typically two to three weeks of backlog for FPD photomasks and one to two weeks for IC photomasks. However, the demand for some IC photomasks has expanded beyond the industry’s capacity to supply them within the traditional time period, thus the backlog in some cases can expand to as long as two to three months.</w:t>
      </w:r>
    </w:p>
    <w:p>
      <w:pPr>
        <w:spacing w:after="0" w:line="17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All of our facilities have continued to operate throughout the COVID-19 pandemic. The pandemic, particularly at its height, impacted our business in a number of ways including customer shutdowns, which led to delays in new photomask design releases, and travel restrictions, which delayed tool installations and servicing. To date we have not experienced significant raw material shortages, however, supply chain disruptions could potentially delay or prevent us from fulfilling customer orders. While our business has continued to grow over the course of the pandemic, we cannot predict its future impact on our business with a high level of certainty.</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July 31, 2022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500" w:type="dxa"/>
            <w:vAlign w:val="bottom"/>
          </w:tcPr>
          <w:p>
            <w:pPr>
              <w:spacing w:after="0"/>
              <w:rPr>
                <w:sz w:val="16"/>
                <w:szCs w:val="16"/>
                <w:color w:val="auto"/>
              </w:rPr>
            </w:pPr>
          </w:p>
        </w:tc>
        <w:tc>
          <w:tcPr>
            <w:tcW w:w="1360" w:type="dxa"/>
            <w:vAlign w:val="bottom"/>
            <w:tcBorders>
              <w:top w:val="single" w:sz="8" w:color="auto"/>
            </w:tcBorders>
            <w:gridSpan w:val="3"/>
          </w:tcPr>
          <w:p>
            <w:pPr>
              <w:jc w:val="right"/>
              <w:ind w:right="41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460" w:type="dxa"/>
            <w:vAlign w:val="bottom"/>
            <w:tcBorders>
              <w:top w:val="single" w:sz="8" w:color="auto"/>
            </w:tcBorders>
            <w:gridSpan w:val="3"/>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May 1,</w:t>
            </w:r>
          </w:p>
        </w:tc>
        <w:tc>
          <w:tcPr>
            <w:tcW w:w="102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July 31,</w:t>
            </w:r>
          </w:p>
        </w:tc>
        <w:tc>
          <w:tcPr>
            <w:tcW w:w="11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August 1,</w:t>
            </w:r>
          </w:p>
        </w:tc>
        <w:tc>
          <w:tcPr>
            <w:tcW w:w="160" w:type="dxa"/>
            <w:vAlign w:val="bottom"/>
          </w:tcPr>
          <w:p>
            <w:pPr>
              <w:spacing w:after="0"/>
              <w:rPr>
                <w:sz w:val="16"/>
                <w:szCs w:val="16"/>
                <w:color w:val="auto"/>
              </w:rPr>
            </w:pPr>
          </w:p>
        </w:tc>
      </w:tr>
      <w:tr>
        <w:trPr>
          <w:trHeight w:val="245"/>
        </w:trPr>
        <w:tc>
          <w:tcPr>
            <w:tcW w:w="450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1"/>
                <w:szCs w:val="21"/>
                <w:color w:val="auto"/>
              </w:rPr>
            </w:pPr>
          </w:p>
        </w:tc>
      </w:tr>
      <w:tr>
        <w:trPr>
          <w:trHeight w:val="216"/>
        </w:trPr>
        <w:tc>
          <w:tcPr>
            <w:tcW w:w="4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5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r>
      <w:tr>
        <w:trPr>
          <w:trHeight w:val="22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0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50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r>
      <w:tr>
        <w:trPr>
          <w:trHeight w:val="21"/>
        </w:trPr>
        <w:tc>
          <w:tcPr>
            <w:tcW w:w="45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Note: All tabular comparisons included in the following discussion, unless otherwise indicated, are for the three month periods ended July 31, 2022 (Q3 FY22), May 1, 2022 (Q2 FY22), and August 1, 2021 (Q3 FY21), and for the nine month periods ended July 31, 2022 (YTD FY22) and August 1, 2021 (YTD FY21), in millions of dollars. The columns may not foot due to rounding.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changes in disaggregated revenue in Q3 FY22 and YTD FY22 from revenue in prior reporting periods.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Product Type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Q3 FY22 from Q2 FY22</w:t>
            </w:r>
          </w:p>
        </w:tc>
        <w:tc>
          <w:tcPr>
            <w:tcW w:w="60" w:type="dxa"/>
            <w:vAlign w:val="bottom"/>
          </w:tcPr>
          <w:p>
            <w:pPr>
              <w:spacing w:after="0"/>
              <w:rPr>
                <w:sz w:val="21"/>
                <w:szCs w:val="21"/>
                <w:color w:val="auto"/>
              </w:rPr>
            </w:pPr>
          </w:p>
        </w:tc>
        <w:tc>
          <w:tcPr>
            <w:tcW w:w="23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Q3 FY22 from Q3 FY21</w:t>
            </w:r>
          </w:p>
        </w:tc>
        <w:tc>
          <w:tcPr>
            <w:tcW w:w="280" w:type="dxa"/>
            <w:vAlign w:val="bottom"/>
          </w:tcPr>
          <w:p>
            <w:pPr>
              <w:spacing w:after="0"/>
              <w:rPr>
                <w:sz w:val="21"/>
                <w:szCs w:val="21"/>
                <w:color w:val="auto"/>
              </w:rPr>
            </w:pPr>
          </w:p>
        </w:tc>
        <w:tc>
          <w:tcPr>
            <w:tcW w:w="2980" w:type="dxa"/>
            <w:vAlign w:val="bottom"/>
            <w:gridSpan w:val="7"/>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YTD FY22 from YTD FY21</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1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8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6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11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900" w:type="dxa"/>
            <w:vAlign w:val="bottom"/>
            <w:tcBorders>
              <w:top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4"/>
              </w:rPr>
              <w:t>Q3 FY22</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1"/>
                <w:szCs w:val="21"/>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FY22</w:t>
            </w: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392"/>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2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43.9%</w:t>
            </w:r>
          </w:p>
        </w:tc>
        <w:tc>
          <w:tcPr>
            <w:tcW w:w="2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71.5</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102.1</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5"/>
        </w:trPr>
        <w:tc>
          <w:tcPr>
            <w:tcW w:w="22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w:t>
            </w:r>
          </w:p>
        </w:tc>
      </w:tr>
      <w:tr>
        <w:trPr>
          <w:trHeight w:val="223"/>
        </w:trPr>
        <w:tc>
          <w:tcPr>
            <w:tcW w:w="2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29.7</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2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131.8</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r>
      <w:tr>
        <w:trPr>
          <w:trHeight w:val="21"/>
        </w:trPr>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average selling prices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Geographic Origin**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6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Q3 FY22 from Q2 FY22</w:t>
            </w:r>
          </w:p>
        </w:tc>
        <w:tc>
          <w:tcPr>
            <w:tcW w:w="60" w:type="dxa"/>
            <w:vAlign w:val="bottom"/>
          </w:tcPr>
          <w:p>
            <w:pPr>
              <w:spacing w:after="0"/>
              <w:rPr>
                <w:sz w:val="21"/>
                <w:szCs w:val="21"/>
                <w:color w:val="auto"/>
              </w:rPr>
            </w:pPr>
          </w:p>
        </w:tc>
        <w:tc>
          <w:tcPr>
            <w:tcW w:w="23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Q3 FY22 from Q3 FY21</w:t>
            </w:r>
          </w:p>
        </w:tc>
        <w:tc>
          <w:tcPr>
            <w:tcW w:w="280" w:type="dxa"/>
            <w:vAlign w:val="bottom"/>
          </w:tcPr>
          <w:p>
            <w:pPr>
              <w:spacing w:after="0"/>
              <w:rPr>
                <w:sz w:val="21"/>
                <w:szCs w:val="21"/>
                <w:color w:val="auto"/>
              </w:rPr>
            </w:pPr>
          </w:p>
        </w:tc>
        <w:tc>
          <w:tcPr>
            <w:tcW w:w="3040" w:type="dxa"/>
            <w:vAlign w:val="bottom"/>
            <w:gridSpan w:val="7"/>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YTD FY22 from YTD FY21</w:t>
            </w:r>
          </w:p>
        </w:tc>
      </w:tr>
      <w:tr>
        <w:trPr>
          <w:trHeight w:val="194"/>
        </w:trPr>
        <w:tc>
          <w:tcPr>
            <w:tcW w:w="2200" w:type="dxa"/>
            <w:vAlign w:val="bottom"/>
          </w:tcPr>
          <w:p>
            <w:pPr>
              <w:spacing w:after="0"/>
              <w:rPr>
                <w:sz w:val="16"/>
                <w:szCs w:val="16"/>
                <w:color w:val="auto"/>
              </w:rPr>
            </w:pPr>
          </w:p>
        </w:tc>
        <w:tc>
          <w:tcPr>
            <w:tcW w:w="11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880" w:type="dxa"/>
            <w:vAlign w:val="bottom"/>
            <w:tcBorders>
              <w:top w:val="single" w:sz="8" w:color="auto"/>
            </w:tcBorders>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8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1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88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2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Q3 FY22</w:t>
            </w:r>
          </w:p>
        </w:tc>
        <w:tc>
          <w:tcPr>
            <w:tcW w:w="220" w:type="dxa"/>
            <w:vAlign w:val="bottom"/>
          </w:tcPr>
          <w:p>
            <w:pPr>
              <w:spacing w:after="0"/>
              <w:rPr>
                <w:sz w:val="21"/>
                <w:szCs w:val="2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00" w:type="dxa"/>
            <w:vAlign w:val="bottom"/>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220" w:type="dxa"/>
            <w:vAlign w:val="bottom"/>
          </w:tcPr>
          <w:p>
            <w:pPr>
              <w:spacing w:after="0"/>
              <w:rPr>
                <w:sz w:val="21"/>
                <w:szCs w:val="21"/>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85.3%</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107.0%</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2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28.9%</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r>
      <w:tr>
        <w:trPr>
          <w:trHeight w:val="20"/>
        </w:trPr>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Revenue in Q3 FY22 was $219.9 million, representing an increase of 7.5% compared with Q2 FY22 and 28.9% from Q3 FY21. Revenue in YTD FY22 was $614.3 million, representing an increase of 27.3% over YTD FY21.</w:t>
      </w:r>
    </w:p>
    <w:p>
      <w:pPr>
        <w:spacing w:after="0" w:line="16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IC photomask revenue increased 10.6% and 36.9% in Q3 FY22, compared with Q2 FY22 and Q3 FY21, respectively, and increased 30.5% in YTD FY22, compared with YTD FY21. These increases were driven by continued strong demand growth in Asia and the U.S. for high-end products, and increased pricing and continued growth for mainstream products used for computer chips used in the production of consumer goods, products considered part of the “internet-of-things”, 5G wireless technology applications, and cryptocurrency mining. We expect this trend to continue in the near term, spurred by continued demand for products that support remote work and learning, advanced display technologies, and accelerated regional investments resulting from growing nationalism to insure local availability of computer chips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FPD revenue was $58.7 million in Q3 FY22, unchanged from Q2 FY22, and increased 11.0% from Q3 FY21. On a year-to-date basis, FPD revenue increased 20.1%. These increases were driven by strong demand for mobile AMOLED displays and G10.5+ large area masks used for ultra-large screen televisions. FPD mainstream revenue decreased from both the prior and prior year quarters, as we devoted capacity to producing higher-margin high-end products. Year over year FPD mainstream volume increased slightly, but ASP declined due to a less favorable product mix. We believe that the strong demand for AMOLED photomasks used in mobile devices will continue in the near term, as expected technology advances drives increasing overall demand for higher-value masks.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1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280" w:type="dxa"/>
            <w:vAlign w:val="bottom"/>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1"/>
                <w:szCs w:val="21"/>
                <w:color w:val="auto"/>
              </w:rPr>
            </w:pPr>
          </w:p>
        </w:tc>
        <w:tc>
          <w:tcPr>
            <w:tcW w:w="8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Q3 FY21</w:t>
            </w:r>
          </w:p>
        </w:tc>
        <w:tc>
          <w:tcPr>
            <w:tcW w:w="280" w:type="dxa"/>
            <w:vAlign w:val="bottom"/>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280" w:type="dxa"/>
            <w:vAlign w:val="bottom"/>
          </w:tcPr>
          <w:p>
            <w:pPr>
              <w:spacing w:after="0"/>
              <w:rPr>
                <w:sz w:val="21"/>
                <w:szCs w:val="21"/>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YTD FY21</w:t>
            </w:r>
          </w:p>
        </w:tc>
        <w:tc>
          <w:tcPr>
            <w:tcW w:w="260" w:type="dxa"/>
            <w:vAlign w:val="bottom"/>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r>
      <w:tr>
        <w:trPr>
          <w:trHeight w:val="216"/>
        </w:trPr>
        <w:tc>
          <w:tcPr>
            <w:tcW w:w="16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8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83.9</w:t>
            </w:r>
          </w:p>
        </w:tc>
        <w:tc>
          <w:tcPr>
            <w:tcW w:w="3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70.2</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45.3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85.0%</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213.9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115.1</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38.1%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34.3%</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c>
          <w:tcPr>
            <w:tcW w:w="2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Gross margin increased by 3.8 percentage points in Q3 FY22, from Q2 FY22, primarily as a result of the increase in revenue from the prior quarter. Material costs increased 1.7% from the prior quarter, but decreased, as a percentage of revenue, by 140 basis points. Labor costs increased 2.8%, but decreased 50 basis points, as a percentage of revenue. Equipment and other overhead costs were essentially flat but decreased 190 basis points as a percentage of revenue.</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Gross margin increased by 11.5 percentage points in Q3 FY22, from Q3 FY21, primarily as a result of the increase in revenue from the prior year quarter. Material costs increased 10.2% from the prior year quarter, but decreased 420 basis points, as a percentage of revenue. Labor costs increased 15.3% from the prior year quarter but decreased 120 basis points as a percent of revenue, as labor increased in both the U.S. and at several Asia-based facilities, reflecting tight labor markets. Equipment and other overhead costs rose 4.8%, but decreased 620 basis points, as a percentage of revenue. Increased outsourced manufacturing costs, partially offset by decreased depreciation and equipment maintenance expenses, were the most significant contributors to the net increase in equipment and other overhead costs.</w:t>
      </w:r>
    </w:p>
    <w:p>
      <w:pPr>
        <w:spacing w:after="0" w:line="187"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Gross margin increased by 10.9 percentage points in YTD FY22, from YTD FY21, primarily as a result of the increase in revenue from the prior year. Material costs increased 11.3% from the prior year quarter, but decreased 370 basis points, as a percentage of revenue. Labor costs increased 13.5% from the prior year period but decreased 130 basis points as a percent of revenue as labor increased significantly at almost all of our locations, reflecting tight labor markets. Equipment and other overhead costs rose 5.4%, but decreased 590 basis points, as a percentage of revenue. Increased outsourced manufacturing costs, partially offset by decreased depreciation and amortization expenses, were the most significant contributors to the net increase in equipment and other overhead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auto"/>
        </w:rPr>
        <w:t>Selling, general and administrative expenses were $16.0 million in Q3 FY22, compared with $16.6 million in Q2 FY22. The decrease of $0.6 million was primarily the result of decreased compensation and related expenses of $0.9 million, which were partially offset by increased professional fees of $0.3 million. The decrease in compensation and related expenses was primarily related to $0.7 million of severance costs incurred in Q2 FY22 in connection with the retirement of our former chief executive officer. Selling, general and administrative expenses increased $0.9 million in Q3 FY22, from $15.1 million in Q3 FY21, primarily as a result of increased compensation and related expenses of $0.5 million and increased professional fees of $0.3 million.</w:t>
      </w:r>
    </w:p>
    <w:p>
      <w:pPr>
        <w:spacing w:after="0" w:line="16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$48.3 million in YTD FY22, compared with $43.2 million in YTD FY21. The increase of $5.1 million was primarily the result of increased compensation and related expenses of $4.4 million, and increased travel expenses of $0.3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$4.2 million in Q3 FY22, essentially unchanged from Q2 FY22. Research and development expenses decreased by $1.2 million in Q3 FY22, from $5.3 million incurred in Q3 FY21, primarily driven by decreased development activities in the U.S. and China.</w:t>
      </w:r>
    </w:p>
    <w:p>
      <w:pPr>
        <w:spacing w:after="0" w:line="176"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$14.3 million in YTD FY22, down slightly from $14.4 million in YTD FY21, primarily as a result of increased development activities in the U.S. being offset by decreased activity in China.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the third quarter of fiscal 2021, we recorded a $3.5 million gain on the trade-in of a lithography tool with a tool vendor as partial compensation for a more advanced tool.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5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Q3 FY21</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FY22</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YTD FY21</w:t>
            </w:r>
          </w:p>
        </w:tc>
        <w:tc>
          <w:tcPr>
            <w:tcW w:w="100" w:type="dxa"/>
            <w:vAlign w:val="bottom"/>
          </w:tcPr>
          <w:p>
            <w:pPr>
              <w:spacing w:after="0"/>
              <w:rPr>
                <w:sz w:val="24"/>
                <w:szCs w:val="24"/>
                <w:color w:val="auto"/>
              </w:rPr>
            </w:pPr>
          </w:p>
        </w:tc>
      </w:tr>
      <w:tr>
        <w:trPr>
          <w:trHeight w:val="216"/>
        </w:trPr>
        <w:tc>
          <w:tcPr>
            <w:tcW w:w="3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r>
      <w:tr>
        <w:trPr>
          <w:trHeight w:val="198"/>
        </w:trPr>
        <w:tc>
          <w:tcPr>
            <w:tcW w:w="3500" w:type="dxa"/>
            <w:vAlign w:val="bottom"/>
            <w:tcBorders>
              <w:right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income and other income (expense),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1"/>
        </w:trPr>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5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35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3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Non-operating income (expense) decreased $4.4 million to $3.6 million in Q3 FY22, compared with $8.0 million in Q2 FY22, primarily due to reduced gains of the South Korean won and the New Taiwan dollar against the U.S. dollar exceeding reduced losses of the RMB against the U.S. dollar. In addition, less favorable movement of the RMB and unfavorable movement of the South Korean won against the Japanese yen, which were partially offset by favorable movement of the New Taiwan dollar against the Japanese yen, also contributed to the decrease. In Q2 FY22 interest expense on our debt was substantially offset by subsidies we received on our China-based debt; the absence of such subsidies in Q3 FY22 is the primary cause of our $0.6 million increase in interest expense in the current quarter.</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Non-operating income (expense) decreased $0.1 million to $3.6 million in Q3 FY22, compared with $3.7 million in Q3 FY21. Unfavorable movement of the RMB and less favorable movement of the South Korean won against the U.S. dollar exceeding favorable movements of the New Taiwan dollar and the Singapore dollar against the U.S. dollar were the primary drivers of the negative impact of foreign currency transactions. Interest expense decreased as a result of our lower average debt balance, which decreased significantly as a result of early repayments made in YTD FY22.</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Non-operating income (expense) increased $12.7 million to $16.4 million in YTD FY22, compared with $3.6 million in YTD FY21. The increase was primarily due to favorable movements of the South Korean won, the New Taiwan dollar, and the Singapore dollar against the U.S. dollar, which were partially offset by unfavorable movements of the RMB against the U.S. dollar. Interest expense increased $0.9 million in YTD FY22 as a result of lower subsidies received on our China-based debt.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9"/>
        </w:trPr>
        <w:tc>
          <w:tcPr>
            <w:tcW w:w="2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Q2 FY22</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Q3 FY21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FY22</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FY21</w:t>
            </w:r>
          </w:p>
        </w:tc>
        <w:tc>
          <w:tcPr>
            <w:tcW w:w="18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26.9%</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25.1%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20"/>
                <w:szCs w:val="20"/>
                <w:color w:val="auto"/>
              </w:rPr>
            </w:pPr>
          </w:p>
        </w:tc>
        <w:tc>
          <w:tcPr>
            <w:tcW w:w="11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79"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Q3 FY22, compared with Q2 FY22, is primarily due to changes in the jurisdictional mix of earnings and an increase in foreign taxes in Q3 FY22.</w:t>
      </w:r>
    </w:p>
    <w:p>
      <w:pPr>
        <w:spacing w:after="0" w:line="162"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Q3 FY22, compared with Q3 FY21, is primarily due to an increase in foreign taxes and a decrease in credits in non-U.S. jurisdictions, in Q3 FY22, and the release of valuation allowance for a loss carryforward in a non-U.S. jurisdiction in Q3 FY21.</w:t>
      </w: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YTD FY22, compared with YTD FY21, is primarily due to an increase in foreign taxes and a decrease in credits in non-U.S. jurisdictions, in Q3 FY22, and the release of valuation allowance for a loss carryforward in a non-U.S. jurisdiction in Q3 FY21.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$18.0 million in Q3 FY22, compared with $15.6 million in Q2 FY22, and $7.3 million in Q3 FY21. On a year-to-date basis, net income attributable to noncontrolling interests increased to $42.3 million in YTD FY22 from $14.5 million in YTD FY21. The increases from all prior periods resulted from increased net income at our Taiwan-based and China-based IC joint ventures.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was $380.8 million and $276.7 million as of July 31, 2022, and October 31, 2021, respectively. As of the most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balance sheet date, total cash and cash equivalents included $318.4 million held by foreign subsidiaries. Net Cash, a non-GAAP financial measure as defined and discussed in the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section below, was $323.5 million and $165.0 million as of July 31, 2022, and October 31, 2021, respectively. Our primary sources of liquidity are our cash on hand, cash we generate from operations, and borrowing capacity we have available from financial institutions. Our corporate credit agreement has a $50 million borrowing limit, with an expansion capacity to $100 million. Although we have not accessed funds under our corporate credit facilities since 2011, it continues to afford us financial flexibility. In addition, in China, we currently have approximately $21.2 million of borrowing capacity to support local operations. See Note 5 to the condensed consolidated financial statements for additional information on our currently available financing.</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and (potentially) our borrowing capacity under our financing arrangements, we plan to continue to invest in our business, with our investments targeted to align with our customers’ technology road maps. We may also elect to use our cash to reduce our debt through early repayments. In addition, we stand ready to invest in mergers, acquisitions, or strategic partnerships, should a suitable opportunity arise.</w:t>
      </w:r>
    </w:p>
    <w:p>
      <w:pPr>
        <w:spacing w:after="0" w:line="192"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estimate capital expenditures for the remainder of FY22 will be approximately $54 million; these investments will be targeted towards high-end and mainstream point tools that will increase our operating capacity and efficiency, and enable us to support our customers’ near-term demands. As of July 31, 2022, we had outstanding capital commitments of approximately $145.4 million and recognized liabilities related to capital equipment purchases of approximately $8.3 million. Although payment timing could vary, primarily as a result of the timing of tool delivery, installation, and testing, we currently estimate that we will fund $120.5 million of our total $153.7 million committed and recognized obligations for capital expenditures over the next twelve months. Please refer to Notes 5 and 7, respectively, to the condensed consolidated financial statements for information on our outstanding debt and lease commitments.</w:t>
      </w:r>
    </w:p>
    <w:p>
      <w:pPr>
        <w:spacing w:after="0" w:line="18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As of July 31, 2022, our current share repurchase program had approximately $31.7 million remaining under its authorization. Depending on market conditions, we may utilize some or the entire remaining approved amount to reacquire additional shares.</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4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July 31, 2022, Photronics and DNP each had net investments in this joint venture of approximately $96.1 million.</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YTD FY21</w:t>
            </w: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r>
      <w:tr>
        <w:trPr>
          <w:trHeight w:val="27"/>
        </w:trPr>
        <w:tc>
          <w:tcPr>
            <w:tcW w:w="10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r>
      <w:tr>
        <w:trPr>
          <w:trHeight w:val="223"/>
        </w:trPr>
        <w:tc>
          <w:tcPr>
            <w:tcW w:w="5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reflects net income adjusted for certain non-cash items, including depreciation and amortization, share-based compensation, and the impacts of cash from changes in operating assets and liabilities. Net cash provided by operating activities increased by $82.8 million in YTD FY22, compared with YTD FY21, due to increased net income and cash generated from changes in working capital.</w:t>
      </w:r>
    </w:p>
    <w:p>
      <w:pPr>
        <w:spacing w:after="0" w:line="17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 xml:space="preserve">Free Cash Flow and LTM (“Last Twelve Months”) Free Cash Flow, which are non-GAAP financial measures as discussed in the “Non-GAAP Financial Measures” section below, increased by $124.4 and $114.6 million, respectively, compared with YTD FY21, primarily due to the increase in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cash provided by operating activities </w:t>
      </w:r>
      <w:r>
        <w:rPr>
          <w:rFonts w:ascii="Times New Roman" w:cs="Times New Roman" w:eastAsia="Times New Roman" w:hAnsi="Times New Roman"/>
          <w:sz w:val="18"/>
          <w:szCs w:val="18"/>
          <w:color w:val="auto"/>
        </w:rPr>
        <w:t>discussed above and a reduction in spending on property, plant and equipment.</w:t>
      </w:r>
    </w:p>
    <w:p>
      <w:pPr>
        <w:spacing w:after="0" w:line="17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investing activities</w:t>
      </w:r>
      <w:r>
        <w:rPr>
          <w:rFonts w:ascii="Times New Roman" w:cs="Times New Roman" w:eastAsia="Times New Roman" w:hAnsi="Times New Roman"/>
          <w:sz w:val="18"/>
          <w:szCs w:val="18"/>
          <w:color w:val="auto"/>
        </w:rPr>
        <w:t xml:space="preserve"> primarily consisted of purchases of property, plant and equipment of $46.3 million, which decreased $46.0 million in YTD FY22, compared with YTD FY21. The reduced spending on property, plant and equipment was partially offset by a $4.4 million decrease in investment related government incentives received in China. The reduction in expenditures resulted from timing of deliveries and payments on outstanding commitments.</w:t>
      </w:r>
    </w:p>
    <w:p>
      <w:pPr>
        <w:spacing w:after="0" w:line="180"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financing activities</w:t>
      </w:r>
      <w:r>
        <w:rPr>
          <w:rFonts w:ascii="Times New Roman" w:cs="Times New Roman" w:eastAsia="Times New Roman" w:hAnsi="Times New Roman"/>
          <w:sz w:val="18"/>
          <w:szCs w:val="18"/>
          <w:color w:val="auto"/>
        </w:rPr>
        <w:t xml:space="preserve"> primarily consist of share repurchases, proceeds from and repayments of debt, and contributions from noncontrolling interests. Net cash used in financing activities decreased by $1.0 million in YTD FY22, compared with YTD FY21, primarily due to contributions from noncontrolling interests in our majority owned subsidiaries in Taiwan and China of $25.0 million, decreased share repurchases of $33.2 million, and increased debt repayments of $38.6 million. In addition, we received debt proceeds of $20.9 million in YTD FY21 and did not incur debt in YTD FY22.</w:t>
      </w:r>
    </w:p>
    <w:p>
      <w:pPr>
        <w:spacing w:after="0" w:line="18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increase in our cash balance from the beginning of the year was reduced by the effects of exchange rate changes in the amount of $21.3 million in YTD FY22, which was in contrast to the $4.5 million positive impact the effects of exchange rate changes had on our cash balance in YTD FY21.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consider Free Cash Flow, LTM Free Cash Flow, and Net Cash, which are “non-GAAP financial measures” (as such term is defined by the SEC), to be useful metrics in measuring our cash-generation performance. (Note that we may define these terms differently than other companies that use similarly-named non-GAAP financial measures.) These non-GAAP metrics are not intended to represent funds available for our discretionary use or to be used as a substitute for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as measured under GAAP. The following tables reconcile </w:t>
      </w:r>
      <w:r>
        <w:rPr>
          <w:rFonts w:ascii="Times New Roman" w:cs="Times New Roman" w:eastAsia="Times New Roman" w:hAnsi="Times New Roman"/>
          <w:sz w:val="18"/>
          <w:szCs w:val="18"/>
          <w:i w:val="1"/>
          <w:iCs w:val="1"/>
          <w:color w:val="auto"/>
        </w:rPr>
        <w:t>Net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by operating activities </w:t>
      </w:r>
      <w:r>
        <w:rPr>
          <w:rFonts w:ascii="Times New Roman" w:cs="Times New Roman" w:eastAsia="Times New Roman" w:hAnsi="Times New Roman"/>
          <w:sz w:val="18"/>
          <w:szCs w:val="18"/>
          <w:color w:val="auto"/>
        </w:rPr>
        <w:t>to Free Cash Flow for YTD FY22 and YTD FY21, and present the calculations of LTM Free Cash Flow for Q3 FY22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Q3 FY21. The columns may not foot due to rounding.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8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YTD FY22</w:t>
            </w: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YTD FY21</w:t>
            </w:r>
          </w:p>
        </w:tc>
        <w:tc>
          <w:tcPr>
            <w:tcW w:w="3380" w:type="dxa"/>
            <w:vAlign w:val="bottom"/>
          </w:tcPr>
          <w:p>
            <w:pPr>
              <w:spacing w:after="0"/>
              <w:rPr>
                <w:sz w:val="21"/>
                <w:szCs w:val="21"/>
                <w:color w:val="auto"/>
              </w:rPr>
            </w:pPr>
          </w:p>
        </w:tc>
      </w:tr>
      <w:tr>
        <w:trPr>
          <w:trHeight w:val="175"/>
        </w:trPr>
        <w:tc>
          <w:tcPr>
            <w:tcW w:w="5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Free Cash Flow</w:t>
            </w: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113.1</w:t>
            </w:r>
          </w:p>
        </w:tc>
        <w:tc>
          <w:tcPr>
            <w:tcW w:w="338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3380" w:type="dxa"/>
            <w:vAlign w:val="bottom"/>
          </w:tcPr>
          <w:p>
            <w:pPr>
              <w:spacing w:after="0"/>
              <w:rPr>
                <w:sz w:val="18"/>
                <w:szCs w:val="18"/>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incentives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3380" w:type="dxa"/>
            <w:vAlign w:val="bottom"/>
          </w:tcPr>
          <w:p>
            <w:pPr>
              <w:spacing w:after="0"/>
              <w:rPr>
                <w:sz w:val="18"/>
                <w:szCs w:val="18"/>
                <w:color w:val="auto"/>
              </w:rPr>
            </w:pPr>
          </w:p>
        </w:tc>
      </w:tr>
      <w:tr>
        <w:trPr>
          <w:trHeight w:val="27"/>
        </w:trPr>
        <w:tc>
          <w:tcPr>
            <w:tcW w:w="118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80" w:type="dxa"/>
            <w:vAlign w:val="bottom"/>
          </w:tcPr>
          <w:p>
            <w:pPr>
              <w:spacing w:after="0"/>
              <w:rPr>
                <w:sz w:val="2"/>
                <w:szCs w:val="2"/>
                <w:color w:val="auto"/>
              </w:rPr>
            </w:pPr>
          </w:p>
        </w:tc>
      </w:tr>
      <w:tr>
        <w:trPr>
          <w:trHeight w:val="22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3380" w:type="dxa"/>
            <w:vAlign w:val="bottom"/>
          </w:tcPr>
          <w:p>
            <w:pPr>
              <w:spacing w:after="0"/>
              <w:rPr>
                <w:sz w:val="19"/>
                <w:szCs w:val="19"/>
                <w:color w:val="auto"/>
              </w:rPr>
            </w:pPr>
          </w:p>
        </w:tc>
      </w:tr>
      <w:tr>
        <w:trPr>
          <w:trHeight w:val="570"/>
        </w:trPr>
        <w:tc>
          <w:tcPr>
            <w:tcW w:w="1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4"/>
        </w:trPr>
        <w:tc>
          <w:tcPr>
            <w:tcW w:w="1180" w:type="dxa"/>
            <w:vAlign w:val="bottom"/>
            <w:tcBorders>
              <w:bottom w:val="single" w:sz="8" w:color="auto"/>
            </w:tcBorders>
          </w:tcPr>
          <w:p>
            <w:pPr>
              <w:spacing w:after="0"/>
              <w:rPr>
                <w:sz w:val="3"/>
                <w:szCs w:val="3"/>
                <w:color w:val="auto"/>
              </w:rPr>
            </w:pPr>
          </w:p>
        </w:tc>
        <w:tc>
          <w:tcPr>
            <w:tcW w:w="4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Q3 FY22</w:t>
            </w:r>
          </w:p>
        </w:tc>
        <w:tc>
          <w:tcPr>
            <w:tcW w:w="160" w:type="dxa"/>
            <w:vAlign w:val="bottom"/>
          </w:tcPr>
          <w:p>
            <w:pPr>
              <w:spacing w:after="0"/>
              <w:rPr>
                <w:sz w:val="24"/>
                <w:szCs w:val="24"/>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Q3 FY21</w:t>
            </w:r>
          </w:p>
        </w:tc>
      </w:tr>
      <w:tr>
        <w:trPr>
          <w:trHeight w:val="175"/>
        </w:trPr>
        <w:tc>
          <w:tcPr>
            <w:tcW w:w="5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LTM Free Cash Flow</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nine months of the respective fiscal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5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Prior fiscal year</w:t>
            </w:r>
          </w:p>
        </w:tc>
        <w:tc>
          <w:tcPr>
            <w:tcW w:w="14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w:t>
            </w:r>
          </w:p>
        </w:tc>
      </w:tr>
      <w:tr>
        <w:trPr>
          <w:trHeight w:val="223"/>
        </w:trPr>
        <w:tc>
          <w:tcPr>
            <w:tcW w:w="5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nine months of the prior year</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(46.8)</w:t>
            </w:r>
          </w:p>
        </w:tc>
      </w:tr>
      <w:tr>
        <w:trPr>
          <w:trHeight w:val="223"/>
        </w:trPr>
        <w:tc>
          <w:tcPr>
            <w:tcW w:w="52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LTM free cash flow</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top w:val="single" w:sz="8" w:color="CCEEFF"/>
            </w:tcBorders>
          </w:tcPr>
          <w:p>
            <w:pPr>
              <w:spacing w:after="0"/>
              <w:rPr>
                <w:sz w:val="19"/>
                <w:szCs w:val="19"/>
                <w:color w:val="auto"/>
              </w:rPr>
            </w:pPr>
          </w:p>
        </w:tc>
      </w:tr>
    </w:tbl>
    <w:p>
      <w:pPr>
        <w:spacing w:after="0" w:line="196" w:lineRule="exact"/>
        <w:rPr>
          <w:sz w:val="20"/>
          <w:szCs w:val="20"/>
          <w:color w:val="auto"/>
        </w:rPr>
      </w:pPr>
    </w:p>
    <w:p>
      <w:pPr>
        <w:jc w:val="both"/>
        <w:ind w:right="10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to Net Cash at the balance sheet dates. The increase in Net Cash was primarily driven by an increase in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and decreased spending on property, plant and equipment, as discussed above. The columns may not foot due to rounding.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6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July 31,</w:t>
            </w:r>
          </w:p>
        </w:tc>
        <w:tc>
          <w:tcPr>
            <w:tcW w:w="120" w:type="dxa"/>
            <w:vAlign w:val="bottom"/>
          </w:tcPr>
          <w:p>
            <w:pPr>
              <w:spacing w:after="0"/>
              <w:rPr>
                <w:sz w:val="16"/>
                <w:szCs w:val="16"/>
                <w:color w:val="auto"/>
              </w:rPr>
            </w:pPr>
          </w:p>
        </w:tc>
        <w:tc>
          <w:tcPr>
            <w:tcW w:w="10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r>
      <w:tr>
        <w:trPr>
          <w:trHeight w:val="245"/>
        </w:trPr>
        <w:tc>
          <w:tcPr>
            <w:tcW w:w="68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r>
      <w:tr>
        <w:trPr>
          <w:trHeight w:val="176"/>
        </w:trPr>
        <w:tc>
          <w:tcPr>
            <w:tcW w:w="52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Net Cash</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68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276.7</w:t>
            </w: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(46.6)</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(89.4)</w:t>
            </w:r>
          </w:p>
        </w:tc>
      </w:tr>
      <w:tr>
        <w:trPr>
          <w:trHeight w:val="223"/>
        </w:trPr>
        <w:tc>
          <w:tcPr>
            <w:tcW w:w="52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323.5</w:t>
            </w: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top w:val="single" w:sz="8" w:color="CCEEFF"/>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current business outlook and guidance was provided in the Photronics Q3 FY22 earnings release, Earnings Presentation, and financial results conference call, but is not incorporated herein. These can be accessed in the investor section of our website - www.photronics.com.</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Q3 FY22 Earnings Presentation and the related financial results conference call and slide deck involve a number of risks and uncertainties, some of which are discussed in Part I, Item 1A of our 2021 Form 10-K. A number of other unforeseeable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2021 Form 10-K for discussion of our critical accounting estimates. There have been no changes to our critical accounting estimates since the filing of our Form 10-K for the year ended October 31, 2021.</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In addition, to the extent practicable, we attempt to reduce our exposure to foreign currency exchange fluctuations by converting cash and cash equivalents into the functional currency of the subsidiary which holds the cash.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July 31, 2022,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$35.9 million, which represents an increase of $1.8 million from our exposure at May 1, 2022, and an increase of $0.8 million from our exposure at October 31, 2021. Our most significant exposures at July 31, 2022, were exposures of the South Korean won, the RMB, and the New Taiwan Dollar to the U.S. dollar, which were, respectively, $11.8 million, $10.8 million, and $10.3 million at that date. We do not believe that a 10% change in the exchange rates of non-US dollar currencies, other than the aforementioned currencies and the Japanese yen, would have had a material effect on our July 31, 2022,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July 31, 2022, condensed consolidated financial statements.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40" w:firstLine="324"/>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third fiscal quarter that has materially affected, or is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11 within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14, 2020, and all shares repurchased under this program prior to January 30, 2022, were retired prior to that date. The following table presents information on our common stock repurchase activity for the third fiscal quarter of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45"/>
        </w:trPr>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1"/>
                <w:szCs w:val="21"/>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Program (in millions)</w:t>
            </w:r>
          </w:p>
        </w:tc>
        <w:tc>
          <w:tcPr>
            <w:tcW w:w="10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175"/>
        </w:trPr>
        <w:tc>
          <w:tcPr>
            <w:tcW w:w="10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Period</w:t>
            </w:r>
          </w:p>
        </w:tc>
        <w:tc>
          <w:tcPr>
            <w:tcW w:w="3800" w:type="dxa"/>
            <w:vAlign w:val="bottom"/>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5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 2022 – May 29,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30, 2022</w:t>
            </w:r>
          </w:p>
        </w:tc>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June 26,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27, 2022</w:t>
            </w:r>
          </w:p>
        </w:tc>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July 31,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0" w:type="dxa"/>
            <w:vAlign w:val="bottom"/>
            <w:shd w:val="clear" w:color="auto" w:fill="CCEEFF"/>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8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
        </w:trPr>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Certain of our debt agreements and lease arrangements include limitations on the amounts of dividends we may pay. Please refer to Notes 5 and 7 of the condensed consolidated financial statements for information on these limitations.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700" w:type="dxa"/>
            <w:vAlign w:val="bottom"/>
            <w:gridSpan w:val="3"/>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gridSpan w:val="15"/>
          </w:tcPr>
          <w:p>
            <w:pPr>
              <w:ind w:left="20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gridSpan w:val="2"/>
            <w:vMerge w:val="restart"/>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vMerge w:val="restart"/>
          </w:tcPr>
          <w:p>
            <w:pPr>
              <w:spacing w:after="0"/>
              <w:rPr>
                <w:sz w:val="14"/>
                <w:szCs w:val="14"/>
                <w:color w:val="auto"/>
              </w:rPr>
            </w:pPr>
          </w:p>
        </w:tc>
        <w:tc>
          <w:tcPr>
            <w:tcW w:w="3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960" w:type="dxa"/>
            <w:vAlign w:val="bottom"/>
            <w:tcBorders>
              <w:top w:val="single" w:sz="8" w:color="auto"/>
            </w:tcBorders>
            <w:gridSpan w:val="4"/>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960" w:type="dxa"/>
            <w:vAlign w:val="bottom"/>
            <w:gridSpan w:val="4"/>
            <w:vMerge w:val="continu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6700" w:type="dxa"/>
            <w:vAlign w:val="bottom"/>
            <w:gridSpan w:val="3"/>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96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Filing Furnished</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70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gridSpan w:val="5"/>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00" w:type="dxa"/>
            <w:vAlign w:val="bottom"/>
          </w:tcPr>
          <w:p>
            <w:pPr>
              <w:spacing w:after="0"/>
              <w:rPr>
                <w:sz w:val="17"/>
                <w:szCs w:val="17"/>
                <w:color w:val="auto"/>
              </w:rPr>
            </w:pPr>
          </w:p>
        </w:tc>
        <w:tc>
          <w:tcPr>
            <w:tcW w:w="670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Form  Number  Exhibit</w:t>
            </w:r>
          </w:p>
        </w:tc>
        <w:tc>
          <w:tcPr>
            <w:tcW w:w="120" w:type="dxa"/>
            <w:vAlign w:val="bottom"/>
          </w:tcPr>
          <w:p>
            <w:pPr>
              <w:spacing w:after="0"/>
              <w:rPr>
                <w:sz w:val="17"/>
                <w:szCs w:val="17"/>
                <w:color w:val="auto"/>
              </w:rPr>
            </w:pPr>
          </w:p>
        </w:tc>
        <w:tc>
          <w:tcPr>
            <w:tcW w:w="1280" w:type="dxa"/>
            <w:vAlign w:val="bottom"/>
            <w:gridSpan w:val="6"/>
          </w:tcPr>
          <w:p>
            <w:pPr>
              <w:jc w:val="center"/>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Date  Herewith</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3"/>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3"/>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3"/>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0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42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700" w:type="dxa"/>
            <w:vAlign w:val="bottom"/>
            <w:gridSpan w:val="3"/>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7"/>
        </w:trPr>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4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000" w:type="dxa"/>
            <w:vAlign w:val="bottom"/>
            <w:tcBorders>
              <w:top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1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right w:val="single" w:sz="8" w:color="CCEEFF"/>
            </w:tcBorders>
            <w:shd w:val="clear" w:color="auto" w:fill="CCEEFF"/>
          </w:tcPr>
          <w:p>
            <w:pPr>
              <w:spacing w:after="0"/>
              <w:rPr>
                <w:sz w:val="20"/>
                <w:szCs w:val="20"/>
                <w:color w:val="auto"/>
              </w:rPr>
            </w:pPr>
          </w:p>
        </w:tc>
        <w:tc>
          <w:tcPr>
            <w:tcW w:w="420" w:type="dxa"/>
            <w:vAlign w:val="bottom"/>
            <w:tcBorders>
              <w:top w:val="single" w:sz="8" w:color="CCEEFF"/>
              <w:right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6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700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XBRL document)</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 Inline XBRL Taxonomy Extension Schema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 Document</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0" w:type="dxa"/>
            <w:vAlign w:val="bottom"/>
            <w:gridSpan w:val="4"/>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3"/>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420" w:type="dxa"/>
            <w:vAlign w:val="bottom"/>
            <w:tcBorders>
              <w:right w:val="single" w:sz="8" w:color="CCEEFF"/>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0" w:type="dxa"/>
            <w:vAlign w:val="bottom"/>
            <w:gridSpan w:val="4"/>
          </w:tcPr>
          <w:p>
            <w:pPr>
              <w:ind w:left="484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-4817110</wp:posOffset>
            </wp:positionV>
            <wp:extent cx="285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JOHN P. JORDAN</w:t>
            </w:r>
          </w:p>
        </w:tc>
        <w:tc>
          <w:tcPr>
            <w:tcW w:w="280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RIVERA</w:t>
            </w:r>
          </w:p>
        </w:tc>
      </w:tr>
      <w:tr>
        <w:trPr>
          <w:trHeight w:val="198"/>
        </w:trPr>
        <w:tc>
          <w:tcPr>
            <w:tcW w:w="340" w:type="dxa"/>
            <w:vAlign w:val="bottom"/>
          </w:tcPr>
          <w:p>
            <w:pPr>
              <w:spacing w:after="0"/>
              <w:rPr>
                <w:sz w:val="17"/>
                <w:szCs w:val="17"/>
                <w:color w:val="auto"/>
              </w:rPr>
            </w:pPr>
          </w:p>
        </w:tc>
        <w:tc>
          <w:tcPr>
            <w:tcW w:w="2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JOHN P. JORDAN</w:t>
            </w:r>
          </w:p>
        </w:tc>
        <w:tc>
          <w:tcPr>
            <w:tcW w:w="2800" w:type="dxa"/>
            <w:vAlign w:val="bottom"/>
          </w:tcPr>
          <w:p>
            <w:pPr>
              <w:spacing w:after="0"/>
              <w:rPr>
                <w:sz w:val="17"/>
                <w:szCs w:val="17"/>
                <w:color w:val="auto"/>
              </w:rPr>
            </w:pPr>
          </w:p>
        </w:tc>
        <w:tc>
          <w:tcPr>
            <w:tcW w:w="28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ERIC RIVERA</w:t>
            </w:r>
          </w:p>
        </w:tc>
      </w:tr>
      <w:tr>
        <w:trPr>
          <w:trHeight w:val="216"/>
        </w:trPr>
        <w:tc>
          <w:tcPr>
            <w:tcW w:w="3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8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w:t>
            </w:r>
          </w:p>
        </w:tc>
      </w:tr>
      <w:tr>
        <w:trPr>
          <w:trHeight w:val="216"/>
        </w:trPr>
        <w:tc>
          <w:tcPr>
            <w:tcW w:w="3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80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Controller</w:t>
            </w:r>
          </w:p>
        </w:tc>
      </w:tr>
      <w:tr>
        <w:trPr>
          <w:trHeight w:val="234"/>
        </w:trPr>
        <w:tc>
          <w:tcPr>
            <w:tcW w:w="340" w:type="dxa"/>
            <w:vAlign w:val="bottom"/>
          </w:tcPr>
          <w:p>
            <w:pPr>
              <w:spacing w:after="0"/>
              <w:rPr>
                <w:sz w:val="20"/>
                <w:szCs w:val="20"/>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8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September 7, 2022</w:t>
            </w:r>
          </w:p>
        </w:tc>
        <w:tc>
          <w:tcPr>
            <w:tcW w:w="56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Date: September 7, 2022</w:t>
            </w:r>
          </w:p>
        </w:tc>
      </w:tr>
    </w:tbl>
    <w:p>
      <w:pPr>
        <w:sectPr>
          <w:pgSz w:w="11900" w:h="16838" w:orient="portrait"/>
          <w:cols w:equalWidth="0" w:num="1">
            <w:col w:w="10960"/>
          </w:cols>
          <w:pgMar w:left="320" w:top="116" w:right="6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Frank Lee, certify that:</w:t>
      </w:r>
    </w:p>
    <w:p>
      <w:pPr>
        <w:spacing w:after="0" w:line="242"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John P. Jordan, certify that:</w:t>
      </w:r>
    </w:p>
    <w:p>
      <w:pPr>
        <w:spacing w:after="0" w:line="242"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52"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1350 Certification of the Chief Executive Officer</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Frank Lee, Chief Executive Officer of Photronics, Inc. (the “Company”), certify, to my knowledge, pursuant to Section 906 of the Sarbanes-Oxley Act of 2002, 18 U.S.C. Section 1350, that:</w:t>
      </w:r>
    </w:p>
    <w:p>
      <w:pPr>
        <w:spacing w:after="0" w:line="194" w:lineRule="exact"/>
        <w:rPr>
          <w:sz w:val="20"/>
          <w:szCs w:val="20"/>
          <w:color w:val="auto"/>
        </w:rPr>
      </w:pPr>
    </w:p>
    <w:p>
      <w:pPr>
        <w:ind w:left="500" w:right="26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July 31,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270"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1350 Certification of the Chief Financial Officer</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John P. Jordan, Chief Financial Officer of Photronics, Inc. (the “Company”), certify, to my knowledge, pursuant to Section 906 of the Sarbanes-Oxley Act of 2002, 18 U.S.C. Section 1350, that:</w:t>
      </w:r>
    </w:p>
    <w:p>
      <w:pPr>
        <w:spacing w:after="0" w:line="194" w:lineRule="exact"/>
        <w:rPr>
          <w:sz w:val="20"/>
          <w:szCs w:val="20"/>
          <w:color w:val="auto"/>
        </w:rPr>
      </w:pPr>
    </w:p>
    <w:p>
      <w:pPr>
        <w:ind w:left="500" w:right="3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July 31, 2022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JOHN P. JORDAN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P. Jordan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2022-09-07T16:34:33Z</dcterms:created>
  <dcterms:modified xsi:type="dcterms:W3CDTF">2022-09-07T16:34:33Z</dcterms:modified>
</cp:coreProperties>
</file>