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4060" w:right="2040" w:hanging="4052"/>
        <w:spacing w:after="0" w:line="261" w:lineRule="auto"/>
        <w:tabs>
          <w:tab w:leader="none" w:pos="500" w:val="left"/>
        </w:tabs>
        <w:numPr>
          <w:ilvl w:val="0"/>
          <w:numId w:val="1"/>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 For the quarterly period ended July 30, 2017</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OR</w:t>
      </w:r>
    </w:p>
    <w:p>
      <w:pPr>
        <w:spacing w:after="0" w:line="1" w:lineRule="exact"/>
        <w:rPr>
          <w:sz w:val="24"/>
          <w:szCs w:val="24"/>
          <w:color w:val="auto"/>
        </w:rPr>
      </w:pPr>
    </w:p>
    <w:p>
      <w:pPr>
        <w:ind w:left="4180" w:right="2020" w:hanging="4172"/>
        <w:spacing w:after="0" w:line="522"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174625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3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5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w:t>
            </w:r>
          </w:p>
        </w:tc>
        <w:tc>
          <w:tcPr>
            <w:tcW w:w="600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Outstanding at August 28, 2017</w:t>
            </w: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6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68,938,776 Shares</w:t>
            </w:r>
          </w:p>
        </w:tc>
      </w:tr>
      <w:tr>
        <w:trPr>
          <w:trHeight w:val="351"/>
        </w:trPr>
        <w:tc>
          <w:tcPr>
            <w:tcW w:w="54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r>
        <w:trPr>
          <w:trHeight w:val="163"/>
        </w:trPr>
        <w:tc>
          <w:tcPr>
            <w:tcW w:w="542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tcPr>
          <w:p>
            <w:pPr>
              <w:spacing w:after="0"/>
              <w:rPr>
                <w:sz w:val="14"/>
                <w:szCs w:val="14"/>
                <w:color w:val="auto"/>
              </w:rPr>
            </w:pPr>
          </w:p>
        </w:tc>
      </w:tr>
      <w:tr>
        <w:trPr>
          <w:trHeight w:val="183"/>
        </w:trPr>
        <w:tc>
          <w:tcPr>
            <w:tcW w:w="542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29" w:right="239" w:bottom="106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“should,” “would,”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arbitration,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or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Financial Statements (unaudited)</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July 30, 2017 and October 30, 2016</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and Nine Months Ended July 30, 2017 and July 31, 2016</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for the Three and Nine Months Ended July 30, 2017 and July 31,</w:t>
              </w:r>
            </w:hyperlink>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2016</w:t>
              </w:r>
            </w:hyperlink>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July 30, 2017 and July 31, 2016</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5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8700" w:type="dxa"/>
            <w:vAlign w:val="bottom"/>
            <w:tcBorders>
              <w:bottom w:val="single" w:sz="8" w:color="CCEEFF"/>
            </w:tcBorders>
            <w:gridSpan w:val="10"/>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20" w:type="dxa"/>
            <w:vAlign w:val="bottom"/>
            <w:gridSpan w:val="6"/>
          </w:tcPr>
          <w:p>
            <w:pPr>
              <w:ind w:left="40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$3,215 in 2017 and $3,901 in 2016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Inventories</w:t>
            </w: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7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8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68,547 shares issued and outstanding at July 30, 2017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68,080 shares issued and outstanding at October 30, 2016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855,128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40" w:type="dxa"/>
            <w:vAlign w:val="bottom"/>
            <w:gridSpan w:val="6"/>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gridSpan w:val="8"/>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gridSpan w:val="6"/>
          </w:tcPr>
          <w:p>
            <w:pPr>
              <w:jc w:val="center"/>
              <w:ind w:left="35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123,209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329,707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(91,759)</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(264,835)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(5,466)</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11,453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40,944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74,317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76,990</w:t>
            </w:r>
          </w:p>
        </w:tc>
        <w:tc>
          <w:tcPr>
            <w:tcW w:w="0" w:type="dxa"/>
            <w:vAlign w:val="bottom"/>
          </w:tcPr>
          <w:p>
            <w:pPr>
              <w:spacing w:after="0"/>
              <w:rPr>
                <w:sz w:val="1"/>
                <w:szCs w:val="1"/>
                <w:color w:val="auto"/>
              </w:rPr>
            </w:pPr>
          </w:p>
        </w:tc>
      </w:tr>
      <w:tr>
        <w:trPr>
          <w:trHeight w:val="21"/>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4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 of $0: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business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340,572</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291,669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and Nine Months Ended July 30, 2017 and July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Photronics, Inc. and its subsidiaries (“Photronics”, “the Company”, “we”, “our”, or “us”) is one of the world’s leading manufacturers of photomasks, which are high precision photographic quartz plates containing microscopic images of electronic circuits. Photomasks are a key element in the manufacture of integrated circuits (“ICs”) and flat panel displays (“FPDs”), and are used as masters to transfer circuit patterns onto IC wafers and flat panel substrates during the fabrication of ICs and a variety of FPDs and, to a lesser extent, other types of electrical and optical components. We currently operate principally from nine manufacturing facilities, two of which are located in Europe, three in Taiwan, one in Korea, and three in the United States. We have announced our plans to construct two manufacturing facilities in China as we expand our global manufacturing footprint. Please refer to Note 15 for additional information.</w:t>
      </w:r>
    </w:p>
    <w:p>
      <w:pPr>
        <w:spacing w:after="0" w:line="188" w:lineRule="exact"/>
        <w:rPr>
          <w:sz w:val="20"/>
          <w:szCs w:val="20"/>
          <w:color w:val="auto"/>
        </w:rPr>
      </w:pPr>
    </w:p>
    <w:p>
      <w:pPr>
        <w:ind w:right="20" w:firstLine="243"/>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All intercompany accounts and transactions have been eliminated in consolidation. In the opinion of management, adjustments, all of which are of a normal recurring nature, considered necessary for a fair presentation have been included. We are typically impacted during our first fiscal quarter by the North American and European holiday periods, as some customers reduce their effective workdays and orders during these periods. Additionally, we can be impacted during its first or second quarter by the Asian New Year holiday period, which may also reduce customer orders. Operating results for the interim period are not necessarily indicative of the results that may be expected for the fiscal year ending October 29, 2017. For further information, refer to the consolidated financial statements and notes thereto included in our Annual Report on Form 10-K for the year ended October 30, 2016.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CHANGES IN EQUITY</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set forth our consolidated changes in equity for the three and nine month periods ended July 30, 2017 and July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July 30, 2017</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gridSpan w:val="5"/>
            <w:vMerge w:val="continue"/>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0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114,875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 purchase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vesting and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30, 2017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545,743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184,005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July 31, 2016</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20" w:type="dxa"/>
            <w:vAlign w:val="bottom"/>
            <w:gridSpan w:val="7"/>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gridSpan w:val="7"/>
            <w:vMerge w:val="continue"/>
          </w:tcPr>
          <w:p>
            <w:pPr>
              <w:spacing w:after="0"/>
              <w:rPr>
                <w:sz w:val="20"/>
                <w:szCs w:val="20"/>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0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2, 2016</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67,943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538,535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162,916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109,488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awards vesting and expense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of capital to noncontrolling interests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July 31, 2016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67,968</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539,562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113,071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July 30, 2017</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20" w:type="dxa"/>
            <w:vAlign w:val="bottom"/>
            <w:gridSpan w:val="7"/>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gridSpan w:val="7"/>
            <w:vMerge w:val="continue"/>
          </w:tcPr>
          <w:p>
            <w:pPr>
              <w:spacing w:after="0"/>
              <w:rPr>
                <w:sz w:val="20"/>
                <w:szCs w:val="20"/>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0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2016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68,080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541,093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115,111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16,520</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 employee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awards vesting and expense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dividend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gridSpan w:val="2"/>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30, 2017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68,547</w:t>
            </w:r>
          </w:p>
        </w:tc>
        <w:tc>
          <w:tcPr>
            <w:tcW w:w="2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545,743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184,005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115,846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855,128</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July 31, 2016</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22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gridSpan w:val="6"/>
            <w:vMerge w:val="continue"/>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400" w:type="dxa"/>
            <w:vAlign w:val="bottom"/>
            <w:gridSpan w:val="3"/>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2015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526,402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115,511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40,944</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 purchase plans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awards vesting and expense</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debt to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of subsidiary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dividend payable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to noncontrolling interests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67,968</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539,562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171,004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113,071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(“FIFO”) method, or market. Presented below are the components of inventory at the balance sheet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18"/>
                <w:szCs w:val="18"/>
                <w:color w:val="auto"/>
              </w:rPr>
            </w:pPr>
          </w:p>
        </w:tc>
        <w:tc>
          <w:tcPr>
            <w:tcW w:w="34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30,</w:t>
            </w:r>
          </w:p>
        </w:tc>
        <w:tc>
          <w:tcPr>
            <w:tcW w:w="100" w:type="dxa"/>
            <w:vAlign w:val="bottom"/>
          </w:tcPr>
          <w:p>
            <w:pPr>
              <w:spacing w:after="0"/>
              <w:rPr>
                <w:sz w:val="24"/>
                <w:szCs w:val="24"/>
                <w:color w:val="auto"/>
              </w:rPr>
            </w:pPr>
          </w:p>
        </w:tc>
        <w:tc>
          <w:tcPr>
            <w:tcW w:w="34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1,475,755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23,961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1,661,549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1,155,115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506,434</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6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jc w:val="right"/>
              <w:ind w:right="674"/>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Equipment under capital leases are included in above property, plant and equipment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was $20.6 million and $60.5 million for the three and nine month periods ended July 30, 2017, respectively, and $18.4 million and $56.4 million for the three and nine month periods ended July 31, 2016, respectively.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January 29, 2017, the Company acquired a business comprised of manufacturing assets and certain intellectual property, that enables the Company to expand its manufacturing capability, primarily in large area masks for IC, for approximately $5.7 million, including a $0.3 million holdback payable one year from the acquisition date. The transaction was accounted for in accordance with ASC 805, “Business Combinations”, with substantially all of the purchase price being allocated to long-lived assets that are being depreciated over five years.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January 29, 2017, the Company entered into a noncash transaction with a customer which resulted in the acquisition of equipment with a fair value of approximately $0.1 million and $5.1 million in the three and nine month periods ended July 30, 2017,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an agreement to license photomask technology developed by Micron, as well as, certain supply agreements. In May 2016 the Company sold its investment in MP Mask to Micron for $93.1 million and recorded a gain on the sale of $0.1 million. On that same date a supply agreement commenced between the Company and Micron, which provided that we would be the majority outsourced supplier of Micron’s photomasks and related services. The supply agreement had a one year term and expired in May 2017. The Company forevermore has the right to use the technology it acquired under the prior technology license agreement.</w:t>
      </w:r>
    </w:p>
    <w:p>
      <w:pPr>
        <w:spacing w:after="0" w:line="21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joint venture was a variable interest entity (“VIE”) (as that term is defined in ASC 810)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ASC 810 as the entity that consolidates a VIE) of the VIE. As a result of the reassessments in fiscal year 2016, the Company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utilized MP Mask for both high-end IC photomask production and research and development purposes. MP Mask charged its variable interest holders based on their actual usage of its facility. MP Mask separately charged for any research and development activities it engaged in at the requests of its owners. The Company recorded cost of sales of $0.8 million and $5.7 million during the three and nine month periods ended July 31, 2016, respectively, and research and development expenses of $0.5 million during the nine month period ended July 31, 2016.</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loss of $0.1 million related to its investment in MP Mask during the nine month period ended July 31, 2016. Income or loss from the VIE is included in “Interest and other income (expense), net” in the condensed consolidated statements of income.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5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 LONG-TERM BORROWINGS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2.77% capital lease obligation payable through July 2018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stipulates that we may not pay cash dividends on Photronics, Inc. stock, and is subject to a minimum interest coverage ratio, total leverage ratio and minimum unrestricted cash balance financial covenants, all of which the Company was in compliance with at July 30, 2017. The Company had no outstanding borrowings against the credit facility at July 30, 2017, and $50 million was available for borrowing. The interest rate on the credit facility (2.49% at July 30, 2017) is based on the Company’s total leverage ratio at LIBOR plus a spread, as defined in the credit facility. In May 2017 the credit facility was amended primarily for our new joint venture and FPD manufacturing facility in China. See Note 15 for additional discussion of our new joint venture in China and our expansion of FPD manufacturing into China.</w:t>
      </w:r>
    </w:p>
    <w:p>
      <w:pPr>
        <w:spacing w:after="0" w:line="21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Accounting Standard Update (“ASU” or “Update”) 2015-03 “Simplifying the Presentation of Debt Issuance Costs” in the first quarter of its 2017 fiscal year. This ASU requires debt issuance costs related to a recognized debt liability to be presented in the balance sheet as a direct reduction from that debt liability, consistent with the presentation of a debt discount. We adopted this ASU on a retrospective basis, as a result of which our October 30, 2016, condensed consolidated balance sheet and its related long-term borrowings note have been adjusted, as necessary, to reflect this Update’s adoption. The effect on our October 30, 2016, condensed consolidated balance sheet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Due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Retrospectively</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 Adoption</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62,139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61,860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21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July 30, 2017, the total amount payable through the end of the lease term was $6.1 million, of which $6.0 million represented principal and $0.1 million represented interest.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56"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the Company or its subsidiaries. In the event of a change in control (as defined in the Plan), the vesting of awards may be accelerated. Total share-based compensation costs for each of the three month periods ended July 30, 2017 and July 31, 2016, was $1.0 million, and was $2.8 million for each of the nine month periods ended July 30, 2017 and July 31, 2016, respectively. The Company received cash from option exercises of $0.1 million and $2.2 million in the three and nine month periods ended July 30, 2017, respectively, and $0.1 million and $2.9 million in the three and nine month periods ended July 31, 2016, respectively. No share-based compensation cost was capitalized as part of an asset and no related income tax benefits were recorded during the periods presented.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1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inputs and risk-free rate of return ranges used to calculate the grant date fair value of options issued during the three and nine month periods ended July 30, 2017 and July 31, 2016, are presented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20" w:type="dxa"/>
            <w:vAlign w:val="bottom"/>
            <w:tcBorders>
              <w:top w:val="single" w:sz="8" w:color="auto"/>
            </w:tcBorders>
            <w:gridSpan w:val="5"/>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860" w:type="dxa"/>
            <w:vAlign w:val="bottom"/>
            <w:tcBorders>
              <w:top w:val="single" w:sz="8" w:color="auto"/>
            </w:tcBorders>
            <w:gridSpan w:val="2"/>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center"/>
              <w:ind w:right="5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6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July 30, 2017, is presented below.</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8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8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620" w:type="dxa"/>
            <w:vAlign w:val="bottom"/>
            <w:gridSpan w:val="5"/>
          </w:tcPr>
          <w:p>
            <w:pPr>
              <w:spacing w:after="0"/>
              <w:rPr>
                <w:sz w:val="19"/>
                <w:szCs w:val="19"/>
                <w:color w:val="auto"/>
              </w:rPr>
            </w:pPr>
          </w:p>
        </w:tc>
        <w:tc>
          <w:tcPr>
            <w:tcW w:w="8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spacing w:after="0"/>
              <w:rPr>
                <w:sz w:val="19"/>
                <w:szCs w:val="19"/>
                <w:color w:val="auto"/>
              </w:rPr>
            </w:pPr>
          </w:p>
        </w:tc>
        <w:tc>
          <w:tcPr>
            <w:tcW w:w="180" w:type="dxa"/>
            <w:vAlign w:val="bottom"/>
            <w:gridSpan w:val="2"/>
          </w:tcPr>
          <w:p>
            <w:pPr>
              <w:spacing w:after="0"/>
              <w:rPr>
                <w:sz w:val="19"/>
                <w:szCs w:val="19"/>
                <w:color w:val="auto"/>
              </w:rPr>
            </w:pPr>
          </w:p>
        </w:tc>
        <w:tc>
          <w:tcPr>
            <w:tcW w:w="11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30, 2017</w:t>
            </w:r>
          </w:p>
        </w:tc>
        <w:tc>
          <w:tcPr>
            <w:tcW w:w="1620" w:type="dxa"/>
            <w:vAlign w:val="bottom"/>
            <w:gridSpan w:val="5"/>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3,405,060</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 years</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20" w:type="dxa"/>
            <w:vAlign w:val="bottom"/>
            <w:gridSpan w:val="5"/>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July 30, 2017</w:t>
            </w:r>
          </w:p>
        </w:tc>
        <w:tc>
          <w:tcPr>
            <w:tcW w:w="1620" w:type="dxa"/>
            <w:vAlign w:val="bottom"/>
            <w:gridSpan w:val="5"/>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2,179,444</w:t>
            </w: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4.8 years</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-556895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were no share options granted during the three month period ended July 30, 2017 and there were 45,000 share options granted during the three month period ended July 31, 2016, with a weighted-average grant date fair value of $3.44 per share. There were 348,750 share options granted during the nine month period ended July 30, 2017, with a weighted-average grant date fair value of $3.59 per share and 647,250 share options granted during the nine month period ended July 31, 2016, with a weighted-average grant date fair value of $4.55 per share. As of July 30, 2017, the total unrecognized compensation cost related to unvested option awards was approximately $3.6 million. That cost is expected to be recognized over a weighted-average amortization period of 2.1 years.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fair value of restricted stock awards is based on the Company’s closing stock price on the date of grant. The restrictions on these awards typically lapse over a service period of less-than-one to four years. There were 5,000 restricted stock awards granted during the three month period ended July 30, 2017, with a grant date fair value of $10.15, and 290,000 restricted stock awards granted during the nine month period ended July 30, 2017, with a weighted-average grant date fair value of $11.28 per share. No restricted stock awards were granted during the three month period ended July 31, 2016 and 115,225 restricted stock awards were granted during the nine month period ended July 31, 2016, with a weighted-average grant date fair value of $12.13 per share. As of July 30, 2017, the total compensation cost not yet recognized related to unvested restricted stock awards was approximately $2.9 million. That cost is expected to be recognized over a weighted-average amortization period of 2.7 years. As of July 30, 2017, there were 324,181 shares of restricted stock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U.S. statutory rate of 35% in the three and nine month periods ended July 30, 2017 and July 31, 2016, primarily due to earnings being taxed at lower statutory rates in foreign jurisdictions, combined with the benefit of various investment credits in a foreign jurisdiction. Valuation allowances in jurisdictions with historic losses eliminate the tax benefit of these jurisdictions.</w:t>
      </w:r>
    </w:p>
    <w:p>
      <w:pPr>
        <w:spacing w:after="0" w:line="20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July 31, 2016, we determined that deferred tax assets of $2.5 million, whose realization was previously not considered to be more likely than not, are realizable and, therefore, reduced their related valuation allowance. During the nine month period ended July 31, 2016, we realized a $2.4 million benefit, which resulted from the reversal of a previously recorded undistributed earnings tax liability in a foreign jurisdiction. As a result of a shareholder action to approve a dividend in this jurisdiction, we determined that we are no longer liable for this tax. In addition, during the nine month period ended July 31, 2016, $0.7 million of withholding tax was incurred upon the completion of a foreign subsidiary’s share redemption.</w:t>
      </w:r>
    </w:p>
    <w:p>
      <w:pPr>
        <w:spacing w:after="0" w:line="21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were $3.2 million at July 30, 2017 and $4.6 million at October 30, 2016, all of which, if recognized, would favorably impact our effective tax rate. Accrued interest and penalties related to unrecognized tax benefits was $0.1 million at July 30, 2017 and October 30, 2016. In the three and nine month periods ended July 30, 2017, the net reduction of unrecognized tax benefits was $0.8 and $1.2 respectively. The net reductions reflect the resolution of tax issues with foreign tax authorities and the expiration of assessment periods. Although the timing of the expirations of statutes of limitations may be uncertain, as they can be dependent upon the settlement of tax audits, we believe that it is reasonably possible that up to $1.1 million of our uncertain tax positions (including accrued interest and penalties, and net of tax benefits) may be resolved over the next twelve months. The resolution of these uncertain tax positions may result from either or both the lapses of statutes of limitations and tax settlements.</w:t>
      </w:r>
    </w:p>
    <w:p>
      <w:pPr>
        <w:spacing w:after="0" w:line="21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PKLT Co. Ltd., our FPD manufacturing facility in Taiwan, has been accorded a tax holiday, which started in 2012 and expires in 2017. This tax holiday had no dollar or per share effect in the three or nine month periods ended July 30, 2017 and July 31, 2016. Photronics DNP Mask Corporation (“PDMC”), our IC manufacturing facility in Taiwan, was accorded a tax holiday that commenced in 2015 and expires in 2019. We realized $0.1 million in tax benefits from this tax holiday in each of the three month periods ended July 30, 2017 and July 31, 2016, and $0.2 million in the nine month periods ended July 30, 2017 and July 31, 2016. This tax holiday had no per share effect in the three and nine month periods ended July 30, 2017 and July 31, 2016.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 on convertible notes, net of tax</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for diluted earnings per share</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76,990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Borders>
              <w:top w:val="single" w:sz="8" w:color="auto"/>
            </w:tcBorders>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14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14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15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CHANGES IN ACCUMULATED OTHER COMPREHENSIVE INCOME BY COMPONENT</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income by component (net of tax of $0) for the three and nine month periods ended July 30, 2017 and July 31, 2016.</w:t>
      </w:r>
    </w:p>
    <w:p>
      <w:pPr>
        <w:sectPr>
          <w:pgSz w:w="11900" w:h="16838" w:orient="portrait"/>
          <w:cols w:equalWidth="0" w:num="1">
            <w:col w:w="11380"/>
          </w:cols>
          <w:pgMar w:left="240" w:top="11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Other comprehensive income (loss) before reclassifications Amounts reclassified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Other comprehensive income (loss) before reclassifications Amounts reclassified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other comprehensive (income)loss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30, 2017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 July 30,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20" w:type="dxa"/>
            <w:vAlign w:val="bottom"/>
            <w:tcBorders>
              <w:top w:val="single" w:sz="8" w:color="auto"/>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1"/>
                <w:szCs w:val="21"/>
                <w:color w:val="auto"/>
              </w:rPr>
            </w:pPr>
          </w:p>
        </w:tc>
      </w:tr>
      <w:tr>
        <w:trPr>
          <w:trHeight w:val="414"/>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4,171</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4,442</w:t>
            </w: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4,474</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8,849</w:t>
            </w: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July 31, 2016</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1"/>
                <w:szCs w:val="21"/>
                <w:color w:val="auto"/>
              </w:rPr>
            </w:pPr>
          </w:p>
        </w:tc>
      </w:tr>
      <w:tr>
        <w:trPr>
          <w:trHeight w:val="414"/>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5,051</w:t>
            </w: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5,083</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(4,936)</w:t>
            </w: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 July 30,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1"/>
                <w:szCs w:val="21"/>
                <w:color w:val="auto"/>
              </w:rPr>
            </w:pPr>
          </w:p>
        </w:tc>
      </w:tr>
      <w:tr>
        <w:trPr>
          <w:trHeight w:val="414"/>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22,205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22,116</w:t>
            </w:r>
          </w:p>
        </w:tc>
      </w:t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22,205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22,212</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(5,692)</w:t>
            </w:r>
          </w:p>
        </w:tc>
      </w:tr>
      <w:tr>
        <w:trPr>
          <w:trHeight w:val="27"/>
        </w:trPr>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9,902</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8,849</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140"/>
            <w:col w:w="5480"/>
          </w:cols>
          <w:pgMar w:left="240" w:top="116" w:right="279" w:bottom="1440" w:gutter="0" w:footer="0" w:header="0"/>
          <w:type w:val="continuous"/>
        </w:sect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July 31, 2016</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8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 2015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0" w:type="dxa"/>
            <w:vAlign w:val="bottom"/>
          </w:tcPr>
          <w:p>
            <w:pPr>
              <w:spacing w:after="0"/>
              <w:rPr>
                <w:sz w:val="19"/>
                <w:szCs w:val="19"/>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31, 2016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amortization of the cash flow hedge is included in cost of sales in the condensed consolidated statements of income for all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207"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We did not have any assets or liabilities measured at fair value, on a recurring or a nonrecurring basis, at July 30, 2017 or October 30, 2016. In connection with the acquisition discussed in Note 4, we recorded and measured the assets acquired at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they were determined using inputs that were either observable market data, or could be derived from or corroborated with observable market data. These inputs included our stock price and interest rates offered on debt issued by entities with credit ratings similar to ours.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fair and carrying values of our convertible senior notes at July 30, 2017 and October 30,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July 30, 2017</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October 30, 2016</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2019</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68,644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68,230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57,221</w:t>
            </w: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30, 2017, we had commitments outstanding for capital equipment expenditures of approximately $60 million.</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that arise in the ordinary course of business. We believe such claims, individually or in the aggregate, will not have a material effect on our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SUBSIDIARY DIVIDEND</w:t>
      </w:r>
    </w:p>
    <w:p>
      <w:pPr>
        <w:spacing w:after="0" w:line="25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April 2017 PDMC, our majority owned IC subsidiary in Taiwan, declared a dividend of $16.6 million which 49.99%, or $8.3 million, was paid to the third party that owns a noncontrolling interest in PDMC in the third quarter fiscal year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GAIN ON SALE OF INVESTMENT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had a minority interest in a foreign entity. In the first quarter of fiscal year 2016, we sold this investment and realized a gain of $8.8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EXPANSION INTO CHINA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Expansion of IC Manufacturing into China</w:t>
      </w:r>
    </w:p>
    <w:p>
      <w:pPr>
        <w:spacing w:after="0" w:line="25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May 2017 we announced that we have entered into an agreement with Dai Nippon Printing Co., Ltd. (DNP) to form a joint venture to serve semiconductor manufacturers in China. Under the agreement, our wholly owned Singapore subsidiary will own 50.01% of the joint venture, which will be named Photronics DNP Mask Corporation Xiamen (PDMCX), and a subsidiary of DNP will own the remaining 49.99%. The financial results of the joint venture will be included in Photronics’ consolidated financial statements.</w:t>
      </w:r>
    </w:p>
    <w:p>
      <w:pPr>
        <w:spacing w:after="0" w:line="20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This IC investment in China of $160 million, which we initially announced in August 2016, will be based in Xiamen, China. Construction of the facility is currently underway, and production is anticipated to commence in early 2019. Photronics and DNP will contribute cash, in proportion to their ownership percentages, over five years to fund the equity portion of the investment, which will also receive certain incentives and support from the local industrial development zone. The joint venture, itself, may also fund a portion of the investment with local borrowings. The formation of the joint venture, which is subject to regulatory approvals and customary closing conditions, is expected to be completed by the end of our 2017 fiscal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Expansion of FPD Manufacturing into China</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August 2017 we announced that Photronics, UK, Ltd., a wholly owned subsidiary of ours, signed an investment agreement with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Hefei State Hi-tech Industry Development Zone will provide certain investment incentives and support for this facility, which will have initial capability to produce up to G10.5 large area masks and AMOLED products. Construction is planned to begin in late 2017 and production is anticipated to commence in early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RECENT ACCOUNTING PRONOUNCEMENTS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ASU 2017-04 “Simplifying the Test for Goodwill Impairment”, which eliminates Step 2 of the goodwill impairment test and requires entities to perform their annual or interim goodwill impairment test by comparing the fair value of a reporting unit with its carrying amount, and to recognize an impairment charge for the amount by which the carrying amount exceeds the reporting unit’s fair value. In addition, this ASU eliminates the requirements for any reporting unit with a zero or negative carrying amount to perform a qualitative assessment and, in the event the reporting unit fails the qualitative test, to perform Step 2 of the goodwill impairment test. ASU 2017-04 is effective for the Company in its first quarter of its fiscal year 2021, and should be applied on a prospective basis. The impact of this ASU will depend upon the nature of future acquisitions that the Company may make.</w:t>
      </w:r>
    </w:p>
    <w:p>
      <w:pPr>
        <w:spacing w:after="0" w:line="21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2017-01 “Clarifying the Definition of a Business”, with the objective of adding guidance to assist entities with evaluating whether transactions should be accounted for as acquisitions (or disposals) of assets or businesses. ASU 2017-01 is effective for the Company in its first quarter of fiscal year 2019, and should be applied on a prospective basis. The impact of this ASU will depend upon the nature of future acquisitions or dispositions that the Company may make.</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the Company in its first quarter of fiscal year 2019 and should be applied on a retrospective transition basis. Early adoption is permitted, including adoption in an interim period. The Company is currently evaluating the effect this ASU will have on its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the Company in its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The Company is currently evaluating the effect this ASU will have on its consolidated financial statements.</w:t>
      </w:r>
    </w:p>
    <w:p>
      <w:pPr>
        <w:spacing w:after="0" w:line="211"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In August 2016 the FASB issued ASU 2016-15 “Classification of Certain Cash Receipts and Cash Payments”, which addresses eight specific cash flow issues with the objective of reducing diversity in practice. ASU 2016-15 is effective for the Company in its first quarter of fiscal year 2019 and should be applied using a retrospective transition approach. The Company is currently evaluating the effect this ASU will have on its consolidated financial statements.</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the Company in its first quarter of fiscal year 2021, with early adoption permitted beginning in the first quarter of fiscal year 2019. The Company is currently evaluating the effect this ASU will have on its consolidated financial statements.</w:t>
      </w:r>
    </w:p>
    <w:p>
      <w:pPr>
        <w:spacing w:after="0" w:line="2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ASU 2016-09 is effective for the Company in its first quarter of fiscal year 2018, with early application permitted. The Company is currently evaluating the effect this ASU will have on its consolidated financial statements.</w:t>
      </w:r>
    </w:p>
    <w:p>
      <w:pPr>
        <w:spacing w:after="0" w:line="21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the Company in its first quarter of fiscal year 2020, with early application permitted, and the Company is currently evaluating the effect this ASU will have on its consolidated financial statements.</w:t>
      </w:r>
    </w:p>
    <w:p>
      <w:pPr>
        <w:spacing w:after="0" w:line="21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ASU 2016-01 is to be applied by means of a cumulative effect adjustment to the balance sheet as of the beginning of the fiscal year of adoption.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April 2015 the FASB issued ASU 2015-03 “Simplifying the Presentation of Debt Issuance Costs”, which requires debt issuance costs related to a recognized debt liability to be presented in the balance sheet as a direct deduction from that debt liability, consistent with the presentation of a debt discount. The Company adopted this ASU, and applied it on a retrospective basis, in the first quarter of its 2017 fiscal year. See Note 6 for the effects of its adoption on the Company’s October 30, 2016, condensed consolidated balance sheet.</w:t>
      </w:r>
    </w:p>
    <w:p>
      <w:pPr>
        <w:spacing w:after="0" w:line="20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2019. ASU 2014-09 allows for either full retrospective or modified retrospective adoption. The Company is evaluating the transition method that will be elected and the potential effects of the adoption of ASU 2014-09 on its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(“MD&amp;A”) of our financial condition and results of operations should be read in conjunction with our condensed consolidated financial statements and related notes. Various segments of this MD&amp;A contain forward-looking statements, all of which are presented based on current expectations, may be adversely affected by uncertainties and risk factors (presented throughout this filing and in our Annual Report on Form 10-K for the fiscal 2016 year) that may cause actual results to materially differ from these expectations.</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sell substantially all of our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our selling cycle is tightly interwoven with the development and release of new semiconductor designs and flat panel applications, particularly as it relates to the semiconductor industry’s migration to more advanced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2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Significant customer concentration is inherent in both our high-end IC and FPD businesses, as our largest FPD customer sometimes represents close to one-half of our FPD sales, and our largest IC customer can account for one-fourth of our IC sales. While this is beneficial to us when order levels from these large customers are high, it can present challenges when these customers’ short-term photomask demands slip, which can happen for a number of reasons. As is the case with other suppliers to the high-end semiconductor and display sectors, the concentration of our customers has increased through industry consolidation and attrition. The result of this customer concentration trend is that our sales are often subject to short-term volatility – particularly for high-end products. We believe our investments in China, which are discussed in Note 15 of our condensed consolidated financial statements, will serve to somewhat alleviate this volatility.</w:t>
      </w:r>
    </w:p>
    <w:p>
      <w:pPr>
        <w:spacing w:after="0" w:line="216"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merchant photomask companies, such as Photronics, there is an additional challenge, as more of our customers are employing captive photomask producing operations. This necessitates that we focus on areas that complement these captives in order for us to preserve our market share. Specifically, we endeavor to provide advanced technology photomasks and superior customer service, and thereby offer our customers a compelling alternative to expanding their captive photomask operations.</w:t>
      </w:r>
    </w:p>
    <w:p>
      <w:pPr>
        <w:spacing w:after="0" w:line="20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We are typically required to fulfill customer orders within a short period of time, sometimes within 24 hours. This results in us having a minimal level of backlog orders of, typically, one to two weeks. We cannot predict the timing of the industry’s transition to volume production of next-generation technology nodes or the timing of up and down cycles with precise accuracy, but believe that such transitions and cycles will continue into the future, beneficially and adversely affecting our business, financial condition and operating results as they occur. We believe our ability to remain successful in these environments is dependent upon achieving our goals of being a service and technology leader and efficient solutions supplier, which we believe should enable us to continually reinvest in our global infrastructure.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July 30, 2017 and July 31, 2016</w:t>
      </w:r>
    </w:p>
    <w:p>
      <w:pPr>
        <w:spacing w:after="0" w:line="23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All of the following tabular comparisons, unless otherwise indicated, are for the three months ended July 30, 2017 (Q3-17) and July 31, 2016 (Q3-16), and for the nine months ended July 30, 2017 (YTD-17) and July 31, 2016 (YTD-16), in millions of dollars.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selected operating information expressed as a percentage of net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Q3-17</w:t>
            </w:r>
          </w:p>
        </w:tc>
        <w:tc>
          <w:tcPr>
            <w:tcW w:w="280" w:type="dxa"/>
            <w:vAlign w:val="bottom"/>
            <w:tcBorders>
              <w:top w:val="single" w:sz="8" w:color="auto"/>
            </w:tcBorders>
            <w:gridSpan w:val="2"/>
          </w:tcPr>
          <w:p>
            <w:pPr>
              <w:spacing w:after="0"/>
              <w:rPr>
                <w:sz w:val="19"/>
                <w:szCs w:val="19"/>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Q3-16</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Q3-17</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Q3-16</w:t>
            </w:r>
          </w:p>
        </w:tc>
        <w:tc>
          <w:tcPr>
            <w:tcW w:w="180" w:type="dxa"/>
            <w:vAlign w:val="bottom"/>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22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123.2</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376.1</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Net sales for Q3-17 decreased 9.4% to $111.6 million as compared with $123.2 million for Q3-16. The decrease was primarily the result of lower high-end sales of both IC ($7.7 million) and FPD ($5.1 million) products. Revenues from mainstream IC products increased by $1.2 million, or 2.0%, while revenues were unchanged for mainstream FPD products. High-end photomask applications include mask sets for 45 nanometer and below for IC products, and G8 and above and active matrix organic light-emitting diode (AMOLED) display screen technologies for FPD products. Net sales for YTD-17 decreased by 12.3% to $329.7 million as a result of decreased high-end IC and FPD sales of $34.7 million and $20.0 million, respectively. The overall decline in sales of high-end products of 30.9% was partially offset by an increase in sales of mainstream products of $8.3 million, or 4.1%, of which approximately $6.6 million was attributable to IC photomasks.</w:t>
      </w:r>
    </w:p>
    <w:p>
      <w:pPr>
        <w:spacing w:after="0" w:line="216"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Sales of high-end memory IC photomasks have increased sequentially, in each of the last three quarters, and we expect current sales levels to sustain, while high-end logic sales have been soft, as a large IC customer has experienced market share loss for some advanced nodes, and are not forecasted to recover until 2018. For the balance of 2017 and into 2018, we expect our markets to improve with the exception of high-end logic, where recovery is still a few quarters away. Our high-end memory business continues to grow and we anticipate continued volume growth in FPD, as we install more capacity. However, it may be another quarter or two before product mix turns more favorably towards high-end sales. We remain optimistic regarding our long-term growth expectation of all of our high-end markets, but see a slower recovery in high-end logic and high-end FPD, as their recoveries will be significantly dictated by the demands of our largest customers.</w:t>
      </w:r>
    </w:p>
    <w:p>
      <w:pPr>
        <w:sectPr>
          <w:pgSz w:w="11900" w:h="16838" w:orient="portrait"/>
          <w:cols w:equalWidth="0" w:num="1">
            <w:col w:w="11420"/>
          </w:cols>
          <w:pgMar w:left="240" w:top="115"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The following table presents changes in net sales from Q3-16 to Q3-17 and YTD-16 to YTD-17 by geographic area: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Q3-16 to Q3-17</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YTD-16 to YTD-17</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in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Net Sales in</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Q3-17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80" w:type="dxa"/>
            <w:vAlign w:val="bottom"/>
          </w:tcPr>
          <w:p>
            <w:pPr>
              <w:spacing w:after="0"/>
              <w:rPr>
                <w:sz w:val="21"/>
                <w:szCs w:val="21"/>
                <w:color w:val="auto"/>
              </w:rPr>
            </w:pPr>
          </w:p>
        </w:tc>
        <w:tc>
          <w:tcPr>
            <w:tcW w:w="160" w:type="dxa"/>
            <w:vAlign w:val="bottom"/>
            <w:tcBorders>
              <w:bottom w:val="single" w:sz="8" w:color="auto"/>
            </w:tcBorders>
            <w:gridSpan w:val="2"/>
          </w:tcPr>
          <w:p>
            <w:pPr>
              <w:spacing w:after="0"/>
              <w:rPr>
                <w:sz w:val="21"/>
                <w:szCs w:val="21"/>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(17.5)</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0.4</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(46.4)</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Q3-17</w:t>
            </w:r>
          </w:p>
        </w:tc>
        <w:tc>
          <w:tcPr>
            <w:tcW w:w="2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Q3-16</w:t>
            </w:r>
          </w:p>
        </w:tc>
        <w:tc>
          <w:tcPr>
            <w:tcW w:w="240" w:type="dxa"/>
            <w:vAlign w:val="bottom"/>
            <w:gridSpan w:val="3"/>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280" w:type="dxa"/>
            <w:vAlign w:val="bottom"/>
            <w:gridSpan w:val="2"/>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26.1%</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margin percentage decreased to 19.5% in Q3-17 from 25.5% in Q3-16, and to 19.7% in YTD-17 from 26.1% YTD-16. These decreases were primarily driven by lower high-end product sales and increased depreciation. We operate in a high fixed cost environment and, to the extent that our revenues and utilization increase or decrease, gross margin will generally be positively or negatively impacted.</w:t>
      </w:r>
    </w:p>
    <w:p>
      <w:pPr>
        <w:spacing w:after="0" w:line="236" w:lineRule="auto"/>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Q3-17</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Q3-16</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28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expenses  $</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11.6</w:t>
            </w: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 $</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80" w:firstLine="324"/>
        <w:spacing w:after="0" w:line="313" w:lineRule="auto"/>
        <w:rPr>
          <w:sz w:val="20"/>
          <w:szCs w:val="20"/>
          <w:color w:val="auto"/>
        </w:rPr>
      </w:pPr>
      <w:r>
        <w:rPr>
          <w:rFonts w:ascii="Times New Roman" w:cs="Times New Roman" w:eastAsia="Times New Roman" w:hAnsi="Times New Roman"/>
          <w:sz w:val="17"/>
          <w:szCs w:val="17"/>
          <w:color w:val="auto"/>
        </w:rPr>
        <w:t>Selling, general and administrative expenses increased 4.3% in Q3-17 from Q3-16, primarily as a result of increased professional service fees. Year to date, selling, general and administrative expenses decreased 2.9% compared to the prior period, primarily due to the release of doubtful accounts reserves.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880" w:type="dxa"/>
            <w:vAlign w:val="bottom"/>
            <w:gridSpan w:val="4"/>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Q3-17</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7"/>
              </w:rPr>
              <w:t>Q3-16</w:t>
            </w:r>
          </w:p>
        </w:tc>
        <w:tc>
          <w:tcPr>
            <w:tcW w:w="2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28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 $</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to $4.8 million in Q3-17, as compared with $5.5 million in Q3-16 and by $4.6 million to $12.0 million in YTD-17 from $16.6 million in YTD-16. These decreases are primarily reflective of reductions in activity levels of our global efforts associated with developing high-end process technologies for advanced sub-wavelength reticles.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6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Q3-17</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Q3-16</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(0.5)</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(0.1)</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Interest and other income (expense), net decreased in Q3-17 from $1.8 million in Q3-16 to $0.4 million, primarily as a result of the recognition of a $1.2 million favorable settlement of a liability in Q3-16 that was related to a prior year’s acquisition. Interest and other income (expense), net decreased in YTD-17 to $(4.2) million, as compared with $1.9 million in YTD-16, as a result of less unfavorable foreign currency exchange losses and the aforementioned settlement of a liability related to a prior year’s acquisition.</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Q3-17, interest expense decreased by $0.1 million from Q3-16 as a result of a reduced level of outstanding debt. Interest expense decreased in YTD-17 to $(1.6) million, as compared with $(2.7) million in YTD-16, primarily as a result of the impact of the maturing of our 3.25% convertible debt on April 1, 2016.</w:t>
      </w:r>
    </w:p>
    <w:p>
      <w:pPr>
        <w:spacing w:after="0" w:line="20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January 2016 the Company sold a minority interest investment in a foreign entity and realized a gain of $8.8 million. In May 2016 the Company sold its 49.99% interest in the MP Mask Joint Venture and realized a gain of $0.2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8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Q3-17</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Q3-16</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3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0.3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29.4%</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is sensitive to the jurisdictional mix of earnings, due in part to the non-recognition of tax benefits on losses in jurisdictions with valuation allowances. As of each reporting date, we consider new evidence, both positive and negative, that could impact our view with regards to the future realizations of deferred tax assets and the appropriateness of their related valuation allowances.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decrease in Q3-17, as compared with Q3-16, was primarily attributable to a lower percentage of income before income taxes being earned in jurisdictions where we do not maintain valuation allowances and, therefore, recognize tax expense. In addition, the recognition of previously unrecognized tax benefits, as the result of audit settlements and assessment period statute expirations, contributed to the decrease in the effective income tax rate.</w:t>
      </w:r>
    </w:p>
    <w:p>
      <w:pPr>
        <w:spacing w:after="0" w:line="20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effective income tax rate increase in YTD-17, as compared with YTD-16, was primarily as a result of the following YTD-16 factors: the recognition of $2.5 million of previously unrecognized deferred tax assets which resulted from the improved performance of our FPD operations; the reversal of previously recognized tax expense of $2.4 million that was eliminated by a distribution of the earnings of a foreign subsidiary to its foreign parent; a higher percentage of income before income taxes, including an $8.8 million gain on the sale of an investment in the first quarter of fiscal year 2016, generated in jurisdictions where we previously incurred losses that, due to valuation allowances, did not result in us recognizing expense. The YTD-16 benefits were partially matched by the YTD-17 benefit realized from the recognition of previously unrecognized tax benefits, which were the result of audit settlements and assessment period statute expirations.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5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$0.8 million in Q3-17, as compared with income of $3.4 million in Q3-16, and was $3.0 million in YTD-17, as compared with $8.2 million in YTD-16. These changes reflect changes in the financial performance of our majority-owned IC manufacturing subsidiary in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working capital increased to $389.3 million at July 30, 2017, as compared with $360.3 million at October 30, 2016, primarily as a result of cash generated from operating activities. Cash and cash equivalents increased to $340.6 million at July 30, 2017, as compared with $314.1 million at October 30, 2016, also primarily as a result of cash arising from operating activities. Net cash provided by operating activities was $73.8 million for the nine month period ended July 30, 2017, as compared with $91.4 million for the nine month period ended July 31, 2016, with the decrease being primarily due to the reduced net income in the current period. Net cash used in investing activities for the nine month period ended July 30, 2017, was $44.5 million, which was comprised primarily of capital expenditure payments and, to a lesser extent, a payment to acquire a business. Net cash used in financing activities of $9.9 million for the nine month period ended July 30, 2017, was comprised of repayments of long-term borrowings of $4.1 million and the payment of a dividend to the noncontrolling interest of a subsidiary of $8.3 million, which were partially offset by proceeds of $2.5 million received from exercises of employee stock options. We may use our available cash for operations, capital expenditures, debt repayments, strategic opportunities, stock repurchases or other corporate uses, any of which may be material.</w:t>
      </w:r>
    </w:p>
    <w:p>
      <w:pPr>
        <w:spacing w:after="0" w:line="213"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July 30, 2017 and October 30, 2016, our total cash and cash equivalents included $179.2 million and $141.4 million, respectively, held at foreign subsidiaries. The majority of earnings of our foreign subsidiaries are considered to be indefinitely reinvested. The repatriation of these funds to the U.S. may subject these funds to U.S. federal income taxes and local country withholding tax in certain jurisdictions. Our foreign subsidiaries continue to grow through the reinvestment of earnings in additional manufacturing capacity and capability, particularly in the high-end IC and FPD areas.</w:t>
      </w:r>
    </w:p>
    <w:p>
      <w:pPr>
        <w:spacing w:after="0" w:line="20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April 2017 PDMC, our majority owned IC manufacturing subsidiary in Taiwan, declared a dividend of approximately $16.6 million, approximately $8.3 million of which was paid to the third party that owns a noncontrolling interest in PDMC in the third quarter of fiscal year 2017.</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2016 we received cash of $93.1 million in connection with the sale of our investment in MP Mask to Micron.</w:t>
      </w:r>
    </w:p>
    <w:p>
      <w:pPr>
        <w:spacing w:after="0" w:line="25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April 2016 PDMC, our majority owned IC manufacturing subsidiary in Taiwan, declared a dividend of approximately $23.8 million, approximately $11.9 million of which was paid to the third party that owns a noncontrolling interest in PDMC in the third quarter of fiscal year 2016.</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2016 $57.5 million of our senior convertible notes matured. We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20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credit facility, which expires in December 2018, has a $50 million limit with an expansion capacity to $75 million, and is secured by substantially all of our assets located in the United States and common stock we own in certain of our foreign subsidiaries. The credit facility is subject to a minimum interest coverage ratio, total leverage ratio and minimum unrestricted cash balance financial covenants, all of which we were in compliance with at July 30, 2017. We had no outstanding borrowings against the credit facility at July 30, 2017, and $50 million was available for borrowing. The interest rate on the credit facility (2.49% at July 30, 2017) is based on our total leverage ratio at LIBOR plus a spread, as defined in the credit facility. In May 2017 the credit facility was amended primarily for our new joint venture and FPD manufacturing facility in China. See Note 15 of the condensed consolidated financial statements for further discussion of our new joint venture in China and our expansion of FPD manufacturing into China.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July 30, 2017, we had capital equipment commitments outstanding of approximately $60 million. We believe that our currently available resources, together with our capacity for growth, and access to equity and other financing sources, will be sufficient to satisfy our currently planned capital expenditures, as well as our anticipated working capital requirements for the next twelve months. However, we cannot assure that additional sources of financing would be available to us on commercially favorable terms should our capital requirements exceed cash available from operations, existing cash, and cash available under our credit facility.</w:t>
      </w:r>
    </w:p>
    <w:p>
      <w:pPr>
        <w:spacing w:after="0" w:line="21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liquidity is highly dependent on our sales volume, cash conversion cycle, and the timing of our capital expenditures (which can vary significantly from period to period), as we operate in a high fixed cost environment. Depending on conditions in the semiconductor and FPD markets, our cash flows from operations and current holdings of cash may not be adequate to meet our current and long-term needs for capital expenditures, operations and debt repayments. However, we believe that our cash on hand, cash generated from our operations and cash committed under our credit facility will allow us to fund our operations through at least the next twelve months. Historically, in certain years, we have used external financing to fund these needs. Due to conditions in the credit markets, some financing instruments used by us in the past may not be currently available to us. We continue to evaluate further cost reduction initiatives. However, we cannot assure that additional sources of financing would be available to us on commercially favorable terms, should our cash requirements exceed cash available from operations, existing cash, and cash available under our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In April 2014 we acquired a 50.01% controlling interest of PDMC, our IC manufacturing facility located in Taiwan. Under the PDMC joint venture operating agreement the shareholders of PDMC may be requested to make additional contributions to PDMC. In the event that PDMC requests additional capital from its shareholders, the Company may, in order to maintain a 50.01% ownership interest, be required to make such contributions to PDMC. The PDMC operating agreement limits the amount of contributions that may be requested during both PDMC’s first four years and during any individual year within those first four years. As of July 30, 2017, we had not been requested to make any additional capital contributions to PDMC.</w:t>
      </w:r>
    </w:p>
    <w:p>
      <w:pPr>
        <w:spacing w:after="0" w:line="21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majority of our revenue growth is expected to continue to come from the Asian region, predominantly in China. In response to this expectation, we agreed to enter into a joint venture that will complete the construction of an IC research and development and manufacturing facility in Xiamen, China, in late 2018. Production is anticipated to begin at this facility in early 2019. In addition, in August 2017, we announced our plan to construct an FPD manufacturing facility in Hefei, China, in which production is anticipated to begin in early 2019. Please refer to Note 15 of our condensed consolidated financial statements for additional information on these undertakings.</w:t>
      </w:r>
    </w:p>
    <w:p>
      <w:pPr>
        <w:spacing w:after="0" w:line="21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continue to assess our global manufacturing strategy and monitor our sales volume and related cash flows from operations. This ongoing assessment could result in future facility closures, asset redeployments, impairments of intangible or long-lived assets, workforce reductions, or increasing our manufacturing capacity, all of which would be based on market conditions and customer requirements.</w:t>
      </w:r>
    </w:p>
    <w:p>
      <w:pPr>
        <w:spacing w:after="0" w:line="20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30, 2016, a number of other unforeseen factors could cause actual results to differ materially from our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5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See “Item 1. Condensed Consolidated Financial Statements– Notes to Condensed Consolidated Financial Statements – Note 16 – Recent Accounting Pronouncements” for recent accounting pronouncements that may affect our financial reporting.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 our worldwide operations and our financial performance may be affected by fluctuations in the exchange rates of these currencies. Changes in exchange rates can positively or negatively affect our sales, operating margins, assets, liabilities, and equity. The functional currencies of our Asian subsidiaries are the South Korean won, the New Taiwan dollar, and the Singapore dollar. The functional currencies of our European subsidiaries are the British pound and the euro. In addition, we have transactions and balances in Japanese yen and, as a result of our announced investments in China, we will have transactions in the Chinese renminbi.</w:t>
      </w:r>
    </w:p>
    <w:p>
      <w:pPr>
        <w:spacing w:after="0" w:line="211"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our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manufacturing facility. There can be no assurance that this approach will continue to be successful, especially in the event of a significant adverse movement in the value of any foreign currency against the U.S. dollar, the New Taiwan dollar or the South Korean won.</w:t>
      </w:r>
    </w:p>
    <w:p>
      <w:pPr>
        <w:spacing w:after="0" w:line="21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primary net foreign currency exposures as of July 30, 2017, included the South Korean won, the Japanese yen, the New Taiwan dollar, the Singapore dollar, the British pound and the euro. As of July 30, 2017, a 10% adverse movement in the value of these currencies against the functional currencies of our foreign subsidiaries would have resulted in a net unrealized pre-tax loss of $10.9 million. We do not believe that a 10% change in the exchange rates of other non-US dollar currencies would have a material effect on our consolidated financial position, results of operations, or cash flows in the three or nine month periods ended July 30,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July 30, 2017, we did not have any variable rate borrowings. A 10% change in interest rates would not have had a material effect on our consolidated financial position, results of operations, or cash flows in the three or nine month periods ended July 30, 2017.</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(who is the Company’s principal executive officer and principal financial officer),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evaluated the effectiveness of the design and operation of our disclosure controls and procedures as of the end of the period covered by this report. Based upon that evaluation our chief executive officer concluded that our disclosure controls and procedures were effective at a reasonable assurance level as of the end of the period covered by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our third quarter of fiscal year 2017 that has materially affected, or is reasonably likely to materially affect, our internal control over financial reporting.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our business as disclosed in Part 1, Item 1A of our Form 10-K for the year ended October 30, 2016</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459"/>
        </w:trPr>
        <w:tc>
          <w:tcPr>
            <w:tcW w:w="7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437"/>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198"/>
        </w:trPr>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8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7"/>
        </w:trPr>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7320" w:type="dxa"/>
            <w:vAlign w:val="bottom"/>
          </w:tcPr>
          <w:p>
            <w:pPr>
              <w:spacing w:after="0"/>
              <w:rPr>
                <w:sz w:val="20"/>
                <w:szCs w:val="20"/>
                <w:color w:val="auto"/>
              </w:rPr>
            </w:pPr>
          </w:p>
        </w:tc>
      </w:tr>
      <w:tr>
        <w:trPr>
          <w:trHeight w:val="176"/>
        </w:trPr>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5"/>
                <w:szCs w:val="15"/>
                <w:color w:val="auto"/>
              </w:rPr>
            </w:pPr>
          </w:p>
        </w:tc>
        <w:tc>
          <w:tcPr>
            <w:tcW w:w="8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Principle Executive Officer, and Principle Financial Officer pursuant to</w:t>
            </w:r>
          </w:p>
        </w:tc>
      </w:tr>
      <w:tr>
        <w:trPr>
          <w:trHeight w:val="218"/>
        </w:trPr>
        <w:tc>
          <w:tcPr>
            <w:tcW w:w="7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13a-14(a)/15d-14(a) of the Securities Exchange Act of 1934, as adopted pursuant to Section 302 of the</w:t>
            </w:r>
          </w:p>
        </w:tc>
      </w:tr>
      <w:tr>
        <w:trPr>
          <w:trHeight w:val="234"/>
        </w:trPr>
        <w:tc>
          <w:tcPr>
            <w:tcW w:w="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176"/>
        </w:trPr>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5"/>
                <w:szCs w:val="15"/>
                <w:color w:val="auto"/>
              </w:rPr>
            </w:pPr>
          </w:p>
        </w:tc>
        <w:tc>
          <w:tcPr>
            <w:tcW w:w="8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Principle Executive Officer, and Principle Financial Officer pursuant to</w:t>
            </w:r>
          </w:p>
        </w:tc>
      </w:tr>
      <w:tr>
        <w:trPr>
          <w:trHeight w:val="237"/>
        </w:trPr>
        <w:tc>
          <w:tcPr>
            <w:tcW w:w="76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98"/>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2"/>
          </w:tcPr>
          <w:p>
            <w:pPr>
              <w:ind w:left="2440"/>
              <w:spacing w:after="0"/>
              <w:rPr>
                <w:sz w:val="20"/>
                <w:szCs w:val="20"/>
                <w:color w:val="auto"/>
              </w:rPr>
            </w:pPr>
            <w:r>
              <w:rPr>
                <w:rFonts w:ascii="Times New Roman" w:cs="Times New Roman" w:eastAsia="Times New Roman" w:hAnsi="Times New Roman"/>
                <w:sz w:val="14"/>
                <w:szCs w:val="14"/>
                <w:color w:val="auto"/>
              </w:rPr>
              <w:t>27</w:t>
            </w:r>
          </w:p>
        </w:tc>
      </w:tr>
      <w:tr>
        <w:trPr>
          <w:trHeight w:val="44"/>
        </w:trPr>
        <w:tc>
          <w:tcPr>
            <w:tcW w:w="7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00"/>
        <w:spacing w:after="0"/>
        <w:tabs>
          <w:tab w:leader="none" w:pos="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September </w:t>
      </w:r>
      <w:r>
        <w:rPr>
          <w:rFonts w:ascii="Times New Roman" w:cs="Times New Roman" w:eastAsia="Times New Roman" w:hAnsi="Times New Roman"/>
          <w:sz w:val="18"/>
          <w:szCs w:val="18"/>
          <w:color w:val="auto"/>
        </w:rPr>
        <w:t>7</w:t>
      </w:r>
      <w:r>
        <w:rPr>
          <w:rFonts w:ascii="Times New Roman" w:cs="Times New Roman" w:eastAsia="Times New Roman" w:hAnsi="Times New Roman"/>
          <w:sz w:val="22"/>
          <w:szCs w:val="22"/>
          <w:color w:val="auto"/>
        </w:rPr>
        <w:t>, 2017</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15"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449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 Principle Executive Officer, and Principle Financial Officer</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 Peter S. Kirlin, Chief Executive Officer, Principle Executive Officer, and Principle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500" w:right="48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July 30, 2017,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449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Principle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6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2019-12-29T04:25:24Z</dcterms:created>
  <dcterms:modified xsi:type="dcterms:W3CDTF">2019-12-29T04:25:24Z</dcterms:modified>
</cp:coreProperties>
</file>