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5" w:lineRule="exact"/>
        <w:rPr>
          <w:sz w:val="24"/>
          <w:szCs w:val="24"/>
          <w:color w:val="auto"/>
        </w:rPr>
      </w:pPr>
    </w:p>
    <w:p>
      <w:pPr>
        <w:ind w:left="4000" w:right="1880" w:hanging="3992"/>
        <w:spacing w:after="0" w:line="263" w:lineRule="auto"/>
        <w:tabs>
          <w:tab w:leader="none" w:pos="662" w:val="left"/>
        </w:tabs>
        <w:numPr>
          <w:ilvl w:val="0"/>
          <w:numId w:val="1"/>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QUARTERLY REPORT PURSUANT TO SECTION 13 OR 15 (d) OF THE SECURITIES EXCHANGE ACT OF 1934 For the quarterly period ended August 2, 2015</w:t>
      </w:r>
    </w:p>
    <w:p>
      <w:pPr>
        <w:ind w:left="558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OR</w:t>
      </w:r>
    </w:p>
    <w:p>
      <w:pPr>
        <w:spacing w:after="0" w:line="230" w:lineRule="exact"/>
        <w:rPr>
          <w:sz w:val="24"/>
          <w:szCs w:val="24"/>
          <w:color w:val="auto"/>
        </w:rPr>
      </w:pPr>
    </w:p>
    <w:p>
      <w:pPr>
        <w:ind w:left="4180" w:right="1860" w:hanging="4172"/>
        <w:spacing w:after="0" w:line="532" w:lineRule="auto"/>
        <w:tabs>
          <w:tab w:leader="none" w:pos="650" w:val="left"/>
        </w:tabs>
        <w:numPr>
          <w:ilvl w:val="0"/>
          <w:numId w:val="2"/>
        </w:numPr>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i w:val="1"/>
          <w:iCs w:val="1"/>
          <w:color w:val="auto"/>
          <w:highlight w:val="black"/>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3203575</wp:posOffset>
            </wp:positionH>
            <wp:positionV relativeFrom="paragraph">
              <wp:posOffset>174625</wp:posOffset>
            </wp:positionV>
            <wp:extent cx="857885" cy="917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885" cy="917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28"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06-0854886</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3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7"/>
              </w:rPr>
              <w:t>06804</w:t>
            </w:r>
          </w:p>
        </w:tc>
      </w:tr>
      <w:tr>
        <w:trPr>
          <w:trHeight w:val="236"/>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640" w:type="dxa"/>
            <w:vAlign w:val="bottom"/>
          </w:tcPr>
          <w:p>
            <w:pPr>
              <w:jc w:val="center"/>
              <w:ind w:left="11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59"/>
        </w:trPr>
        <w:tc>
          <w:tcPr>
            <w:tcW w:w="55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bl>
    <w:p>
      <w:pPr>
        <w:spacing w:after="0" w:line="225"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60" w:lineRule="exact"/>
        <w:rPr>
          <w:sz w:val="24"/>
          <w:szCs w:val="24"/>
          <w:color w:val="auto"/>
        </w:rPr>
      </w:pPr>
    </w:p>
    <w:p>
      <w:pPr>
        <w:spacing w:after="0" w:line="207" w:lineRule="exact"/>
        <w:tabs>
          <w:tab w:leader="none" w:pos="2860" w:val="left"/>
          <w:tab w:leader="none" w:pos="5700" w:val="left"/>
          <w:tab w:leader="none" w:pos="85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1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Class</w:t>
            </w:r>
          </w:p>
        </w:tc>
        <w:tc>
          <w:tcPr>
            <w:tcW w:w="624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Outstanding at September 1, 2015</w:t>
            </w:r>
          </w:p>
        </w:tc>
      </w:tr>
      <w:tr>
        <w:trPr>
          <w:trHeight w:val="238"/>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624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66,768,764 Shares</w:t>
            </w:r>
          </w:p>
        </w:tc>
      </w:tr>
      <w:tr>
        <w:trPr>
          <w:trHeight w:val="351"/>
        </w:trPr>
        <w:tc>
          <w:tcPr>
            <w:tcW w:w="5180" w:type="dxa"/>
            <w:vAlign w:val="bottom"/>
          </w:tcPr>
          <w:p>
            <w:pPr>
              <w:spacing w:after="0"/>
              <w:rPr>
                <w:sz w:val="24"/>
                <w:szCs w:val="24"/>
                <w:color w:val="auto"/>
              </w:rPr>
            </w:pPr>
          </w:p>
        </w:tc>
        <w:tc>
          <w:tcPr>
            <w:tcW w:w="6240" w:type="dxa"/>
            <w:vAlign w:val="bottom"/>
          </w:tcPr>
          <w:p>
            <w:pPr>
              <w:spacing w:after="0"/>
              <w:rPr>
                <w:sz w:val="24"/>
                <w:szCs w:val="24"/>
                <w:color w:val="auto"/>
              </w:rPr>
            </w:pPr>
          </w:p>
        </w:tc>
      </w:tr>
      <w:tr>
        <w:trPr>
          <w:trHeight w:val="203"/>
        </w:trPr>
        <w:tc>
          <w:tcPr>
            <w:tcW w:w="5180" w:type="dxa"/>
            <w:vAlign w:val="bottom"/>
            <w:tcBorders>
              <w:left w:val="single" w:sz="8" w:color="9A9A9A"/>
            </w:tcBorders>
          </w:tcPr>
          <w:p>
            <w:pPr>
              <w:spacing w:after="0"/>
              <w:rPr>
                <w:sz w:val="17"/>
                <w:szCs w:val="17"/>
                <w:color w:val="auto"/>
              </w:rPr>
            </w:pPr>
          </w:p>
        </w:tc>
        <w:tc>
          <w:tcPr>
            <w:tcW w:w="6240" w:type="dxa"/>
            <w:vAlign w:val="bottom"/>
            <w:tcBorders>
              <w:right w:val="single" w:sz="8" w:color="EEEEEE"/>
            </w:tcBorders>
          </w:tcPr>
          <w:p>
            <w:pPr>
              <w:spacing w:after="0"/>
              <w:rPr>
                <w:sz w:val="17"/>
                <w:szCs w:val="17"/>
                <w:color w:val="auto"/>
              </w:rPr>
            </w:pPr>
          </w:p>
        </w:tc>
      </w:tr>
      <w:tr>
        <w:trPr>
          <w:trHeight w:val="183"/>
        </w:trPr>
        <w:tc>
          <w:tcPr>
            <w:tcW w:w="5180" w:type="dxa"/>
            <w:vAlign w:val="bottom"/>
            <w:tcBorders>
              <w:bottom w:val="single" w:sz="8" w:color="auto"/>
            </w:tcBorders>
          </w:tcPr>
          <w:p>
            <w:pPr>
              <w:spacing w:after="0"/>
              <w:rPr>
                <w:sz w:val="15"/>
                <w:szCs w:val="15"/>
                <w:color w:val="auto"/>
              </w:rPr>
            </w:pPr>
          </w:p>
        </w:tc>
        <w:tc>
          <w:tcPr>
            <w:tcW w:w="6240" w:type="dxa"/>
            <w:vAlign w:val="bottom"/>
            <w:tcBorders>
              <w:bottom w:val="single" w:sz="8" w:color="auto"/>
            </w:tcBorders>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-269240</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-175260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222"/>
        <w:spacing w:after="0" w:line="251"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or on behalf of Photronics, Inc. ("Photronics" or "the Company" or “we”). These statements are based on management's beliefs, as well as assumptions made by, and information currently available to, management. Forward-looking statements may be identified by words like "expect," "anticipate," "believe," "plan," "projects,"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 w:name="page3"/>
    <w:bookmarkEnd w:id="2"/>
    <w:p>
      <w:pPr>
        <w:ind w:left="4880"/>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at August 2, 2015 and November 2, 2014</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Income for the Three and Nine Months Ended August 2, 2015 and August 3, 2014</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(Loss) for the Three and Nine Months Ended August 2,</w:t>
              </w:r>
            </w:hyperlink>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862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2015 and August 3, 2014</w:t>
              </w:r>
            </w:hyperlink>
          </w:p>
        </w:tc>
        <w:tc>
          <w:tcPr>
            <w:tcW w:w="40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Nine Months Ended August 2, 2015 and August 3, 2014</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Quantitative and Qualitative Disclosures about Market Risk</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6">
              <w:r>
                <w:rPr>
                  <w:rFonts w:ascii="Times New Roman" w:cs="Times New Roman" w:eastAsia="Times New Roman" w:hAnsi="Times New Roman"/>
                  <w:sz w:val="18"/>
                  <w:szCs w:val="18"/>
                  <w:color w:val="0000EE"/>
                  <w:w w:val="99"/>
                </w:rPr>
                <w:t>Controls and Procedures</w:t>
              </w:r>
            </w:hyperlink>
          </w:p>
        </w:tc>
        <w:tc>
          <w:tcPr>
            <w:tcW w:w="724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20" w:type="dxa"/>
            <w:vAlign w:val="bottom"/>
            <w:gridSpan w:val="13"/>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Exhibits</w:t>
              </w:r>
            </w:hyperlink>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20" w:type="dxa"/>
            <w:vAlign w:val="bottom"/>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720" w:type="dxa"/>
            <w:vAlign w:val="bottom"/>
            <w:tcBorders>
              <w:top w:val="single" w:sz="8" w:color="CCEEFF"/>
            </w:tcBorders>
            <w:gridSpan w:val="6"/>
          </w:tcPr>
          <w:p>
            <w:pPr>
              <w:jc w:val="right"/>
              <w:ind w:right="300"/>
              <w:spacing w:after="0"/>
              <w:rPr>
                <w:sz w:val="20"/>
                <w:szCs w:val="20"/>
                <w:color w:val="auto"/>
              </w:rPr>
            </w:pPr>
            <w:r>
              <w:rPr>
                <w:rFonts w:ascii="Times New Roman" w:cs="Times New Roman" w:eastAsia="Times New Roman" w:hAnsi="Times New Roman"/>
                <w:sz w:val="14"/>
                <w:szCs w:val="14"/>
                <w:color w:val="auto"/>
              </w:rPr>
              <w:t>3</w:t>
            </w:r>
          </w:p>
        </w:tc>
        <w:tc>
          <w:tcPr>
            <w:tcW w:w="16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7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4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4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940" w:type="dxa"/>
            <w:vAlign w:val="bottom"/>
          </w:tcPr>
          <w:p>
            <w:pPr>
              <w:jc w:val="center"/>
              <w:ind w:left="19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940" w:type="dxa"/>
            <w:vAlign w:val="bottom"/>
          </w:tcPr>
          <w:p>
            <w:pPr>
              <w:jc w:val="center"/>
              <w:ind w:left="19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8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191,562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 of $3,375 in 2015 and $3,078 in 2014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21,037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93,040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1,046,091</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1,029,183</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16,577</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110,945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34,014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60" w:type="dxa"/>
            <w:vAlign w:val="bottom"/>
            <w:gridSpan w:val="3"/>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66,507 shares issued and outstanding at August 2, 2015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65,930 shares issued and outstanding at November 2, 2014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(8,256)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746,047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1,046,091</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1,029,183</w:t>
            </w:r>
          </w:p>
        </w:tc>
        <w:tc>
          <w:tcPr>
            <w:tcW w:w="0" w:type="dxa"/>
            <w:vAlign w:val="bottom"/>
          </w:tcPr>
          <w:p>
            <w:pPr>
              <w:spacing w:after="0"/>
              <w:rPr>
                <w:sz w:val="1"/>
                <w:szCs w:val="1"/>
                <w:color w:val="auto"/>
              </w:rPr>
            </w:pPr>
          </w:p>
        </w:tc>
      </w:tr>
      <w:tr>
        <w:trPr>
          <w:trHeight w:val="21"/>
        </w:trPr>
        <w:tc>
          <w:tcPr>
            <w:tcW w:w="86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6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28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140" w:type="dxa"/>
            <w:vAlign w:val="bottom"/>
            <w:gridSpan w:val="6"/>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300" w:type="dxa"/>
            <w:vAlign w:val="bottom"/>
            <w:gridSpan w:val="8"/>
          </w:tcPr>
          <w:p>
            <w:pPr>
              <w:jc w:val="center"/>
              <w:ind w:left="339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140" w:type="dxa"/>
            <w:vAlign w:val="bottom"/>
            <w:gridSpan w:val="6"/>
          </w:tcPr>
          <w:p>
            <w:pPr>
              <w:jc w:val="center"/>
              <w:ind w:left="35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w w:val="98"/>
              </w:rPr>
              <w:t>(unaudited)</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4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131,699</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124,852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382,513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331,276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(96,202)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(283,991)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(257,554)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(12,394)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(6,253)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(5,199)</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11,057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44,984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acquisition</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9,889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42,484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(2,545)</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7,344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(3,158)</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2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26,003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21,719</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66,250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78,569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62,432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78,300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77,706</w:t>
            </w:r>
          </w:p>
        </w:tc>
        <w:tc>
          <w:tcPr>
            <w:tcW w:w="0" w:type="dxa"/>
            <w:vAlign w:val="bottom"/>
          </w:tcPr>
          <w:p>
            <w:pPr>
              <w:spacing w:after="0"/>
              <w:rPr>
                <w:sz w:val="1"/>
                <w:szCs w:val="1"/>
                <w:color w:val="auto"/>
              </w:rPr>
            </w:pPr>
          </w:p>
        </w:tc>
      </w:tr>
      <w:tr>
        <w:trPr>
          <w:trHeight w:val="21"/>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28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44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15,410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34,709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of $0: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(32,894)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cash flow hedge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2,120</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Photronics, Inc. shareholders</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10"/>
              <w:spacing w:after="0"/>
              <w:rPr>
                <w:sz w:val="20"/>
                <w:szCs w:val="20"/>
                <w:color w:val="auto"/>
              </w:rPr>
            </w:pPr>
            <w:r>
              <w:rPr>
                <w:rFonts w:ascii="Times New Roman" w:cs="Times New Roman" w:eastAsia="Times New Roman" w:hAnsi="Times New Roman"/>
                <w:sz w:val="18"/>
                <w:szCs w:val="18"/>
                <w:i w:val="1"/>
                <w:iCs w:val="1"/>
                <w:color w:val="auto"/>
                <w:w w:val="98"/>
              </w:rPr>
              <w:t>(in thousands)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34,709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acquisition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(80,107)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from acquisition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(80,390)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191,562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78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 for property, plant and equipment purchased during the period</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40,632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30,795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net assets from acquisition</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110,211</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and Nine Months Ended August 2, 2015 and August 3, 2014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56" w:lineRule="exact"/>
        <w:rPr>
          <w:sz w:val="20"/>
          <w:szCs w:val="20"/>
          <w:color w:val="auto"/>
        </w:rPr>
      </w:pPr>
    </w:p>
    <w:p>
      <w:pPr>
        <w:ind w:right="80" w:firstLine="225"/>
        <w:spacing w:after="0" w:line="258" w:lineRule="auto"/>
        <w:rPr>
          <w:sz w:val="20"/>
          <w:szCs w:val="20"/>
          <w:color w:val="auto"/>
        </w:rPr>
      </w:pPr>
      <w:r>
        <w:rPr>
          <w:rFonts w:ascii="Times New Roman" w:cs="Times New Roman" w:eastAsia="Times New Roman" w:hAnsi="Times New Roman"/>
          <w:sz w:val="18"/>
          <w:szCs w:val="18"/>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211"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w:t>
      </w:r>
    </w:p>
    <w:p>
      <w:pPr>
        <w:spacing w:after="0" w:line="207" w:lineRule="exact"/>
        <w:rPr>
          <w:sz w:val="20"/>
          <w:szCs w:val="20"/>
          <w:color w:val="auto"/>
        </w:rPr>
      </w:pPr>
    </w:p>
    <w:p>
      <w:pPr>
        <w:ind w:right="20" w:firstLine="222"/>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 Operating results for the interim period are not necessarily indicative of the results that may be expected for the fiscal year ending November 1, 2015. For further information, refer to the consolidated financial statements and notes thereto included in the Company's Annual Report on Form 10-K for the year ended November 2, 2014.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ACQUISITION OF DNP PHOTOMASK TECHNOLOGY TAIWAN CO., LTD.</w:t>
      </w:r>
    </w:p>
    <w:p>
      <w:pPr>
        <w:spacing w:after="0" w:line="256" w:lineRule="exact"/>
        <w:rPr>
          <w:sz w:val="20"/>
          <w:szCs w:val="20"/>
          <w:color w:val="auto"/>
        </w:rPr>
      </w:pPr>
    </w:p>
    <w:p>
      <w:pPr>
        <w:ind w:right="60" w:firstLine="180"/>
        <w:spacing w:after="0" w:line="254" w:lineRule="auto"/>
        <w:rPr>
          <w:sz w:val="20"/>
          <w:szCs w:val="20"/>
          <w:color w:val="auto"/>
        </w:rPr>
      </w:pPr>
      <w:r>
        <w:rPr>
          <w:rFonts w:ascii="Times New Roman" w:cs="Times New Roman" w:eastAsia="Times New Roman" w:hAnsi="Times New Roman"/>
          <w:sz w:val="18"/>
          <w:szCs w:val="18"/>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$98.3 million. The Company owns 50.01 percent of PDMC and includes its financial results in its consolidated financial statements, while DNP owns the remaining 49.99 percent of PDMC. The Company also has the ability to appoint the majority of the directors of PDMC, including the chairman of its board of directors, select its management responsible for implementing its policies and procedures, and establish its operating and capital decisions and policies. Photronics determined it has control of PDMC by virtue of its tie-breaking voting rights within PDMC’s Board of Directors, thereby giving it the power to direct the activities of PDMC that most significantly impact its economic performance, including its decision making authority in the ordinary course of business. The DPTT Acquisition was the result of the Company’s desire to combine the strengths in logic and memory photomask technologies of PSMC and DPTT in order to enhance its capability with customers in the region.</w:t>
      </w:r>
    </w:p>
    <w:p>
      <w:pPr>
        <w:spacing w:after="0" w:line="216" w:lineRule="exact"/>
        <w:rPr>
          <w:sz w:val="20"/>
          <w:szCs w:val="20"/>
          <w:color w:val="auto"/>
        </w:rPr>
      </w:pPr>
    </w:p>
    <w:p>
      <w:pPr>
        <w:ind w:firstLine="177"/>
        <w:spacing w:after="0" w:line="255" w:lineRule="auto"/>
        <w:rPr>
          <w:sz w:val="20"/>
          <w:szCs w:val="20"/>
          <w:color w:val="auto"/>
        </w:rPr>
      </w:pPr>
      <w:r>
        <w:rPr>
          <w:rFonts w:ascii="Times New Roman" w:cs="Times New Roman" w:eastAsia="Times New Roman" w:hAnsi="Times New Roman"/>
          <w:sz w:val="18"/>
          <w:szCs w:val="18"/>
          <w:color w:val="auto"/>
        </w:rPr>
        <w:t>The DPTT Acquisition met the conditions of a business combination as defined by Accounting Standards Codification (“ASC”) 805 and, as such, is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combination.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560" w:firstLine="177"/>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of DPTT, the fair value of the noncontrolling interests and consideration for DPTT at the acquisition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(gross amount of $28,560, of which $500 is estimated to be uncollectable)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 retained by DNP</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 49.99% of fair value of PSMC</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 w:firstLine="180"/>
        <w:spacing w:after="0" w:line="255" w:lineRule="auto"/>
        <w:rPr>
          <w:sz w:val="20"/>
          <w:szCs w:val="20"/>
          <w:color w:val="auto"/>
        </w:rPr>
      </w:pPr>
      <w:r>
        <w:rPr>
          <w:rFonts w:ascii="Times New Roman" w:cs="Times New Roman" w:eastAsia="Times New Roman" w:hAnsi="Times New Roman"/>
          <w:sz w:val="18"/>
          <w:szCs w:val="18"/>
          <w:color w:val="auto"/>
        </w:rPr>
        <w:t>In addition to recording the fair values of the net assets acquired, the Company also recorded a gain on acquisition of $16.4 million in the three month period ended May 4, 2014,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216" w:lineRule="exact"/>
        <w:rPr>
          <w:sz w:val="20"/>
          <w:szCs w:val="20"/>
          <w:color w:val="auto"/>
        </w:rPr>
      </w:pPr>
    </w:p>
    <w:p>
      <w:pPr>
        <w:ind w:right="20" w:firstLine="177"/>
        <w:spacing w:after="0" w:line="256" w:lineRule="auto"/>
        <w:rPr>
          <w:sz w:val="20"/>
          <w:szCs w:val="20"/>
          <w:color w:val="auto"/>
        </w:rPr>
      </w:pPr>
      <w:r>
        <w:rPr>
          <w:rFonts w:ascii="Times New Roman" w:cs="Times New Roman" w:eastAsia="Times New Roman" w:hAnsi="Times New Roman"/>
          <w:sz w:val="18"/>
          <w:szCs w:val="18"/>
          <w:color w:val="auto"/>
        </w:rPr>
        <w:t>The fair value of the first component of consideration represents 49.99 percent of the fair value of PSMC, and is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resulting in a gain of $16.4 million. The fair value of the total consideration transferred as of the acquisition date was $98.3 million, comprised of the 49.99% noncontrolling interest in DPTT of $57.3 million, and 49.99% of the fair value of PSMC of $41.0 million (112.9 million shares, or 49.99% of the outstanding common stock of PSMC).</w:t>
      </w:r>
    </w:p>
    <w:p>
      <w:pPr>
        <w:spacing w:after="0" w:line="215" w:lineRule="exact"/>
        <w:rPr>
          <w:sz w:val="20"/>
          <w:szCs w:val="20"/>
          <w:color w:val="auto"/>
        </w:rPr>
      </w:pPr>
    </w:p>
    <w:p>
      <w:pPr>
        <w:ind w:firstLine="177"/>
        <w:spacing w:after="0" w:line="253" w:lineRule="auto"/>
        <w:rPr>
          <w:sz w:val="20"/>
          <w:szCs w:val="20"/>
          <w:color w:val="auto"/>
        </w:rPr>
      </w:pPr>
      <w:r>
        <w:rPr>
          <w:rFonts w:ascii="Times New Roman" w:cs="Times New Roman" w:eastAsia="Times New Roman" w:hAnsi="Times New Roman"/>
          <w:sz w:val="18"/>
          <w:szCs w:val="18"/>
          <w:color w:val="auto"/>
        </w:rPr>
        <w:t>We estimated the $114.7 million fair value of DPTT as of the acquisition date by applying an income approach as our valuation technique. Our income approach followed a discounted cash flow method, which applied our best estimates of future cash flows and an estimated terminal value discounted to present value at a rate of return taking into account the relative risk of the cash flows. To confirm the reasonableness of the value derived from the income approach, we also analyzed the values of comparable companies which are publicly traded. The acquisition date fair value of the property, plant and equipment of DPTT was $95.4 million, which was determined by utilizing the cost and, to a lesser extent, the market approach, based on an in-use premise of value. Inputs utilized by the Company to determine fair values of DPTT’s property, plant and equipment included a cost approach, which was adjusted for depreciation and condition for equipment, and adjusted for depreciation and local market conditions for real property. The noncontrolling interest of DPTT was calculated using the 49.99% of its total fair value of $114.7 million. The Company also used a market approach to corroborate the enterprise value of DPTT. This fair value measurement is based on significant inputs that are not observable in the market and thus represents a fair value measurement categorized within Level 3 of the fair value hierarchy. Key assumptions include local and current construction replacement cost multipliers, amounts of ancillary replacement costs, physical deterioration, and economic and functional obsolescence to adjust the current replacement costs by, as well as the estimated economic lives of the assets.</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9" w:name="page10"/>
    <w:bookmarkEnd w:id="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20" w:firstLine="180"/>
        <w:spacing w:after="0" w:line="261" w:lineRule="auto"/>
        <w:rPr>
          <w:sz w:val="20"/>
          <w:szCs w:val="20"/>
          <w:color w:val="auto"/>
        </w:rPr>
      </w:pPr>
      <w:r>
        <w:rPr>
          <w:rFonts w:ascii="Times New Roman" w:cs="Times New Roman" w:eastAsia="Times New Roman" w:hAnsi="Times New Roman"/>
          <w:sz w:val="18"/>
          <w:szCs w:val="18"/>
          <w:color w:val="auto"/>
        </w:rPr>
        <w:t>Identifiable intangible assets acquired were primarily customer relationships, which represent the fair value of relationships and agreements DPTT had in place at the date of the merger. The customer relationships had a fair value of $1.5 million at the acquisition date, determined by using the multi-period excess earnings method, and are amortized over a twelve year estimated useful life. The acquisition date fair value of the remainder of the identifiable assets acquired and liabilities assumed were equivalent to, or did not materially differ from, their carrying values</w:t>
      </w:r>
    </w:p>
    <w:p>
      <w:pPr>
        <w:spacing w:after="0" w:line="207" w:lineRule="exact"/>
        <w:rPr>
          <w:sz w:val="20"/>
          <w:szCs w:val="20"/>
          <w:color w:val="auto"/>
        </w:rPr>
      </w:pPr>
    </w:p>
    <w:p>
      <w:pPr>
        <w:ind w:right="620" w:firstLine="259"/>
        <w:spacing w:after="0" w:line="282" w:lineRule="auto"/>
        <w:rPr>
          <w:sz w:val="20"/>
          <w:szCs w:val="20"/>
          <w:color w:val="auto"/>
        </w:rPr>
      </w:pPr>
      <w:r>
        <w:rPr>
          <w:rFonts w:ascii="Times New Roman" w:cs="Times New Roman" w:eastAsia="Times New Roman" w:hAnsi="Times New Roman"/>
          <w:sz w:val="18"/>
          <w:szCs w:val="18"/>
          <w:color w:val="auto"/>
        </w:rPr>
        <w:t>Acquisition costs related to the merger were $2.5 million for the nine month period ended August 3, 2014, and are included in selling, general and administrative expense in the condensed consolidated statements of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CHANGES IN EQUITY</w:t>
      </w:r>
    </w:p>
    <w:p>
      <w:pPr>
        <w:spacing w:after="0" w:line="256"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Company's consolidated changes in equity for the three and nine month periods ended August 2, 2015 and August 3, 2014:</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Three Months Ended August 2, 2015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3540" w:type="dxa"/>
            <w:vAlign w:val="bottom"/>
            <w:tcBorders>
              <w:top w:val="single" w:sz="8" w:color="auto"/>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3, 2015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522,873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99,332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14,838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116,277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(23,094)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 common stock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August 2, 2015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524,924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117,276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746,047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 August 3, 2014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495,514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106,620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and purchase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110,323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720,261</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27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color w:val="auto"/>
                <w:w w:val="99"/>
              </w:rPr>
              <w:t>10</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August 2, 2015</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9"/>
                <w:szCs w:val="19"/>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520,183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21,774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111,443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(32,798)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option and purchase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Purchase of common stock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subsidiary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August 2, 2015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524,924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111,438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(8,256)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117,276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746,047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 August 3, 2014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3, 2013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498,861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59,439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26,403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2,517</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21,719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plans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DPTT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Redemption of common stock by</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2014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496,571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31,594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110,323</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720,261</w:t>
            </w: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4"/>
                <w:szCs w:val="14"/>
                <w:color w:val="auto"/>
                <w:w w:val="99"/>
              </w:rPr>
              <w:t>11</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 PROPERTY, PLANT AND EQUIPMENT</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1,614,678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1,069,083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1,064,609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568,921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Equipment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56,245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45,815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30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was $19.4 million and $56.4 million for the three and nine month periods ended August 2, 2015, respectively, and $19.8 million and $52.9 million for the three and nine month periods ended August 3, 2014,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JOINT VENTURE, TECHNOLOGY LICENSE AND OTHER AGREEMENTS WITH MICRON TECHNOLOGY, INC.</w:t>
      </w:r>
    </w:p>
    <w:p>
      <w:pPr>
        <w:spacing w:after="0" w:line="256"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3"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This joint venture is a variable interest entity ("VIE") (as that term is defined in the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12"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$1.5 million and $4.9 million and research and development expenses of $0.2 million and $0.7 million during the three and nine month periods ended August 2, 2015. Cost of sales of $1.1 million and $3.0 million and research and development expenses of $0.2 million and $0.7 million were recorded during the three and nine month periods ended August 3, 2014. As of August 2, 2015 and November 2, 2014, the Company owed MP Mask $4.5 million and $4.2 million, respectively, and had a receivable from Micron of $10.1 million and $6.8 million, respectively, both primarily related to the aforementioned supply agreements.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215"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Company's investment in the VIE, which represents its maximum exposure to loss, was $93.0 million at August 2, 2015 and $93.1 million at November 2, 2014. These amounts are reported in the Company's condensed consolidated balance sheets as "Investment in joint venture." The Company did not realize a gain or a loss from its investment in the VIE in the three month period ended August 2, 2015, and realized a loss of $0.1 million from its investment in the VIE in the nine month period ended August 2, 2015. The Company recorded income of $0.1 million from its investment in the VIE in the three and nine month periods ended August 3, 2014.</w:t>
      </w:r>
    </w:p>
    <w:p>
      <w:pPr>
        <w:spacing w:after="0" w:line="211"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On March 24,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as of March 5, 2015, was approximately $93 million. The Company does not expect that it will incur a significant gain or loss on this transaction. Concurrently, the Company announced that it entered into supply and technology license agreements with Micron. This supply agreement, which commences on May 6, 2016, with a one-year term subject to mutually agreeable renewals, provides that the Company will be the majority outsource supplier of Micron’s photomasks and related services. This technology license agreement commenced in March 2015 and continues through the earlier of one year from the termination of the initial technology license agreement on May 5, 2016, or when Micron certifies that it has transferred certain defined technology to the Company. The Company forevermore has the rights to use the technology obtained under these technology license agreements.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LONG-TERM BORROWINGS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borrowings consist of the following:</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1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in April 2019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2.77% capital lease obligation payable through July 2018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3.09% capital lease obligation payable through March 2016</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118,457</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131,805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20" w:firstLine="222"/>
        <w:spacing w:after="0" w:line="256" w:lineRule="auto"/>
        <w:rPr>
          <w:sz w:val="20"/>
          <w:szCs w:val="20"/>
          <w:color w:val="auto"/>
        </w:rPr>
      </w:pPr>
      <w:r>
        <w:rPr>
          <w:rFonts w:ascii="Times New Roman" w:cs="Times New Roman" w:eastAsia="Times New Roman" w:hAnsi="Times New Roman"/>
          <w:sz w:val="18"/>
          <w:szCs w:val="18"/>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August 2, 2015. The Company had no outstanding borrowings against the credit facility at August 2, 2015, and $50 million was available for borrowing. The interest rate on the credit facility (1.69% at August 2, 2015) is based on the Company’s total leverage ratio at LIBOR plus a spread, as defined in the credit facility.</w:t>
      </w:r>
    </w:p>
    <w:p>
      <w:pPr>
        <w:spacing w:after="0" w:line="3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6" w:right="319" w:bottom="1440" w:gutter="0" w:footer="0" w:header="0"/>
        </w:sectPr>
      </w:pPr>
    </w:p>
    <w:bookmarkStart w:id="13" w:name="page14"/>
    <w:bookmarkEnd w:id="1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 The Company intends to repay $50 million of its outstanding 3.25% convertible senior notes due in April 2016 with borrowings against its credit facility and, therefore, has classified $50 million of these notes that were outstanding as of August 2, 2015, as long term.</w:t>
      </w:r>
    </w:p>
    <w:p>
      <w:pPr>
        <w:spacing w:after="0" w:line="189" w:lineRule="exact"/>
        <w:rPr>
          <w:sz w:val="20"/>
          <w:szCs w:val="20"/>
          <w:color w:val="auto"/>
        </w:rPr>
      </w:pPr>
    </w:p>
    <w:p>
      <w:pPr>
        <w:ind w:right="120" w:firstLine="225"/>
        <w:spacing w:after="0" w:line="258" w:lineRule="auto"/>
        <w:rPr>
          <w:sz w:val="20"/>
          <w:szCs w:val="20"/>
          <w:color w:val="auto"/>
        </w:rPr>
      </w:pPr>
      <w:r>
        <w:rPr>
          <w:rFonts w:ascii="Times New Roman" w:cs="Times New Roman" w:eastAsia="Times New Roman" w:hAnsi="Times New Roman"/>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August 2, 2015, the total amount payable through the end of the lease term was $17.4 million, of which $16.6 million represented principal and $0.8 million represented interest.</w:t>
      </w:r>
    </w:p>
    <w:p>
      <w:pPr>
        <w:spacing w:after="0" w:line="184"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August 2, 2015, the total amount payable through the end of the lease term, substantially all of which represented principal, was $3.4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56"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The Company has a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shares to nine million shares during fiscal year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nine month periods ended August 2, 2015, were $0.9 million and $2.8 million, respectively, and $1.0 million and $3.1 million for the three and nine month periods ended August 3, 2014, respectively. The Company received cash from option exercises of $1.1 million and $2.1 million for the three and nine month periods ended August 2, 2015, respectively, and $0.1 million and $0.8 million for the three and nine month periods ended August 3, 2014, respectively. No share-based compensation cost was capitalized as part of an asset and no related income tax benefits were recorded during the periods presented.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500" w:firstLine="259"/>
        <w:spacing w:after="0" w:line="282" w:lineRule="auto"/>
        <w:rPr>
          <w:sz w:val="20"/>
          <w:szCs w:val="20"/>
          <w:color w:val="auto"/>
        </w:rPr>
      </w:pPr>
      <w:r>
        <w:rPr>
          <w:rFonts w:ascii="Times New Roman" w:cs="Times New Roman" w:eastAsia="Times New Roman" w:hAnsi="Times New Roman"/>
          <w:sz w:val="18"/>
          <w:szCs w:val="18"/>
          <w:color w:val="auto"/>
        </w:rPr>
        <w:t>The weighted-average inputs and risk-free rate of return ranges used to calculate the grant date fair value of options issued during the three and nine month periods ended August 2, 2015 and August 3, 2014, are presented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Borders>
              <w:top w:val="single" w:sz="8" w:color="auto"/>
            </w:tcBorders>
            <w:gridSpan w:val="4"/>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140" w:type="dxa"/>
            <w:vAlign w:val="bottom"/>
            <w:tcBorders>
              <w:top w:val="single" w:sz="8" w:color="auto"/>
            </w:tcBorders>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6"/>
                <w:szCs w:val="16"/>
                <w:color w:val="auto"/>
              </w:rPr>
            </w:pPr>
          </w:p>
        </w:tc>
        <w:tc>
          <w:tcPr>
            <w:tcW w:w="1480" w:type="dxa"/>
            <w:vAlign w:val="bottom"/>
            <w:tcBorders>
              <w:top w:val="single" w:sz="8" w:color="auto"/>
            </w:tcBorders>
            <w:gridSpan w:val="4"/>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02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1"/>
                <w:szCs w:val="21"/>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rate of return</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1.4% – 1.6%</w:t>
            </w:r>
          </w:p>
        </w:tc>
        <w:tc>
          <w:tcPr>
            <w:tcW w:w="11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1.4%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1.3% - 1.6%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48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4.7 years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4.6 years</w:t>
            </w:r>
          </w:p>
        </w:tc>
        <w:tc>
          <w:tcPr>
            <w:tcW w:w="1480" w:type="dxa"/>
            <w:vAlign w:val="bottom"/>
            <w:gridSpan w:val="4"/>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4.7 years</w:t>
            </w:r>
          </w:p>
        </w:tc>
        <w:tc>
          <w:tcPr>
            <w:tcW w:w="11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4.6 years</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60" w:type="dxa"/>
            <w:vAlign w:val="bottom"/>
            <w:gridSpan w:val="10"/>
          </w:tcPr>
          <w:p>
            <w:pPr>
              <w:ind w:left="240"/>
              <w:spacing w:after="0"/>
              <w:rPr>
                <w:sz w:val="20"/>
                <w:szCs w:val="20"/>
                <w:color w:val="auto"/>
              </w:rPr>
            </w:pPr>
            <w:r>
              <w:rPr>
                <w:rFonts w:ascii="Times New Roman" w:cs="Times New Roman" w:eastAsia="Times New Roman" w:hAnsi="Times New Roman"/>
                <w:sz w:val="18"/>
                <w:szCs w:val="18"/>
                <w:color w:val="auto"/>
                <w:w w:val="99"/>
              </w:rPr>
              <w:t>Information on outstanding and exercisable option awards as of August 2, 2015, is presented below.</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4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1"/>
                <w:szCs w:val="21"/>
                <w:color w:val="auto"/>
              </w:rPr>
            </w:pPr>
          </w:p>
        </w:tc>
        <w:tc>
          <w:tcPr>
            <w:tcW w:w="1060" w:type="dxa"/>
            <w:vAlign w:val="bottom"/>
            <w:tcBorders>
              <w:bottom w:val="single" w:sz="8" w:color="auto"/>
            </w:tcBorders>
            <w:gridSpan w:val="2"/>
          </w:tcPr>
          <w:p>
            <w:pPr>
              <w:spacing w:after="0"/>
              <w:rPr>
                <w:sz w:val="21"/>
                <w:szCs w:val="21"/>
                <w:color w:val="auto"/>
              </w:rPr>
            </w:pPr>
          </w:p>
        </w:tc>
        <w:tc>
          <w:tcPr>
            <w:tcW w:w="1340" w:type="dxa"/>
            <w:vAlign w:val="bottom"/>
            <w:tcBorders>
              <w:bottom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80" w:type="dxa"/>
            <w:vAlign w:val="bottom"/>
            <w:gridSpan w:val="4"/>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August 2, 2015</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3,873,693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6.3 years</w:t>
            </w:r>
          </w:p>
        </w:tc>
        <w:tc>
          <w:tcPr>
            <w:tcW w:w="14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5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480" w:type="dxa"/>
            <w:vAlign w:val="bottom"/>
            <w:gridSpan w:val="4"/>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August 2, 2015</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2,323,643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4.8 years</w:t>
            </w:r>
          </w:p>
        </w:tc>
        <w:tc>
          <w:tcPr>
            <w:tcW w:w="14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were 63,000 share options granted during the three month period ended August 2, 2015, with a weighted-average grant date fair value of $3.46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there were 20,000 share options granted during the three month period ended August 3, 2014, with a weighted-average grant date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$4.24 per share. There were 667,800 share options granted during the nine month period ended August 2, 2015, with a weighted-average grant date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$3.82 per share and 632,500 share options granted during the nine month period ended August 3, 2014, with a weighted-average grant date fair value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$4.44 per share. As of August 2, 2015, the total unrecognized compensation cost related to unvested option awards was approximately $4.5 million. That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expected to be recognized over a weighted-average amortization period of 2.5 years.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The Company periodically grants restricted stock awards. The restrictions on these awards typically lapse over a service period of less-than-one year to four years. 10,000 restricted stock awards were granted during the three month period ended August 2, 2015, with a weighted-average grant date fair value of $8.84 per share and 121,334 restricted stock awards were issued during the nine month period ended August 2, 2015, with a weighted-average grant date fair value of $8.28 per share. No restricted stock awards were granted during the three month period ended August 3, 2014, and 111,667 restricted stock awards were issued during the nine month period ended August 3, 2014, with a weighted-average grant date fair value of $8.86 per share. As of August 2, 2015, the total compensation cost not yet recognized related to unvested restricted stock awards was approximately $1.1 million. That cost is expected to be recognized over a weighted-average amortization period of 2.1 years. As of August 2, 2015, there were 212,776 shares of restricted stock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INCOME TAXES</w:t>
      </w:r>
    </w:p>
    <w:p>
      <w:pPr>
        <w:spacing w:after="0" w:line="256" w:lineRule="exact"/>
        <w:rPr>
          <w:sz w:val="20"/>
          <w:szCs w:val="20"/>
          <w:color w:val="auto"/>
        </w:rPr>
      </w:pPr>
    </w:p>
    <w:p>
      <w:pPr>
        <w:ind w:right="160" w:firstLine="132"/>
        <w:spacing w:after="0" w:line="289" w:lineRule="auto"/>
        <w:rPr>
          <w:sz w:val="20"/>
          <w:szCs w:val="20"/>
          <w:color w:val="auto"/>
        </w:rPr>
      </w:pPr>
      <w:r>
        <w:rPr>
          <w:rFonts w:ascii="Times New Roman" w:cs="Times New Roman" w:eastAsia="Times New Roman" w:hAnsi="Times New Roman"/>
          <w:sz w:val="17"/>
          <w:szCs w:val="17"/>
          <w:color w:val="auto"/>
        </w:rPr>
        <w:t>The effective tax rate differs from the U.S. statutory rate of 35% in the three and nine month periods ended August 2, 2015 and August 3, 2014, primarily due to earnings being taxed at lower statutory rates in foreign jurisdictions, the partial reversal of a deferred tax asset valuation allowance, and various investment credits in foreign jurisdictions. Valuation allowances in jurisdictions with historic losses eliminate the effective rate impact of these jurisdictions.</w:t>
      </w:r>
    </w:p>
    <w:p>
      <w:pPr>
        <w:spacing w:after="0" w:line="158" w:lineRule="exact"/>
        <w:rPr>
          <w:sz w:val="20"/>
          <w:szCs w:val="20"/>
          <w:color w:val="auto"/>
        </w:rPr>
      </w:pPr>
    </w:p>
    <w:p>
      <w:pPr>
        <w:jc w:val="both"/>
        <w:ind w:right="140" w:firstLine="135"/>
        <w:spacing w:after="0" w:line="266" w:lineRule="auto"/>
        <w:rPr>
          <w:sz w:val="20"/>
          <w:szCs w:val="20"/>
          <w:color w:val="auto"/>
        </w:rPr>
      </w:pPr>
      <w:r>
        <w:rPr>
          <w:rFonts w:ascii="Times New Roman" w:cs="Times New Roman" w:eastAsia="Times New Roman" w:hAnsi="Times New Roman"/>
          <w:sz w:val="18"/>
          <w:szCs w:val="18"/>
          <w:color w:val="auto"/>
        </w:rPr>
        <w:t>During the three month period ended May 3, 2015, the Company determined that deferred tax assets of $1.5 million, whose realization was previously not considered to be more likely than not, are realizable. Therefore, their related valuation allowances were reduced and the deferred tax assets were recognized. In the three month period ended August 2, 2015, $0.2 million of additional deferred tax assets were recognized.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5" w:name="page16"/>
    <w:bookmarkEnd w:id="1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20" w:firstLine="135"/>
        <w:spacing w:after="0" w:line="261" w:lineRule="auto"/>
        <w:rPr>
          <w:sz w:val="20"/>
          <w:szCs w:val="20"/>
          <w:color w:val="auto"/>
        </w:rPr>
      </w:pPr>
      <w:r>
        <w:rPr>
          <w:rFonts w:ascii="Times New Roman" w:cs="Times New Roman" w:eastAsia="Times New Roman" w:hAnsi="Times New Roman"/>
          <w:sz w:val="18"/>
          <w:szCs w:val="18"/>
          <w:color w:val="auto"/>
        </w:rPr>
        <w:t>Unrecognized tax benefits related to uncertain tax positions were $5.6 million at August 2, 2015, and $5.1 million at November 2, 2014, of which $5.5 million and $5.0 million, respectively, would, if recognized, favorably impact the Company's effective tax rate. Accrued interest and penalties related to unrecognized tax benefits was $0.2 million at August 2, 2015, $0.1 million of which was recognized during the nine month period ended August 2, 2015. As of August 2, 2015, the total amount of unrecognized tax benefits is not expected to significantly increase or decrease in the next twelve months.</w:t>
      </w:r>
    </w:p>
    <w:p>
      <w:pPr>
        <w:spacing w:after="0" w:line="180" w:lineRule="exact"/>
        <w:rPr>
          <w:sz w:val="20"/>
          <w:szCs w:val="20"/>
          <w:color w:val="auto"/>
        </w:rPr>
      </w:pPr>
    </w:p>
    <w:p>
      <w:pPr>
        <w:ind w:right="40" w:firstLine="135"/>
        <w:spacing w:after="0" w:line="261" w:lineRule="auto"/>
        <w:rPr>
          <w:sz w:val="20"/>
          <w:szCs w:val="20"/>
          <w:color w:val="auto"/>
        </w:rPr>
      </w:pPr>
      <w:r>
        <w:rPr>
          <w:rFonts w:ascii="Times New Roman" w:cs="Times New Roman" w:eastAsia="Times New Roman" w:hAnsi="Times New Roman"/>
          <w:sz w:val="18"/>
          <w:szCs w:val="18"/>
          <w:color w:val="auto"/>
        </w:rPr>
        <w:t>Due to changes in the operational structure of a foreign subsidiary and a related redemption of the subsidiary’s investment in shares of an affiliate, the Company has determined that, as of August 2, 2015, the historic and future accumulated earnings of that subsidiary were not required for future reinvestment. Accordingly, earnings of $127.2 million that were considered to be indefinitely reinvested at November 2, 2014, were reduced by $16.4 million, against which a $5.7 million deferred tax liability that is offset by fully valued loss carryforwards has been established.</w:t>
      </w:r>
    </w:p>
    <w:p>
      <w:pPr>
        <w:spacing w:after="0" w:line="180" w:lineRule="exact"/>
        <w:rPr>
          <w:sz w:val="20"/>
          <w:szCs w:val="20"/>
          <w:color w:val="auto"/>
        </w:rPr>
      </w:pPr>
    </w:p>
    <w:p>
      <w:pPr>
        <w:ind w:right="80" w:firstLine="135"/>
        <w:spacing w:after="0" w:line="256" w:lineRule="auto"/>
        <w:rPr>
          <w:sz w:val="20"/>
          <w:szCs w:val="20"/>
          <w:color w:val="auto"/>
        </w:rPr>
      </w:pPr>
      <w:r>
        <w:rPr>
          <w:rFonts w:ascii="Times New Roman" w:cs="Times New Roman" w:eastAsia="Times New Roman" w:hAnsi="Times New Roman"/>
          <w:sz w:val="18"/>
          <w:szCs w:val="18"/>
          <w:color w:val="auto"/>
        </w:rPr>
        <w:t>PKLT, the Company's FPD manufacturing facility in Taiwan, has been accorded a tax holiday that started in 2012 and expires in 2017. The PKLT tax holiday had no dollar or per share effect on the financial results of the three or nine month periods ended August 2, 2015 and August 3, 2014. PDMC, as a result of the DPTT Acquisition, acquired an IC manufacturing facility in Taiwan that has been accorded a tax holiday that commenced in 2015 and expires in 2019. The Company realized $0.1 million and $0.2 million in tax benefits from the PDMC tax holiday for the three and nine month periods ended August 2, 2015, respectively, and no dollar benefit for the three and nine month periods ended August 3, 2014. The tax holiday had no per share effect on the financial results for the three or nine month periods ended August 2, 2015 and August 3, 2014.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EARNINGS PER SHARE</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1"/>
                <w:szCs w:val="21"/>
                <w:color w:val="auto"/>
              </w:rPr>
            </w:pPr>
          </w:p>
        </w:tc>
        <w:tc>
          <w:tcPr>
            <w:tcW w:w="248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on convertible notes, net of related tax effects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for diluted earnings per share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29,295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26,345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Weighted-average common shares used for basic earnings per</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66,454</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61,436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61,336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Convertible notes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11,085</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12,115</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16,370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used for diluted earnings per</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78,569</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62,432</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77,706</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jc w:val="both"/>
        <w:ind w:right="340" w:firstLine="259"/>
        <w:spacing w:after="0" w:line="266" w:lineRule="auto"/>
        <w:rPr>
          <w:sz w:val="20"/>
          <w:szCs w:val="20"/>
          <w:color w:val="auto"/>
        </w:rPr>
      </w:pPr>
      <w:r>
        <w:rPr>
          <w:rFonts w:ascii="Times New Roman" w:cs="Times New Roman" w:eastAsia="Times New Roman" w:hAnsi="Times New Roman"/>
          <w:sz w:val="18"/>
          <w:szCs w:val="18"/>
          <w:color w:val="auto"/>
        </w:rPr>
        <w:t>The table below shows the outstanding weighted-average share-based payment awards that were excluded from the calculation of diluted earnings per share because their exercise price exceeded the average market value of the common shares for the period, and convertible notes that, if converted, would have been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27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0" w:type="dxa"/>
            <w:vAlign w:val="bottom"/>
            <w:tcBorders>
              <w:top w:val="single" w:sz="8" w:color="auto"/>
            </w:tcBorders>
            <w:gridSpan w:val="2"/>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14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6"/>
                <w:szCs w:val="16"/>
                <w:color w:val="auto"/>
              </w:rPr>
            </w:pPr>
          </w:p>
        </w:tc>
        <w:tc>
          <w:tcPr>
            <w:tcW w:w="136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14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20" w:type="dxa"/>
            <w:vAlign w:val="bottom"/>
          </w:tcPr>
          <w:p>
            <w:pPr>
              <w:spacing w:after="0"/>
              <w:rPr>
                <w:sz w:val="21"/>
                <w:szCs w:val="21"/>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15,423</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17,292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CHANGES IN ACCUMULATED OTHER COMPREHENSIVE INCOME BY COMPONENT</w:t>
      </w:r>
    </w:p>
    <w:p>
      <w:pPr>
        <w:spacing w:after="0" w:line="256"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income by component (net of tax of $0) for the three and nine month periods ended August 2, 2015 and August 3,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1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August 2, 2015</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5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 w:type="dxa"/>
            <w:vAlign w:val="bottom"/>
          </w:tcPr>
          <w:p>
            <w:pPr>
              <w:spacing w:after="0"/>
              <w:rPr>
                <w:sz w:val="16"/>
                <w:szCs w:val="16"/>
                <w:color w:val="auto"/>
              </w:rPr>
            </w:pPr>
          </w:p>
        </w:tc>
        <w:tc>
          <w:tcPr>
            <w:tcW w:w="1260" w:type="dxa"/>
            <w:vAlign w:val="bottom"/>
            <w:gridSpan w:val="4"/>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Flow Hedge</w:t>
            </w: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3, 2015</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(25,342)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2, 2015</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August 3, 2014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 w:type="dxa"/>
            <w:vAlign w:val="bottom"/>
          </w:tcPr>
          <w:p>
            <w:pPr>
              <w:spacing w:after="0"/>
              <w:rPr>
                <w:sz w:val="16"/>
                <w:szCs w:val="16"/>
                <w:color w:val="auto"/>
              </w:rPr>
            </w:pPr>
          </w:p>
        </w:tc>
        <w:tc>
          <w:tcPr>
            <w:tcW w:w="1260" w:type="dxa"/>
            <w:vAlign w:val="bottom"/>
            <w:gridSpan w:val="4"/>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2014</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30,928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1160" w:type="dxa"/>
            <w:vAlign w:val="bottom"/>
            <w:gridSpan w:val="3"/>
            <w:shd w:val="clear" w:color="auto" w:fill="CCEEFF"/>
          </w:tcPr>
          <w:p>
            <w:pPr>
              <w:spacing w:after="0"/>
              <w:rPr>
                <w:sz w:val="18"/>
                <w:szCs w:val="18"/>
                <w:color w:val="auto"/>
              </w:rPr>
            </w:pPr>
          </w:p>
        </w:tc>
        <w:tc>
          <w:tcPr>
            <w:tcW w:w="300" w:type="dxa"/>
            <w:vAlign w:val="bottom"/>
            <w:gridSpan w:val="3"/>
            <w:shd w:val="clear" w:color="auto" w:fill="CCEEFF"/>
          </w:tcPr>
          <w:p>
            <w:pPr>
              <w:spacing w:after="0"/>
              <w:rPr>
                <w:sz w:val="18"/>
                <w:szCs w:val="18"/>
                <w:color w:val="auto"/>
              </w:rPr>
            </w:pPr>
          </w:p>
        </w:tc>
        <w:tc>
          <w:tcPr>
            <w:tcW w:w="1040" w:type="dxa"/>
            <w:vAlign w:val="bottom"/>
            <w:gridSpan w:val="3"/>
            <w:shd w:val="clear" w:color="auto" w:fill="CCEEFF"/>
          </w:tcPr>
          <w:p>
            <w:pPr>
              <w:spacing w:after="0"/>
              <w:rPr>
                <w:sz w:val="18"/>
                <w:szCs w:val="18"/>
                <w:color w:val="auto"/>
              </w:rPr>
            </w:pPr>
          </w:p>
        </w:tc>
        <w:tc>
          <w:tcPr>
            <w:tcW w:w="320" w:type="dxa"/>
            <w:vAlign w:val="bottom"/>
            <w:gridSpan w:val="3"/>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3, 2014</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32,475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31,594</w:t>
            </w: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1"/>
        </w:trPr>
        <w:tc>
          <w:tcPr>
            <w:tcW w:w="5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5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August 2, 2015</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5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 w:type="dxa"/>
            <w:vAlign w:val="bottom"/>
          </w:tcPr>
          <w:p>
            <w:pPr>
              <w:spacing w:after="0"/>
              <w:rPr>
                <w:sz w:val="16"/>
                <w:szCs w:val="16"/>
                <w:color w:val="auto"/>
              </w:rPr>
            </w:pPr>
          </w:p>
        </w:tc>
        <w:tc>
          <w:tcPr>
            <w:tcW w:w="1260" w:type="dxa"/>
            <w:vAlign w:val="bottom"/>
            <w:gridSpan w:val="4"/>
          </w:tcPr>
          <w:p>
            <w:pPr>
              <w:jc w:val="center"/>
              <w:ind w:right="140"/>
              <w:spacing w:after="0" w:line="194"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Flow Hedge</w:t>
            </w: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2, 2014</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w:t>
            </w: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August 2, 2015</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(7,486)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(432)</w:t>
            </w:r>
          </w:p>
        </w:tc>
        <w:tc>
          <w:tcPr>
            <w:tcW w:w="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Nine Months Ended August 3, 2014</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 w:type="dxa"/>
            <w:vAlign w:val="bottom"/>
          </w:tcPr>
          <w:p>
            <w:pPr>
              <w:spacing w:after="0"/>
              <w:rPr>
                <w:sz w:val="16"/>
                <w:szCs w:val="16"/>
                <w:color w:val="auto"/>
              </w:rPr>
            </w:pPr>
          </w:p>
        </w:tc>
        <w:tc>
          <w:tcPr>
            <w:tcW w:w="1260" w:type="dxa"/>
            <w:vAlign w:val="bottom"/>
            <w:gridSpan w:val="4"/>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Cash</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Flow Hedge</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160" w:type="dxa"/>
            <w:vAlign w:val="bottom"/>
            <w:gridSpan w:val="3"/>
          </w:tcPr>
          <w:p>
            <w:pPr>
              <w:spacing w:after="0"/>
              <w:rPr>
                <w:sz w:val="18"/>
                <w:szCs w:val="18"/>
                <w:color w:val="auto"/>
              </w:rPr>
            </w:pPr>
          </w:p>
        </w:tc>
        <w:tc>
          <w:tcPr>
            <w:tcW w:w="30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 2013</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27,797</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other comprehensive income</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attributable to noncontrolling interests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allocated to noncontrolling interests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 of common stock by subsidiary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August 3, 2014</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amortization of the cash flow hedge is included in cost of sales in the condensed consolidated statements of income for all periods presented.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256"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2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or nonrecurring basis at August 2, 2015 or November 2,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Other Financial Instruments</w:t>
      </w:r>
    </w:p>
    <w:p>
      <w:pPr>
        <w:spacing w:after="0" w:line="254" w:lineRule="exact"/>
        <w:rPr>
          <w:sz w:val="20"/>
          <w:szCs w:val="20"/>
          <w:color w:val="auto"/>
        </w:rPr>
      </w:pPr>
    </w:p>
    <w:p>
      <w:pPr>
        <w:jc w:val="both"/>
        <w:ind w:right="380" w:firstLine="259"/>
        <w:spacing w:after="0" w:line="266" w:lineRule="auto"/>
        <w:rPr>
          <w:sz w:val="20"/>
          <w:szCs w:val="20"/>
          <w:color w:val="auto"/>
        </w:rPr>
      </w:pPr>
      <w:r>
        <w:rPr>
          <w:rFonts w:ascii="Times New Roman" w:cs="Times New Roman" w:eastAsia="Times New Roman" w:hAnsi="Times New Roman"/>
          <w:sz w:val="18"/>
          <w:szCs w:val="18"/>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convertible senior notes is a Level 2 measurement that is determined using recent bid prices.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table below presents the fair and carrying values of the Company's convertible senior notes at August 2, 2015 and November 2,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August 2, 2015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November 2,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3.25% convertible senior notes due 2016</w:t>
            </w: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59,329</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122,544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3.25% convertible senior notes due 2019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60,835</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SUBSIDIARY SHARE REPURCHASE</w:t>
      </w:r>
    </w:p>
    <w:p>
      <w:pPr>
        <w:spacing w:after="0" w:line="256" w:lineRule="exact"/>
        <w:rPr>
          <w:sz w:val="20"/>
          <w:szCs w:val="20"/>
          <w:color w:val="auto"/>
        </w:rPr>
      </w:pPr>
    </w:p>
    <w:p>
      <w:pPr>
        <w:jc w:val="both"/>
        <w:ind w:right="120" w:firstLine="259"/>
        <w:spacing w:after="0" w:line="282" w:lineRule="auto"/>
        <w:rPr>
          <w:sz w:val="20"/>
          <w:szCs w:val="20"/>
          <w:color w:val="auto"/>
        </w:rPr>
      </w:pPr>
      <w:r>
        <w:rPr>
          <w:rFonts w:ascii="Times New Roman" w:cs="Times New Roman" w:eastAsia="Times New Roman" w:hAnsi="Times New Roman"/>
          <w:sz w:val="18"/>
          <w:szCs w:val="18"/>
          <w:color w:val="auto"/>
        </w:rPr>
        <w:t>In June 2015 the Company increased its ownership interest in PKL, a subsidiary of the Company based in Korea, to 99.77% from 99.75%, by purchasing 15,000 shares of its common stock from noncontrolling interests at a cost of $0.1 million.</w:t>
      </w:r>
    </w:p>
    <w:p>
      <w:pPr>
        <w:spacing w:after="0" w:line="189" w:lineRule="exact"/>
        <w:rPr>
          <w:sz w:val="20"/>
          <w:szCs w:val="20"/>
          <w:color w:val="auto"/>
        </w:rPr>
      </w:pPr>
    </w:p>
    <w:p>
      <w:pPr>
        <w:ind w:right="160" w:firstLine="259"/>
        <w:spacing w:after="0" w:line="266" w:lineRule="auto"/>
        <w:rPr>
          <w:sz w:val="20"/>
          <w:szCs w:val="20"/>
          <w:color w:val="auto"/>
        </w:rPr>
      </w:pPr>
      <w:r>
        <w:rPr>
          <w:rFonts w:ascii="Times New Roman" w:cs="Times New Roman" w:eastAsia="Times New Roman" w:hAnsi="Times New Roman"/>
          <w:sz w:val="18"/>
          <w:szCs w:val="18"/>
          <w:color w:val="auto"/>
        </w:rPr>
        <w:t>In January 2014 the Company increased its ownership percentage in PSMC, a subsidiary of the Company based in Taiwan, to 100% at a cost of $1.7 million for the then remaining 3.0 million shares that were not owned by the Company. In April 2014 DPTT merged into PSMC to form PDMC. See Note 2 for further discussion relating to this transaction.</w:t>
      </w:r>
    </w:p>
    <w:p>
      <w:pPr>
        <w:spacing w:after="0" w:line="203"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table below presents the effect of the change in the Company’s ownership interest in its subsidiaries on the Company's equity for the three and nine month periods ended August 2, 2015 (15 thousand shares of common stock acquired), and the nine month period ended August 3, 2014, (3.0 million shares of common stock acquired and 112.9 million shares of common stock issued). The Company’s ownership interest in its subsidiaries did not change during the three month period ended August 3,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4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26,003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Photronics, Inc.'s additional paid-in capital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Photronics, Inc. shareholders’ accumulated other comprehensive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from net income attributable to Photronics, Inc. shareholders and transfer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from noncontrolling interest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12,133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26,030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August 2, 2015, the Company had commitments outstanding for capital expenditures of approximately $3 million.</w:t>
      </w:r>
    </w:p>
    <w:p>
      <w:pPr>
        <w:spacing w:after="0" w:line="252" w:lineRule="exact"/>
        <w:rPr>
          <w:sz w:val="20"/>
          <w:szCs w:val="20"/>
          <w:color w:val="auto"/>
        </w:rPr>
      </w:pPr>
    </w:p>
    <w:p>
      <w:pPr>
        <w:ind w:right="720" w:firstLine="259"/>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RECENT ACCOUNTING PRONOUNCEMENTS</w:t>
      </w:r>
    </w:p>
    <w:p>
      <w:pPr>
        <w:spacing w:after="0" w:line="256" w:lineRule="exact"/>
        <w:rPr>
          <w:sz w:val="20"/>
          <w:szCs w:val="20"/>
          <w:color w:val="auto"/>
        </w:rPr>
      </w:pPr>
    </w:p>
    <w:p>
      <w:pPr>
        <w:ind w:right="60" w:firstLine="135"/>
        <w:spacing w:after="0" w:line="261" w:lineRule="auto"/>
        <w:rPr>
          <w:sz w:val="20"/>
          <w:szCs w:val="20"/>
          <w:color w:val="auto"/>
        </w:rPr>
      </w:pPr>
      <w:r>
        <w:rPr>
          <w:rFonts w:ascii="Times New Roman" w:cs="Times New Roman" w:eastAsia="Times New Roman" w:hAnsi="Times New Roman"/>
          <w:sz w:val="18"/>
          <w:szCs w:val="18"/>
          <w:color w:val="auto"/>
        </w:rPr>
        <w:t>In April 2015 the FASB issued ASU 2015-03 – “Simplifying the Presentation of Debt Issuance Costs.” This update requires debt issuance costs related to a recognized debt liability to be presented in the balance sheet as a direct deduction from that debt liability, consistent with the presentation of a debt discount. This ASU will be effective for the Company in its first quarter of fiscal 2017. Upon adoption, all prior periods presented should be restated to reflect the amendments in this update. Early adoption is permitted. The Company is currently evaluating the effect of this ASU on its consolidated financial statements.</w:t>
      </w:r>
    </w:p>
    <w:p>
      <w:pPr>
        <w:spacing w:after="0" w:line="207" w:lineRule="exact"/>
        <w:rPr>
          <w:sz w:val="20"/>
          <w:szCs w:val="20"/>
          <w:color w:val="auto"/>
        </w:rPr>
      </w:pPr>
    </w:p>
    <w:p>
      <w:pPr>
        <w:ind w:firstLine="180"/>
        <w:spacing w:after="0" w:line="254" w:lineRule="auto"/>
        <w:rPr>
          <w:sz w:val="20"/>
          <w:szCs w:val="20"/>
          <w:color w:val="auto"/>
        </w:rPr>
      </w:pPr>
      <w:r>
        <w:rPr>
          <w:rFonts w:ascii="Times New Roman" w:cs="Times New Roman" w:eastAsia="Times New Roman" w:hAnsi="Times New Roman"/>
          <w:sz w:val="18"/>
          <w:szCs w:val="18"/>
          <w:color w:val="auto"/>
        </w:rPr>
        <w:t>In May 2014 the FASB issued ASU 2014-09 – “Revenue from Contracts with Customers,” which will supersede nearly all existing revenue recognition guidance under U.S. GAAP.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ASU 2014-09 allows for either full retrospective or modified retrospective adoption. In August 2015 the FASB issued ASU 2015-14 “Deferral of the Effective date,” which defers the required adoption date of ASU 2014-09 by one year. As a result of the deferred effective date, ASU 2014-09 will be effective for the Company in its first quarter of fiscal 2019. Early adoption is permitted but not before the Company’s original effective date of its first quarter of fiscal 2018. The Company is evaluating the transition method that will be elected and the potential effects of the adoption of this ASU on its financial statements.</w:t>
      </w:r>
    </w:p>
    <w:p>
      <w:pPr>
        <w:spacing w:after="0" w:line="2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2014 year), that may cause actual results to materially differ from these expectations. On April 4, 2014, DNP Photomask Technology Taiwan Co., Ltd. (“DPTT”), a wholly owned subsidiary of Dai Nippon Printing Co., Ltd. (“DNP”), merged into Photronics Semiconductor Mask Corporation (“PSMC”), a wholly owned subsidiary of Photronics. All of the assets and liabilities of DPTT existing prior to the merger were assumed by the renamed surviving entity of the merger, Photronics DNP Mask Corporation (“PDMC”). Photronics and DNP own 50.01 percent and 49.99 percent of PDMC, respectively, and the results of DPTT are included in the condensed consolidated financial statements since the date of the acquisition. Throughout this report the merger of DPTT into PSMC is referred to as the “DPTT Acquisition.”</w:t>
      </w:r>
    </w:p>
    <w:p>
      <w:pPr>
        <w:spacing w:after="0" w:line="216" w:lineRule="exact"/>
        <w:rPr>
          <w:sz w:val="20"/>
          <w:szCs w:val="20"/>
          <w:color w:val="auto"/>
        </w:rPr>
      </w:pPr>
    </w:p>
    <w:p>
      <w:pPr>
        <w:ind w:right="20" w:firstLine="259"/>
        <w:spacing w:after="0" w:line="253" w:lineRule="auto"/>
        <w:rPr>
          <w:sz w:val="20"/>
          <w:szCs w:val="20"/>
          <w:color w:val="auto"/>
        </w:rPr>
      </w:pPr>
      <w:r>
        <w:rPr>
          <w:rFonts w:ascii="Times New Roman" w:cs="Times New Roman" w:eastAsia="Times New Roman" w:hAnsi="Times New Roman"/>
          <w:sz w:val="18"/>
          <w:szCs w:val="18"/>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20"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0" w:name="page21"/>
    <w:bookmarkEnd w:id="20"/>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in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August 2, 2015 and August 3, 2014</w:t>
      </w:r>
    </w:p>
    <w:p>
      <w:pPr>
        <w:spacing w:after="0" w:line="2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7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7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340" w:type="dxa"/>
            <w:vAlign w:val="bottom"/>
            <w:tcBorders>
              <w:top w:val="single" w:sz="8" w:color="auto"/>
            </w:tcBorders>
            <w:gridSpan w:val="3"/>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August 2,</w:t>
            </w:r>
          </w:p>
        </w:tc>
        <w:tc>
          <w:tcPr>
            <w:tcW w:w="112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3,</w:t>
            </w:r>
          </w:p>
        </w:tc>
        <w:tc>
          <w:tcPr>
            <w:tcW w:w="26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2,</w:t>
            </w:r>
          </w:p>
        </w:tc>
        <w:tc>
          <w:tcPr>
            <w:tcW w:w="11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August 3, 2014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8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(71.7)</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Note: All of the following tabular comparisons, unless otherwise indicated, are for the three months ended August 2, 2015 (Q3-15) and August 3, 2014 (Q3-14) and for the nine months ended August 2, 2015 (YTD-15) and August 3, 2014 (YTD-14), in millions of dollars.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Q3-15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Q3-14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YTD-14</w:t>
            </w:r>
          </w:p>
        </w:tc>
        <w:tc>
          <w:tcPr>
            <w:tcW w:w="200" w:type="dxa"/>
            <w:vAlign w:val="bottom"/>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253.4</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FPD</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tcPr>
          <w:p>
            <w:pPr>
              <w:spacing w:after="0"/>
              <w:rPr>
                <w:sz w:val="18"/>
                <w:szCs w:val="18"/>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331.3</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Net sales for Q3-15 increased 5.5% to $131.7 million as compared to $124.9 million for Q3-14. The increase was primarily a result of increased high-end sales of both IC and FPD photomasks. Revenues attributable to high-end products increased by $5.4 million to $57.0 million in Q3-15 as compared to $51.6 million in Q3-14. High-end photomask applications include mask sets for 45 nanometer and below for IC products, and G8 and above and active matrix organic light-emitting diode (AMOLED) display screen technologies for FPD products. By geographic area, net sales in Q3-15, as compared to Q3-14, increased (decreased) by $(1.8) million or (3.5)% to $50.5 million in Taiwan, $4.4 million or 13.1% to $37.6 million in Korea, $5.4 million or 19.1% to $33.8 million in the United States, and $(0.8) million or (8.4)% to $9.1 million in Europe.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480" w:firstLine="259"/>
        <w:spacing w:after="0" w:line="261" w:lineRule="auto"/>
        <w:rPr>
          <w:sz w:val="20"/>
          <w:szCs w:val="20"/>
          <w:color w:val="auto"/>
        </w:rPr>
      </w:pPr>
      <w:r>
        <w:rPr>
          <w:rFonts w:ascii="Times New Roman" w:cs="Times New Roman" w:eastAsia="Times New Roman" w:hAnsi="Times New Roman"/>
          <w:sz w:val="18"/>
          <w:szCs w:val="18"/>
          <w:color w:val="auto"/>
        </w:rPr>
        <w:t>Net sales for YTD-15 increased to $382.5 million as compared to $331.3 million for YTD-14 principally associated with the acquisition of DPTT in Taiwan as discussed in Note 2 to the condensed consolidated financial statements, and to a lesser extent, increased sales in the United States. Revenues attributable to high-end products increased by $43.8 million to $165.4 million in YTD-15 as compared to $121.6 million in YTD-14, primarily due to increased high-end IC sales in Taiwan, which was partially offset by lower high-end FPD sales.</w:t>
      </w:r>
    </w:p>
    <w:p>
      <w:pPr>
        <w:spacing w:after="0" w:line="207"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Company’s quarterly revenues can be affected by the seasonal purchasing of its customers. Demand for the Company's products is typically negatively impacted during the first six months of its fiscal year by the North American, European and Asian holiday periods, as some customers reduce their effective workdays and orders during this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Q3-15</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Q3-14</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YTD-14</w:t>
            </w:r>
          </w:p>
        </w:tc>
        <w:tc>
          <w:tcPr>
            <w:tcW w:w="280" w:type="dxa"/>
            <w:vAlign w:val="bottom"/>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98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37.2</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  $</w:t>
            </w: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98.5</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73.7</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20"/>
                <w:szCs w:val="20"/>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Gross margin percentage increased to 28.3% in Q3-15 from 22.9% in Q3-14 primarily due to increased sales and improved manufacturing efficiencies. The gross margin percentage increased to 25.8% in YTD-15 from 22.3% in YTD-14 primarily due to increased sales. The Company operates in a high fixed cost environment and, to the extent that the Company's revenues and utilization increase or decrease, gross margin will generally be positively or negatively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Q3-15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Q3-14</w:t>
            </w: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YTD-14</w:t>
            </w: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38.1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20"/>
                <w:szCs w:val="20"/>
                <w:color w:val="auto"/>
              </w:rPr>
            </w:pPr>
          </w:p>
        </w:tc>
        <w:tc>
          <w:tcPr>
            <w:tcW w:w="12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11.5%</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$12.4 million in Q3-15 and Q3-14, and were $36.8 million in YTD-15 and $38.1 million in YTD-14. The year-to-date decrease was primarily the result of expenses related to the acquisition of DPTT of $2.5 million in YTD-14 as discussed in Note 2 to the condensed consolidated financial statements.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Q3-15</w:t>
            </w:r>
          </w:p>
        </w:tc>
        <w:tc>
          <w:tcPr>
            <w:tcW w:w="2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Q3-14</w:t>
            </w:r>
          </w:p>
        </w:tc>
        <w:tc>
          <w:tcPr>
            <w:tcW w:w="2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YTD-14</w:t>
            </w:r>
          </w:p>
        </w:tc>
        <w:tc>
          <w:tcPr>
            <w:tcW w:w="280" w:type="dxa"/>
            <w:vAlign w:val="bottom"/>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98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6.3</w:t>
            </w:r>
          </w:p>
        </w:tc>
        <w:tc>
          <w:tcPr>
            <w:tcW w:w="112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20.3%  $</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88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global development efforts related to high-end process technologies for advanced sub-wavelength reticle solutions for IC technologies. Research and development expenses increased by $1.1 million to $6.3 million in Q3-15, as compared to $5.2 million in Q3-14, and by $0.6 million to $16.7 million in YTD-15, as compared to $16.1 million in YTD-14. The increased research and development expenses in Q3-15 and YTD-15 as compared to the same periods in the prior year were primarily due to increased activities at advanced nanometer technology nodes for IC photomasks.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920" w:type="dxa"/>
            <w:vAlign w:val="bottom"/>
            <w:gridSpan w:val="3"/>
          </w:tcPr>
          <w:p>
            <w:pPr>
              <w:spacing w:after="0"/>
              <w:rPr>
                <w:rFonts w:ascii="Times New Roman" w:cs="Times New Roman" w:eastAsia="Times New Roman" w:hAnsi="Times New Roman"/>
                <w:sz w:val="14"/>
                <w:szCs w:val="14"/>
                <w:i w:val="1"/>
                <w:iCs w:val="1"/>
                <w:color w:val="0000EE"/>
              </w:rPr>
            </w:pPr>
            <w:hyperlink w:anchor="page3">
              <w:r>
                <w:rPr>
                  <w:rFonts w:ascii="Times New Roman" w:cs="Times New Roman" w:eastAsia="Times New Roman" w:hAnsi="Times New Roman"/>
                  <w:sz w:val="14"/>
                  <w:szCs w:val="14"/>
                  <w:i w:val="1"/>
                  <w:iCs w:val="1"/>
                  <w:color w:val="0000EE"/>
                </w:rPr>
                <w:t>Index</w:t>
              </w:r>
            </w:hyperlink>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Q3-15</w:t>
            </w:r>
          </w:p>
        </w:tc>
        <w:tc>
          <w:tcPr>
            <w:tcW w:w="3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Q3-14</w:t>
            </w:r>
          </w:p>
        </w:tc>
        <w:tc>
          <w:tcPr>
            <w:tcW w:w="2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acquisition</w:t>
            </w:r>
          </w:p>
        </w:tc>
        <w:tc>
          <w:tcPr>
            <w:tcW w:w="18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(1.2)</w:t>
            </w:r>
          </w:p>
        </w:tc>
        <w:tc>
          <w:tcPr>
            <w:tcW w:w="8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2"/>
              </w:rPr>
              <w:t>(1.8)</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6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60" w:type="dxa"/>
            <w:vAlign w:val="bottom"/>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2"/>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00" w:firstLine="180"/>
        <w:spacing w:after="0" w:line="266" w:lineRule="auto"/>
        <w:rPr>
          <w:sz w:val="20"/>
          <w:szCs w:val="20"/>
          <w:color w:val="auto"/>
        </w:rPr>
      </w:pPr>
      <w:r>
        <w:rPr>
          <w:rFonts w:ascii="Times New Roman" w:cs="Times New Roman" w:eastAsia="Times New Roman" w:hAnsi="Times New Roman"/>
          <w:sz w:val="18"/>
          <w:szCs w:val="18"/>
          <w:color w:val="auto"/>
        </w:rPr>
        <w:t>In April 2014 DNP Photomask Technology Taiwan Co., Ltd., a wholly owned subsidiary of Dai Nippon Printing Co., Ltd. (DNP), merged into PSMC and operates under the name of Photronics DNP Mask Corporation (PDMC). The acquisition resulted in the Company recording a gain of $16.4 million in the second quarter of fiscal 2014. See Note 2 of the condensed consolidated financial statements for more information.</w:t>
      </w:r>
    </w:p>
    <w:p>
      <w:pPr>
        <w:spacing w:after="0" w:line="203"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Interest expense decreased by $0.6 million in Q3-15, as compared to Q3-14, and by $1.8 million in YTD-15, as compared to YTD-14, primarily as a result of reduced outstanding borrowing balances.</w:t>
      </w:r>
    </w:p>
    <w:p>
      <w:pPr>
        <w:spacing w:after="0" w:line="189"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Interest and other income (expense), net, increased in Q3-15 as compared to Q3-14 by $0.8 million primarily as a result of increased foreign currency gains offset in part by reduced interest income. Interest and other income, net, decreased by $1.0 million in YTD-15, as compared to YTD-14, primarily as a result of financing expenses related to the Company’s exchange of convertible debt in Q1-15 and reduced interest income, which were offset in part by increased foreign currency gains.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Q3-15</w:t>
            </w:r>
          </w:p>
        </w:tc>
        <w:tc>
          <w:tcPr>
            <w:tcW w:w="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Q3-14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YTD-15</w:t>
            </w:r>
          </w:p>
        </w:tc>
        <w:tc>
          <w:tcPr>
            <w:tcW w:w="2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YTD-14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20" w:firstLine="132"/>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is sensitive to its jurisdictional mix of earnings, due in part to the non-recognition of tax benefits on losses in jurisdictions in which the Company has established valuation allowances for such benefits.</w:t>
      </w:r>
    </w:p>
    <w:p>
      <w:pPr>
        <w:spacing w:after="0" w:line="162" w:lineRule="exact"/>
        <w:rPr>
          <w:sz w:val="20"/>
          <w:szCs w:val="20"/>
          <w:color w:val="auto"/>
        </w:rPr>
      </w:pPr>
    </w:p>
    <w:p>
      <w:pPr>
        <w:ind w:right="40" w:firstLine="132"/>
        <w:spacing w:after="0" w:line="256" w:lineRule="auto"/>
        <w:rPr>
          <w:sz w:val="20"/>
          <w:szCs w:val="20"/>
          <w:color w:val="auto"/>
        </w:rPr>
      </w:pPr>
      <w:r>
        <w:rPr>
          <w:rFonts w:ascii="Times New Roman" w:cs="Times New Roman" w:eastAsia="Times New Roman" w:hAnsi="Times New Roman"/>
          <w:sz w:val="18"/>
          <w:szCs w:val="18"/>
          <w:color w:val="auto"/>
        </w:rPr>
        <w:t>The effective income tax rate decrease in Q3-15, as compared with Q3-14, was primarily attributable to a greater percentage of income before income taxes being earned in jurisdictions where the Company maintains valuation allowances and, therefore, does not recognize a tax expense or benefit. The effective income tax rate decrease in YTD-15, as compared with YTD-14, was primarily attributable to a reduction in fiscal year 2015 of a deferred tax asset valuation allowance and a greater percentage of income before income taxes being earned in jurisdictions where the Company maintains valuation allowances, while in fiscal year 2014 a non-taxable gain related to the DPTT Acquisition was offset by a lower percentage of income before income taxes being earned in jurisdictions in which the Company maintains valuation allowances (and, therefore, does not recognize a tax expense or benefit).</w:t>
      </w:r>
    </w:p>
    <w:p>
      <w:pPr>
        <w:spacing w:after="0" w:line="188" w:lineRule="exact"/>
        <w:rPr>
          <w:sz w:val="20"/>
          <w:szCs w:val="20"/>
          <w:color w:val="auto"/>
        </w:rPr>
      </w:pPr>
    </w:p>
    <w:p>
      <w:pPr>
        <w:ind w:right="100" w:firstLine="125"/>
        <w:spacing w:after="0" w:line="266" w:lineRule="auto"/>
        <w:rPr>
          <w:sz w:val="20"/>
          <w:szCs w:val="20"/>
          <w:color w:val="auto"/>
        </w:rPr>
      </w:pPr>
      <w:r>
        <w:rPr>
          <w:rFonts w:ascii="Times New Roman" w:cs="Times New Roman" w:eastAsia="Times New Roman" w:hAnsi="Times New Roman"/>
          <w:sz w:val="18"/>
          <w:szCs w:val="18"/>
          <w:color w:val="auto"/>
        </w:rPr>
        <w:t>As of each reporting date, the Company considers new evidence, both positive and negative, that could impact management’s views with regards to the future realization of deferred tax assets. In Q2-15, the Company determined that sufficient positive evidence existed in a foreign jurisdiction that it was more likely than not that additional deferred taxes of $1.5 million were realizable and, therefore, reduced the valuation allowance accordingly.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56" w:lineRule="exact"/>
        <w:rPr>
          <w:sz w:val="20"/>
          <w:szCs w:val="20"/>
          <w:color w:val="auto"/>
        </w:rPr>
      </w:pPr>
    </w:p>
    <w:p>
      <w:pPr>
        <w:ind w:right="160" w:firstLine="162"/>
        <w:spacing w:after="0" w:line="258" w:lineRule="auto"/>
        <w:rPr>
          <w:sz w:val="20"/>
          <w:szCs w:val="20"/>
          <w:color w:val="auto"/>
        </w:rPr>
      </w:pPr>
      <w:r>
        <w:rPr>
          <w:rFonts w:ascii="Times New Roman" w:cs="Times New Roman" w:eastAsia="Times New Roman" w:hAnsi="Times New Roman"/>
          <w:sz w:val="18"/>
          <w:szCs w:val="18"/>
          <w:color w:val="auto"/>
        </w:rPr>
        <w:t>Net income attributable to noncontrolling interests increased $0.1 million to $3.3 million in Q3-15, as compared to $3.2 million in Q3-14, and by $5.1 million to $8.7 million in YTD-15, as compared to $3.6 million in YTD-14, primarily as a result of changes in the ownership structure of the Company’s IC manufacturing facility located in Taiwan. During Q2-14, the Company exchanged a 49.99% noncontrolling interest in PDMC, the Company’s IC manufacturing subsidiary in Taiwan, in return for the net assets of an acquiree. See Notes 2 and 12 of the condensed consolidated financial statements for further information.</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23" w:name="page24"/>
    <w:bookmarkEnd w:id="23"/>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80" w:firstLine="162"/>
        <w:spacing w:after="0" w:line="254" w:lineRule="auto"/>
        <w:rPr>
          <w:sz w:val="20"/>
          <w:szCs w:val="20"/>
          <w:color w:val="auto"/>
        </w:rPr>
      </w:pPr>
      <w:r>
        <w:rPr>
          <w:rFonts w:ascii="Times New Roman" w:cs="Times New Roman" w:eastAsia="Times New Roman" w:hAnsi="Times New Roman"/>
          <w:sz w:val="18"/>
          <w:szCs w:val="18"/>
          <w:color w:val="auto"/>
        </w:rPr>
        <w:t>The Company's working capital was $179.0 million at August 2, 2015, and $197.4 million at November 2, 2014. The decrease in working capital was primarily related to planned capital equipment purchases. Cash and cash equivalents were $191.6 million at August 2, 2015, and $192.9 million at November 2, 2014. Net cash provided by operating activities was $91.8 million for the nine month period ended August 2, 2015, as compared to $61.8 million for the nine month period ended August 3, 2014, the increase primarily due to increased income in 2015, as well as net income in 2014 included a $16.4 million noncash acquisition gain as discussed in Note 2 to the condensed consolidated financial statements. Net cash used in investing activities for the nine month period ended August 2, 2015, was $80.4 million, which was comprised primarily of capital expenditure payments. Net cash used in financing activities of $4.9 million for the nine month period ended August 2, 2015, was primarily comprised of repayments of long-term borrowings, offset in part by proceeds received from share-based arrangements. The Company may use its cash available on hand for operations, capital expenditures, debt repayments, strategic opportunities, stock repurchases or other corporate uses, any of which may be material.</w:t>
      </w:r>
    </w:p>
    <w:p>
      <w:pPr>
        <w:spacing w:after="0" w:line="216" w:lineRule="exact"/>
        <w:rPr>
          <w:sz w:val="20"/>
          <w:szCs w:val="20"/>
          <w:color w:val="auto"/>
        </w:rPr>
      </w:pPr>
    </w:p>
    <w:p>
      <w:pPr>
        <w:ind w:right="60" w:firstLine="162"/>
        <w:spacing w:after="0" w:line="266" w:lineRule="auto"/>
        <w:rPr>
          <w:sz w:val="20"/>
          <w:szCs w:val="20"/>
          <w:color w:val="auto"/>
        </w:rPr>
      </w:pPr>
      <w:r>
        <w:rPr>
          <w:rFonts w:ascii="Times New Roman" w:cs="Times New Roman" w:eastAsia="Times New Roman" w:hAnsi="Times New Roman"/>
          <w:sz w:val="18"/>
          <w:szCs w:val="18"/>
          <w:color w:val="auto"/>
        </w:rPr>
        <w:t>On March 24, 2015, the Company announced that the MP Mask joint venture would not be renewed after May 5, 2016. The MP Mask operating agreement provides that Micron will make a payment to the Company to purchase the Company’s equity interest in MP Mask based on the Company’s ownership percentage of the net book value of MP Mask at that time, which, as of March 5, 2015, was approximately $93 million.</w:t>
      </w:r>
    </w:p>
    <w:p>
      <w:pPr>
        <w:spacing w:after="0" w:line="203" w:lineRule="exact"/>
        <w:rPr>
          <w:sz w:val="20"/>
          <w:szCs w:val="20"/>
          <w:color w:val="auto"/>
        </w:rPr>
      </w:pPr>
    </w:p>
    <w:p>
      <w:pPr>
        <w:ind w:right="180" w:firstLine="170"/>
        <w:spacing w:after="0" w:line="258" w:lineRule="auto"/>
        <w:rPr>
          <w:sz w:val="20"/>
          <w:szCs w:val="20"/>
          <w:color w:val="auto"/>
        </w:rPr>
      </w:pPr>
      <w:r>
        <w:rPr>
          <w:rFonts w:ascii="Times New Roman" w:cs="Times New Roman" w:eastAsia="Times New Roman" w:hAnsi="Times New Roman"/>
          <w:sz w:val="18"/>
          <w:szCs w:val="18"/>
          <w:color w:val="auto"/>
        </w:rPr>
        <w:t>As of August 2, 2015, and November 2, 2014, the Company’s total cash and cash equivalents include $88.1 million and $105.9 million, respectively, held by its foreign subsidiaries. A repatriation of these funds to the U.S., in certain jurisdictions, may be subject to U.S. federal income and local country withholding taxes. The majority of earnings of the Company’s foreign subsidiaries are considered to be indefinitely reinvested. The Company’s foreign subsidiaries continue to grow through the reinvestment of earnings in additional manufacturing capacity and capability, particularly in the high-end IC and FPD areas.</w:t>
      </w:r>
    </w:p>
    <w:p>
      <w:pPr>
        <w:spacing w:after="0" w:line="211" w:lineRule="exact"/>
        <w:rPr>
          <w:sz w:val="20"/>
          <w:szCs w:val="20"/>
          <w:color w:val="auto"/>
        </w:rPr>
      </w:pPr>
    </w:p>
    <w:p>
      <w:pPr>
        <w:ind w:right="20" w:firstLine="135"/>
        <w:spacing w:after="0" w:line="254" w:lineRule="auto"/>
        <w:rPr>
          <w:sz w:val="20"/>
          <w:szCs w:val="20"/>
          <w:color w:val="auto"/>
        </w:rPr>
      </w:pPr>
      <w:r>
        <w:rPr>
          <w:rFonts w:ascii="Times New Roman" w:cs="Times New Roman" w:eastAsia="Times New Roman" w:hAnsi="Times New Roman"/>
          <w:sz w:val="18"/>
          <w:szCs w:val="18"/>
          <w:color w:val="auto"/>
        </w:rPr>
        <w:t>In January 2015 the Company privately exchanged $57.5 million in aggregate principal amount of its 3.25% convertible senior notes with a maturity date of April 1, 2016, for new 3.25% convertible senior notes with an aggregate principal amount of $57.5 million with a maturity date of April 1, 2019. The conversion rate of the new notes is the same as that of the exchanged notes, which were issued in March 2011 with a conversion rate of approximately 96 shares of common stock per $1,000 note principal, equivalent to a conversion price of $10.37 per share of common stock, and is subject to adjustment upon the occurrence of certain events, which are described in the indenture dated January 22, 2015. Note holders may convert each $1,000 principal amount of notes at any time prior to the close of business on the second scheduled trading day immediately preceding April 1, 2019, and the Company is not required to redeem the notes prior to their maturity date. Interest on the notes accrues in arrears, and is paid semiannually through the notes’ maturity date. The Company intends to repay $50 million of its outstanding 3.25% convertible senior notes due in April 2016 with borrowings against its credit facility and, therefore, has classified $50 million of these notes that were outstanding as of August 2, 2015, as long term.</w:t>
      </w:r>
    </w:p>
    <w:p>
      <w:pPr>
        <w:spacing w:after="0" w:line="216" w:lineRule="exact"/>
        <w:rPr>
          <w:sz w:val="20"/>
          <w:szCs w:val="20"/>
          <w:color w:val="auto"/>
        </w:rPr>
      </w:pPr>
    </w:p>
    <w:p>
      <w:pPr>
        <w:ind w:right="240" w:firstLine="135"/>
        <w:spacing w:after="0" w:line="266" w:lineRule="auto"/>
        <w:rPr>
          <w:sz w:val="20"/>
          <w:szCs w:val="20"/>
          <w:color w:val="auto"/>
        </w:rPr>
      </w:pPr>
      <w:r>
        <w:rPr>
          <w:rFonts w:ascii="Times New Roman" w:cs="Times New Roman" w:eastAsia="Times New Roman" w:hAnsi="Times New Roman"/>
          <w:sz w:val="18"/>
          <w:szCs w:val="18"/>
          <w:color w:val="auto"/>
        </w:rPr>
        <w:t>In April 2014 the Company acquired DPTT, which was a non-cash transaction that resulted in the Company owning 50.01% and DNP owning 49.99% of PDMC, whose financial results are included in the Company’s consolidated financial statements. PDMC has generated, and is expected to continue to generate, sufficient cash flows to fund its operating and capital requirements. See Note 2 of the consolidated financial statements for more information.</w:t>
      </w:r>
    </w:p>
    <w:p>
      <w:pPr>
        <w:spacing w:after="0" w:line="203" w:lineRule="exact"/>
        <w:rPr>
          <w:sz w:val="20"/>
          <w:szCs w:val="20"/>
          <w:color w:val="auto"/>
        </w:rPr>
      </w:pPr>
    </w:p>
    <w:p>
      <w:pPr>
        <w:ind w:right="200" w:firstLine="132"/>
        <w:spacing w:after="0" w:line="256" w:lineRule="auto"/>
        <w:rPr>
          <w:sz w:val="20"/>
          <w:szCs w:val="20"/>
          <w:color w:val="auto"/>
        </w:rPr>
      </w:pPr>
      <w:r>
        <w:rPr>
          <w:rFonts w:ascii="Times New Roman" w:cs="Times New Roman" w:eastAsia="Times New Roman" w:hAnsi="Times New Roman"/>
          <w:sz w:val="18"/>
          <w:szCs w:val="18"/>
          <w:color w:val="auto"/>
        </w:rPr>
        <w:t>The Company’s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August 2, 2015. The Company had no outstanding borrowings against the credit facility at August 2, 2015, and $50 million was available for borrowing. The interest rate on the credit facility (1.69% at August 2, 2015) is based on the Company’s total leverage ratio at LIBOR plus a spread, as defined in the credit facility.</w:t>
      </w: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 January 2014 the Company acquired all of the 3.0 million shares of PSMC that were then held by noncontrolling interests at a cost of $1.7 million.</w:t>
      </w:r>
    </w:p>
    <w:p>
      <w:pPr>
        <w:spacing w:after="0" w:line="225" w:lineRule="exact"/>
        <w:rPr>
          <w:sz w:val="20"/>
          <w:szCs w:val="20"/>
          <w:color w:val="auto"/>
        </w:rPr>
      </w:pPr>
    </w:p>
    <w:p>
      <w:pPr>
        <w:ind w:firstLine="215"/>
        <w:spacing w:after="0" w:line="258" w:lineRule="auto"/>
        <w:rPr>
          <w:sz w:val="20"/>
          <w:szCs w:val="20"/>
          <w:color w:val="auto"/>
        </w:rPr>
      </w:pPr>
      <w:r>
        <w:rPr>
          <w:rFonts w:ascii="Times New Roman" w:cs="Times New Roman" w:eastAsia="Times New Roman" w:hAnsi="Times New Roman"/>
          <w:sz w:val="18"/>
          <w:szCs w:val="18"/>
          <w:color w:val="auto"/>
        </w:rPr>
        <w:t>As of August 2, 2015, the Company had capital equipment commitments outstanding of approximately $3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9" w:lineRule="exact"/>
        <w:rPr>
          <w:sz w:val="20"/>
          <w:szCs w:val="20"/>
          <w:color w:val="auto"/>
        </w:rPr>
      </w:pPr>
    </w:p>
    <w:p>
      <w:pPr>
        <w:ind w:right="140" w:firstLine="177"/>
        <w:spacing w:after="0" w:line="254" w:lineRule="auto"/>
        <w:rPr>
          <w:sz w:val="20"/>
          <w:szCs w:val="20"/>
          <w:color w:val="auto"/>
        </w:rPr>
      </w:pPr>
      <w:r>
        <w:rPr>
          <w:rFonts w:ascii="Times New Roman" w:cs="Times New Roman" w:eastAsia="Times New Roman" w:hAnsi="Times New Roman"/>
          <w:sz w:val="18"/>
          <w:szCs w:val="18"/>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However, the Company believes its cash on hand, cash generated from its operations and cash committed under its credit facility will allow it to fund its operations through at least the next twelve months.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right="160" w:firstLine="162"/>
        <w:spacing w:after="0" w:line="261" w:lineRule="auto"/>
        <w:rPr>
          <w:sz w:val="20"/>
          <w:szCs w:val="20"/>
          <w:color w:val="auto"/>
        </w:rPr>
      </w:pPr>
      <w:r>
        <w:rPr>
          <w:rFonts w:ascii="Times New Roman" w:cs="Times New Roman" w:eastAsia="Times New Roman" w:hAnsi="Times New Roman"/>
          <w:sz w:val="18"/>
          <w:szCs w:val="18"/>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August 2, 2015, the Company has contributed $32.5 million to the joint venture and has received distributions from the joint venture totaling $10.0 million. On March 24, 2015, the Company announced that the MP Mask joint venture would not be renewed after May 5, 2016.</w:t>
      </w:r>
    </w:p>
    <w:p>
      <w:pPr>
        <w:spacing w:after="0" w:line="207" w:lineRule="exact"/>
        <w:rPr>
          <w:sz w:val="20"/>
          <w:szCs w:val="20"/>
          <w:color w:val="auto"/>
        </w:rPr>
      </w:pPr>
    </w:p>
    <w:p>
      <w:pPr>
        <w:ind w:right="160" w:firstLine="162"/>
        <w:spacing w:after="0" w:line="258" w:lineRule="auto"/>
        <w:rPr>
          <w:sz w:val="20"/>
          <w:szCs w:val="20"/>
          <w:color w:val="auto"/>
        </w:rPr>
      </w:pPr>
      <w:r>
        <w:rPr>
          <w:rFonts w:ascii="Times New Roman" w:cs="Times New Roman" w:eastAsia="Times New Roman" w:hAnsi="Times New Roman"/>
          <w:sz w:val="18"/>
          <w:szCs w:val="18"/>
          <w:color w:val="auto"/>
        </w:rPr>
        <w:t>Under the PDMC operating agreement, the shareholders of PDMC may be requested to make additional contributions to PDMC. In the event that PDMC requests additional capital from its shareholders, the Company may be required to make additional capital contributions to PDMC in order to maintain its 50.01% ownership. The PDMC operating agreement limits the amount of contributions that may be requested during both the first four years of PDMC and during any individual year within those first four years. As of August 2, 2015, the Company has not been requested nor made any additional capital contributions to PDMC.</w:t>
      </w:r>
    </w:p>
    <w:p>
      <w:pPr>
        <w:spacing w:after="0" w:line="211" w:lineRule="exact"/>
        <w:rPr>
          <w:sz w:val="20"/>
          <w:szCs w:val="20"/>
          <w:color w:val="auto"/>
        </w:rPr>
      </w:pPr>
    </w:p>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56" w:lineRule="exact"/>
        <w:rPr>
          <w:sz w:val="20"/>
          <w:szCs w:val="20"/>
          <w:color w:val="auto"/>
        </w:rPr>
      </w:pPr>
    </w:p>
    <w:p>
      <w:pPr>
        <w:ind w:firstLine="170"/>
        <w:spacing w:after="0" w:line="266" w:lineRule="auto"/>
        <w:rPr>
          <w:sz w:val="20"/>
          <w:szCs w:val="20"/>
          <w:color w:val="auto"/>
        </w:rPr>
      </w:pPr>
      <w:r>
        <w:rPr>
          <w:rFonts w:ascii="Times New Roman" w:cs="Times New Roman" w:eastAsia="Times New Roman" w:hAnsi="Times New Roman"/>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licenses with Micron.</w:t>
      </w:r>
    </w:p>
    <w:p>
      <w:pPr>
        <w:spacing w:after="0" w:line="203" w:lineRule="exact"/>
        <w:rPr>
          <w:sz w:val="20"/>
          <w:szCs w:val="20"/>
          <w:color w:val="auto"/>
        </w:rPr>
      </w:pPr>
    </w:p>
    <w:p>
      <w:pPr>
        <w:ind w:right="240" w:firstLine="177"/>
        <w:spacing w:after="0" w:line="266" w:lineRule="auto"/>
        <w:rPr>
          <w:sz w:val="20"/>
          <w:szCs w:val="20"/>
          <w:color w:val="auto"/>
        </w:rPr>
      </w:pPr>
      <w:r>
        <w:rPr>
          <w:rFonts w:ascii="Times New Roman" w:cs="Times New Roman" w:eastAsia="Times New Roman" w:hAnsi="Times New Roman"/>
          <w:sz w:val="18"/>
          <w:szCs w:val="18"/>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Recent Accounting Pronouncements</w:t>
      </w:r>
    </w:p>
    <w:p>
      <w:pPr>
        <w:spacing w:after="0" w:line="2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“Note 14 – Recent Accounting Pronouncements” to the condensed consolidated financial statements.</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56"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207" w:lineRule="exact"/>
        <w:rPr>
          <w:sz w:val="20"/>
          <w:szCs w:val="20"/>
          <w:color w:val="auto"/>
        </w:rPr>
      </w:pPr>
    </w:p>
    <w:p>
      <w:pPr>
        <w:ind w:right="20" w:firstLine="222"/>
        <w:spacing w:after="0" w:line="258" w:lineRule="auto"/>
        <w:rPr>
          <w:sz w:val="20"/>
          <w:szCs w:val="20"/>
          <w:color w:val="auto"/>
        </w:rPr>
      </w:pPr>
      <w:r>
        <w:rPr>
          <w:rFonts w:ascii="Times New Roman" w:cs="Times New Roman" w:eastAsia="Times New Roman" w:hAnsi="Times New Roman"/>
          <w:sz w:val="18"/>
          <w:szCs w:val="18"/>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However, in some instances, the Company sells products in a currency other than the functional currency of the country where it was produced or purchases products in a currency that differs from the functional currency of the purchasing manufacturing facility. There can be no assurance that this approach will continue to be successful, especially in the event of a significant adverse movement in the value of any foreign currency against the U.S. dollar, the New Taiwan dollar or the Korean won.</w:t>
      </w:r>
    </w:p>
    <w:p>
      <w:pPr>
        <w:spacing w:after="0" w:line="211" w:lineRule="exact"/>
        <w:rPr>
          <w:sz w:val="20"/>
          <w:szCs w:val="20"/>
          <w:color w:val="auto"/>
        </w:rPr>
      </w:pPr>
    </w:p>
    <w:p>
      <w:pPr>
        <w:ind w:firstLine="222"/>
        <w:spacing w:after="0" w:line="261" w:lineRule="auto"/>
        <w:rPr>
          <w:sz w:val="20"/>
          <w:szCs w:val="20"/>
          <w:color w:val="auto"/>
        </w:rPr>
      </w:pPr>
      <w:r>
        <w:rPr>
          <w:rFonts w:ascii="Times New Roman" w:cs="Times New Roman" w:eastAsia="Times New Roman" w:hAnsi="Times New Roman"/>
          <w:sz w:val="18"/>
          <w:szCs w:val="18"/>
          <w:color w:val="auto"/>
        </w:rPr>
        <w:t>The Company's primary net foreign currency exposures as of August 2, 2015, included the Korean won, the Japanese yen, the New Taiwan dollar, the Singapore dollar, the British pound, and the euro. As of August 2, 2015, a 10% adverse movement in the value of these currencies against the U.S. dollar would have resulted in a net unrealized pre-tax loss of $4.2 million. The Company does not believe that a 10% change in the exchange rates of other non-U.S. dollar currencies would have a material effect on its consolidated financial position, results of operations, or cash flows.</w:t>
      </w:r>
    </w:p>
    <w:p>
      <w:pPr>
        <w:sectPr>
          <w:pgSz w:w="11900" w:h="16838" w:orient="portrait"/>
          <w:cols w:equalWidth="0" w:num="1">
            <w:col w:w="11380"/>
          </w:cols>
          <w:pgMar w:left="240" w:top="115" w:right="27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ind w:right="340" w:firstLine="170"/>
        <w:spacing w:after="0" w:line="282" w:lineRule="auto"/>
        <w:rPr>
          <w:sz w:val="20"/>
          <w:szCs w:val="20"/>
          <w:color w:val="auto"/>
        </w:rPr>
      </w:pPr>
      <w:r>
        <w:rPr>
          <w:rFonts w:ascii="Times New Roman" w:cs="Times New Roman" w:eastAsia="Times New Roman" w:hAnsi="Times New Roman"/>
          <w:sz w:val="18"/>
          <w:szCs w:val="18"/>
          <w:color w:val="auto"/>
        </w:rPr>
        <w:t>At August 2, 2015, the Company did not have any variable rate borrowings. A 10% change in interest rates would not have had a material effect on the Company’s consolidated financial position, results of operations, or cash flows in the three or nine month periods ended August 2, 2015.</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60" w:firstLine="177"/>
        <w:spacing w:after="0" w:line="255" w:lineRule="auto"/>
        <w:rPr>
          <w:sz w:val="20"/>
          <w:szCs w:val="20"/>
          <w:color w:val="auto"/>
        </w:rPr>
      </w:pPr>
      <w:r>
        <w:rPr>
          <w:rFonts w:ascii="Times New Roman" w:cs="Times New Roman" w:eastAsia="Times New Roman" w:hAnsi="Times New Roman"/>
          <w:sz w:val="18"/>
          <w:szCs w:val="18"/>
          <w:color w:val="auto"/>
        </w:rPr>
        <w:t>The Company has established and currently maintains disclosure controls and procedures, as such term is defined in Rules 13a-15(e) and 15d-15(e) of the Securities Exchange Act of 1934, as amended (the "Exchange Act"), designed to provide reasonable assurance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2" w:lineRule="exact"/>
        <w:rPr>
          <w:sz w:val="20"/>
          <w:szCs w:val="20"/>
          <w:color w:val="auto"/>
        </w:rPr>
      </w:pPr>
    </w:p>
    <w:p>
      <w:pPr>
        <w:ind w:firstLine="177"/>
        <w:spacing w:after="0" w:line="261"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520" w:firstLine="177"/>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during the Company's third quarter of fiscal 2015 that has materially affected, or is reasonably likely to materially affect, the Company's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40" w:firstLine="177"/>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risks relating to the Company's business as disclosed in Part 1, Item 1A of the Company's Form 10-K for the year ended November 2, 2014</w:t>
      </w:r>
      <w:r>
        <w:rPr>
          <w:rFonts w:ascii="Times New Roman" w:cs="Times New Roman" w:eastAsia="Times New Roman" w:hAnsi="Times New Roman"/>
          <w:sz w:val="18"/>
          <w:szCs w:val="18"/>
          <w:b w:val="1"/>
          <w:bCs w:val="1"/>
          <w:color w:val="auto"/>
        </w:rPr>
        <w: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6" w:name="page27"/>
    <w:bookmarkEnd w:id="26"/>
    <w:p>
      <w:pPr>
        <w:spacing w:after="0"/>
        <w:rPr>
          <w:rFonts w:ascii="Times New Roman" w:cs="Times New Roman" w:eastAsia="Times New Roman" w:hAnsi="Times New Roman"/>
          <w:sz w:val="14"/>
          <w:szCs w:val="14"/>
          <w:i w:val="1"/>
          <w:iCs w:val="1"/>
          <w:u w:val="single" w:color="auto"/>
          <w:color w:val="0000EE"/>
        </w:rPr>
      </w:pPr>
      <w:hyperlink w:anchor="page3">
        <w:r>
          <w:rPr>
            <w:rFonts w:ascii="Times New Roman" w:cs="Times New Roman" w:eastAsia="Times New Roman" w:hAnsi="Times New Roman"/>
            <w:sz w:val="14"/>
            <w:szCs w:val="14"/>
            <w:i w:val="1"/>
            <w:iCs w:val="1"/>
            <w:u w:val="single" w:color="auto"/>
            <w:color w:val="0000EE"/>
          </w:rPr>
          <w:t>Index</w:t>
        </w:r>
      </w:hyperlink>
    </w:p>
    <w:p>
      <w:pPr>
        <w:spacing w:after="0" w:line="16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80" w:hanging="694"/>
        <w:spacing w:after="0"/>
        <w:tabs>
          <w:tab w:leader="none" w:pos="2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31" w:lineRule="exact"/>
        <w:rPr>
          <w:rFonts w:ascii="Times New Roman" w:cs="Times New Roman" w:eastAsia="Times New Roman" w:hAnsi="Times New Roman"/>
          <w:sz w:val="18"/>
          <w:szCs w:val="18"/>
          <w:color w:val="auto"/>
        </w:rPr>
      </w:pPr>
    </w:p>
    <w:p>
      <w:pPr>
        <w:ind w:left="2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NumberDescription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980" w:type="dxa"/>
            <w:vAlign w:val="bottom"/>
            <w:gridSpan w:val="4"/>
            <w:shd w:val="clear" w:color="auto" w:fill="CCEEFF"/>
          </w:tcPr>
          <w:p>
            <w:pPr>
              <w:ind w:left="208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28</w:t>
              </w:r>
            </w:hyperlink>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Employment Agreement between the Company and Peter Kirlin dated May 4, 2015.</w:t>
            </w:r>
          </w:p>
        </w:tc>
      </w:tr>
      <w:tr>
        <w:trPr>
          <w:trHeight w:val="216"/>
        </w:trPr>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40" w:type="dxa"/>
            <w:vAlign w:val="bottom"/>
            <w:tcBorders>
              <w:top w:val="single" w:sz="8" w:color="CCEEFF"/>
            </w:tcBorders>
          </w:tcPr>
          <w:p>
            <w:pPr>
              <w:spacing w:after="0"/>
              <w:rPr>
                <w:sz w:val="18"/>
                <w:szCs w:val="18"/>
                <w:color w:val="auto"/>
              </w:rPr>
            </w:pPr>
          </w:p>
        </w:tc>
      </w:tr>
      <w:tr>
        <w:trPr>
          <w:trHeight w:val="196"/>
        </w:trPr>
        <w:tc>
          <w:tcPr>
            <w:tcW w:w="2980" w:type="dxa"/>
            <w:vAlign w:val="bottom"/>
            <w:gridSpan w:val="4"/>
            <w:shd w:val="clear" w:color="auto" w:fill="CCEEFF"/>
          </w:tcPr>
          <w:p>
            <w:pPr>
              <w:ind w:left="2080"/>
              <w:spacing w:after="0" w:line="17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31</w:t>
              </w:r>
            </w:hyperlink>
          </w:p>
        </w:tc>
        <w:tc>
          <w:tcPr>
            <w:tcW w:w="8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Executive Employment Agreement between the Company and Constantine Macricostas dated May 4, 2015.</w:t>
            </w:r>
          </w:p>
        </w:tc>
      </w:tr>
      <w:tr>
        <w:trPr>
          <w:trHeight w:val="216"/>
        </w:trPr>
        <w:tc>
          <w:tcPr>
            <w:tcW w:w="2080" w:type="dxa"/>
            <w:vAlign w:val="bottom"/>
            <w:tcBorders>
              <w:top w:val="single" w:sz="8" w:color="CCEEFF"/>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40" w:type="dxa"/>
            <w:vAlign w:val="bottom"/>
            <w:tcBorders>
              <w:top w:val="single" w:sz="8" w:color="CCEEFF"/>
            </w:tcBorders>
          </w:tcPr>
          <w:p>
            <w:pPr>
              <w:spacing w:after="0"/>
              <w:rPr>
                <w:sz w:val="18"/>
                <w:szCs w:val="18"/>
                <w:color w:val="auto"/>
              </w:rPr>
            </w:pPr>
          </w:p>
        </w:tc>
      </w:tr>
      <w:tr>
        <w:trPr>
          <w:trHeight w:val="176"/>
        </w:trPr>
        <w:tc>
          <w:tcPr>
            <w:tcW w:w="2480" w:type="dxa"/>
            <w:vAlign w:val="bottom"/>
            <w:gridSpan w:val="3"/>
            <w:shd w:val="clear" w:color="auto" w:fill="CCEEFF"/>
          </w:tcPr>
          <w:p>
            <w:pPr>
              <w:ind w:left="2080"/>
              <w:spacing w:after="0" w:line="17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500" w:type="dxa"/>
            <w:vAlign w:val="bottom"/>
            <w:shd w:val="clear" w:color="auto" w:fill="CCEEFF"/>
          </w:tcPr>
          <w:p>
            <w:pPr>
              <w:spacing w:after="0"/>
              <w:rPr>
                <w:sz w:val="15"/>
                <w:szCs w:val="15"/>
                <w:color w:val="auto"/>
              </w:rPr>
            </w:pPr>
          </w:p>
        </w:tc>
        <w:tc>
          <w:tcPr>
            <w:tcW w:w="8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 of the Securities Exchange Act of</w:t>
            </w:r>
          </w:p>
        </w:tc>
      </w:tr>
      <w:tr>
        <w:trPr>
          <w:trHeight w:val="237"/>
        </w:trPr>
        <w:tc>
          <w:tcPr>
            <w:tcW w:w="20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176"/>
        </w:trPr>
        <w:tc>
          <w:tcPr>
            <w:tcW w:w="2480" w:type="dxa"/>
            <w:vAlign w:val="bottom"/>
            <w:gridSpan w:val="3"/>
            <w:shd w:val="clear" w:color="auto" w:fill="CCEEFF"/>
          </w:tcPr>
          <w:p>
            <w:pPr>
              <w:ind w:left="2080"/>
              <w:spacing w:after="0" w:line="17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500" w:type="dxa"/>
            <w:vAlign w:val="bottom"/>
            <w:shd w:val="clear" w:color="auto" w:fill="CCEEFF"/>
          </w:tcPr>
          <w:p>
            <w:pPr>
              <w:spacing w:after="0"/>
              <w:rPr>
                <w:sz w:val="15"/>
                <w:szCs w:val="15"/>
                <w:color w:val="auto"/>
              </w:rPr>
            </w:pPr>
          </w:p>
        </w:tc>
        <w:tc>
          <w:tcPr>
            <w:tcW w:w="8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 of the Securities Exchange Act of</w:t>
            </w:r>
          </w:p>
        </w:tc>
      </w:tr>
      <w:tr>
        <w:trPr>
          <w:trHeight w:val="237"/>
        </w:trPr>
        <w:tc>
          <w:tcPr>
            <w:tcW w:w="20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1934, as adopted pursuant to Section 302 of the Sarbanes-Oxley Act of 2002.</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176"/>
        </w:trPr>
        <w:tc>
          <w:tcPr>
            <w:tcW w:w="2480" w:type="dxa"/>
            <w:vAlign w:val="bottom"/>
            <w:gridSpan w:val="3"/>
            <w:shd w:val="clear" w:color="auto" w:fill="CCEEFF"/>
          </w:tcPr>
          <w:p>
            <w:pPr>
              <w:ind w:left="2080"/>
              <w:spacing w:after="0" w:line="17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500" w:type="dxa"/>
            <w:vAlign w:val="bottom"/>
            <w:shd w:val="clear" w:color="auto" w:fill="CCEEFF"/>
          </w:tcPr>
          <w:p>
            <w:pPr>
              <w:spacing w:after="0"/>
              <w:rPr>
                <w:sz w:val="15"/>
                <w:szCs w:val="15"/>
                <w:color w:val="auto"/>
              </w:rPr>
            </w:pPr>
          </w:p>
        </w:tc>
        <w:tc>
          <w:tcPr>
            <w:tcW w:w="8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w:t>
            </w:r>
          </w:p>
        </w:tc>
      </w:tr>
      <w:tr>
        <w:trPr>
          <w:trHeight w:val="237"/>
        </w:trPr>
        <w:tc>
          <w:tcPr>
            <w:tcW w:w="20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the Sarbanes-Oxley Act of 2002.</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176"/>
        </w:trPr>
        <w:tc>
          <w:tcPr>
            <w:tcW w:w="2480" w:type="dxa"/>
            <w:vAlign w:val="bottom"/>
            <w:gridSpan w:val="3"/>
            <w:shd w:val="clear" w:color="auto" w:fill="CCEEFF"/>
          </w:tcPr>
          <w:p>
            <w:pPr>
              <w:ind w:left="2080"/>
              <w:spacing w:after="0" w:line="17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500" w:type="dxa"/>
            <w:vAlign w:val="bottom"/>
            <w:shd w:val="clear" w:color="auto" w:fill="CCEEFF"/>
          </w:tcPr>
          <w:p>
            <w:pPr>
              <w:spacing w:after="0"/>
              <w:rPr>
                <w:sz w:val="15"/>
                <w:szCs w:val="15"/>
                <w:color w:val="auto"/>
              </w:rPr>
            </w:pPr>
          </w:p>
        </w:tc>
        <w:tc>
          <w:tcPr>
            <w:tcW w:w="8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w:t>
            </w:r>
          </w:p>
        </w:tc>
      </w:tr>
      <w:tr>
        <w:trPr>
          <w:trHeight w:val="237"/>
        </w:trPr>
        <w:tc>
          <w:tcPr>
            <w:tcW w:w="20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4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Sarbanes-Oxley Act of 2002.</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2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4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59"/>
        </w:trPr>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4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225" w:lineRule="exact"/>
        <w:rPr>
          <w:sz w:val="20"/>
          <w:szCs w:val="20"/>
          <w:color w:val="auto"/>
        </w:rPr>
      </w:pPr>
    </w:p>
    <w:p>
      <w:pPr>
        <w:ind w:right="84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18097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(Duly Authorized Officer and</w:t>
      </w:r>
    </w:p>
    <w:p>
      <w:pPr>
        <w:spacing w:after="0" w:line="9"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2015</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5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4, 2015 by and between Photronics, Inc., a Connecticut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having a principal place of business at 15 Secor Road, Brookfield, CT 06804 and Peter S. Kirlin(“</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residing at 18 Butternut Ridge, Newtown, CT 06470.</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5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desire to enter into this Agreement to assure the Company of the continuing service of Executive and to set forth the terms and conditions of Executive’s employment with the Company.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the parties agree as follows:</w:t>
      </w:r>
    </w:p>
    <w:p>
      <w:pPr>
        <w:spacing w:after="0" w:line="248" w:lineRule="exact"/>
        <w:rPr>
          <w:sz w:val="20"/>
          <w:szCs w:val="20"/>
          <w:color w:val="auto"/>
        </w:rPr>
      </w:pPr>
    </w:p>
    <w:p>
      <w:pPr>
        <w:ind w:right="40" w:firstLine="8"/>
        <w:spacing w:after="0" w:line="259"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employ Executive and Executive hereby accepts such employment, in accordance with the terms of this Agreement.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term of Executive’s employment shall commence on the date hereof and continue for three (3) years thereafter unless this Agreement is earlier terminated as provided herein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unless the Company gives written notice to Executive at least thirty (30) days prior to the end of the Term of this Agreement (as the Term may be extended pursuant to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on each anniversary of the date hereof, the Term of this Agreement shall automatically be extended for an additional one (1) year period.</w:t>
      </w:r>
    </w:p>
    <w:p>
      <w:pPr>
        <w:spacing w:after="0" w:line="206" w:lineRule="exact"/>
        <w:rPr>
          <w:rFonts w:ascii="Times New Roman" w:cs="Times New Roman" w:eastAsia="Times New Roman" w:hAnsi="Times New Roman"/>
          <w:sz w:val="18"/>
          <w:szCs w:val="18"/>
          <w:b w:val="1"/>
          <w:bCs w:val="1"/>
          <w:color w:val="auto"/>
        </w:rPr>
      </w:pPr>
    </w:p>
    <w:p>
      <w:pPr>
        <w:ind w:right="240" w:firstLine="8"/>
        <w:spacing w:after="0" w:line="262"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this Agreement shall continue in effect, Executive shall devote Executive’s full business time, energy and ability to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affairs 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203"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Duties and Responsibilities.</w:t>
      </w:r>
    </w:p>
    <w:p>
      <w:pPr>
        <w:spacing w:after="0" w:line="256" w:lineRule="exact"/>
        <w:rPr>
          <w:rFonts w:ascii="Times New Roman" w:cs="Times New Roman" w:eastAsia="Times New Roman" w:hAnsi="Times New Roman"/>
          <w:sz w:val="18"/>
          <w:szCs w:val="18"/>
          <w:b w:val="1"/>
          <w:bCs w:val="1"/>
          <w:color w:val="auto"/>
        </w:rPr>
      </w:pPr>
    </w:p>
    <w:p>
      <w:pPr>
        <w:ind w:right="160" w:firstLine="332"/>
        <w:spacing w:after="0" w:line="266" w:lineRule="auto"/>
        <w:tabs>
          <w:tab w:leader="none" w:pos="56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serve as the Chief Executive Officer of the Company. In the performance of Executive’s duties, Executive shall report directly to the Executive Chairman and the Board of Directors, and shall have such duties, responsibilities and authority as may from time to time be assigned to the Executive by the Executive Chairman or the Company’s Board of Directors.</w:t>
      </w:r>
    </w:p>
    <w:p>
      <w:pPr>
        <w:spacing w:after="0" w:line="203" w:lineRule="exact"/>
        <w:rPr>
          <w:rFonts w:ascii="Times New Roman" w:cs="Times New Roman" w:eastAsia="Times New Roman" w:hAnsi="Times New Roman"/>
          <w:sz w:val="18"/>
          <w:szCs w:val="18"/>
          <w:color w:val="auto"/>
        </w:rPr>
      </w:pPr>
    </w:p>
    <w:p>
      <w:pPr>
        <w:ind w:right="360" w:firstLine="332"/>
        <w:spacing w:after="0" w:line="266" w:lineRule="auto"/>
        <w:tabs>
          <w:tab w:leader="none" w:pos="57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Executive agrees to observe and comply with the policies, rules and regulations of the Company. The Company agrees that the duties which may be assigned to Executive shall be the customary duties of the office of the Chief Executive Officer and shall not be inconsistent with the provisions of the charter documents of the Company or applicable law.</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28" w:name="page29"/>
    <w:bookmarkEnd w:id="28"/>
    <w:p>
      <w:pPr>
        <w:ind w:left="172" w:hanging="172"/>
        <w:spacing w:after="0"/>
        <w:tabs>
          <w:tab w:leader="none" w:pos="17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56" w:lineRule="exact"/>
        <w:rPr>
          <w:rFonts w:ascii="Times New Roman" w:cs="Times New Roman" w:eastAsia="Times New Roman" w:hAnsi="Times New Roman"/>
          <w:sz w:val="18"/>
          <w:szCs w:val="18"/>
          <w:b w:val="1"/>
          <w:bCs w:val="1"/>
          <w:color w:val="auto"/>
        </w:rPr>
      </w:pPr>
    </w:p>
    <w:p>
      <w:pPr>
        <w:ind w:left="-8" w:right="20" w:firstLine="332"/>
        <w:spacing w:after="0" w:line="258" w:lineRule="auto"/>
        <w:tabs>
          <w:tab w:leader="none" w:pos="5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During the Term, the Company agrees to pay Executive a base salary at the rate of $525,000 per year payable in accordance with the Company’s customary payroll practices generally applicable to similarly situated employees as may be in effect from time to time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All payments required hereunder, including the payments required by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210" w:lineRule="exact"/>
        <w:rPr>
          <w:rFonts w:ascii="Times New Roman" w:cs="Times New Roman" w:eastAsia="Times New Roman" w:hAnsi="Times New Roman"/>
          <w:sz w:val="18"/>
          <w:szCs w:val="18"/>
          <w:color w:val="auto"/>
        </w:rPr>
      </w:pPr>
    </w:p>
    <w:p>
      <w:pPr>
        <w:ind w:left="-8" w:firstLine="332"/>
        <w:spacing w:after="0" w:line="261" w:lineRule="auto"/>
        <w:tabs>
          <w:tab w:leader="none" w:pos="5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Review</w:t>
      </w:r>
      <w:r>
        <w:rPr>
          <w:rFonts w:ascii="Times New Roman" w:cs="Times New Roman" w:eastAsia="Times New Roman" w:hAnsi="Times New Roman"/>
          <w:sz w:val="18"/>
          <w:szCs w:val="18"/>
          <w:color w:val="auto"/>
        </w:rPr>
        <w:t>. The Compensation Committee or the Board of Directors of the Company shall review Executive’s Base Salary 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207" w:lineRule="exact"/>
        <w:rPr>
          <w:rFonts w:ascii="Times New Roman" w:cs="Times New Roman" w:eastAsia="Times New Roman" w:hAnsi="Times New Roman"/>
          <w:sz w:val="18"/>
          <w:szCs w:val="18"/>
          <w:color w:val="auto"/>
        </w:rPr>
      </w:pPr>
    </w:p>
    <w:p>
      <w:pPr>
        <w:ind w:left="-8" w:right="40" w:firstLine="332"/>
        <w:spacing w:after="0" w:line="261" w:lineRule="auto"/>
        <w:tabs>
          <w:tab w:leader="none" w:pos="5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Benefits</w:t>
      </w:r>
      <w:r>
        <w:rPr>
          <w:rFonts w:ascii="Times New Roman" w:cs="Times New Roman" w:eastAsia="Times New Roman" w:hAnsi="Times New Roman"/>
          <w:sz w:val="18"/>
          <w:szCs w:val="18"/>
          <w:color w:val="auto"/>
        </w:rPr>
        <w:t>. During the Term, the Executive shall be entitled to participate in the employee benefit plans and arrangements as the Company may establish from time to time in which other employees similarly situated are entitled to participate (which may include, without limitation, bonus plan(s), medical plan, dental plan, disability plan, basic life insurance and business travel accident insurance plan, 401(k) plan, stock option or stock purchase plans or any successor plans thereto (the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Company shall have the right to terminate or change any such plans or programs at any time.</w:t>
      </w:r>
    </w:p>
    <w:p>
      <w:pPr>
        <w:spacing w:after="0" w:line="207" w:lineRule="exact"/>
        <w:rPr>
          <w:rFonts w:ascii="Times New Roman" w:cs="Times New Roman" w:eastAsia="Times New Roman" w:hAnsi="Times New Roman"/>
          <w:sz w:val="18"/>
          <w:szCs w:val="18"/>
          <w:color w:val="auto"/>
        </w:rPr>
      </w:pPr>
    </w:p>
    <w:p>
      <w:pPr>
        <w:ind w:left="-8" w:right="80" w:firstLine="332"/>
        <w:spacing w:after="0" w:line="282" w:lineRule="auto"/>
        <w:tabs>
          <w:tab w:leader="none" w:pos="5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Automobile Allowance</w:t>
      </w:r>
      <w:r>
        <w:rPr>
          <w:rFonts w:ascii="Times New Roman" w:cs="Times New Roman" w:eastAsia="Times New Roman" w:hAnsi="Times New Roman"/>
          <w:sz w:val="18"/>
          <w:szCs w:val="18"/>
          <w:color w:val="auto"/>
        </w:rPr>
        <w:t>. During the Term of this Agreement, the Company shall provide the Executive with an automobile allowance or company car consistent with the Company’s policies and provisions applicable to other similarly situated executives of the Company.</w:t>
      </w:r>
    </w:p>
    <w:p>
      <w:pPr>
        <w:spacing w:after="0" w:line="188" w:lineRule="exact"/>
        <w:rPr>
          <w:rFonts w:ascii="Times New Roman" w:cs="Times New Roman" w:eastAsia="Times New Roman" w:hAnsi="Times New Roman"/>
          <w:sz w:val="18"/>
          <w:szCs w:val="18"/>
          <w:color w:val="auto"/>
        </w:rPr>
      </w:pPr>
    </w:p>
    <w:p>
      <w:pPr>
        <w:ind w:left="-8" w:right="560" w:firstLine="332"/>
        <w:spacing w:after="0" w:line="282" w:lineRule="auto"/>
        <w:tabs>
          <w:tab w:leader="none" w:pos="5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the Term of this Agreement, Executive shall be entitled to four (4) weeks’ paid vacation per calendar year, which shall not be transferable to any subsequent year.</w:t>
      </w:r>
    </w:p>
    <w:p>
      <w:pPr>
        <w:spacing w:after="0" w:line="184" w:lineRule="exact"/>
        <w:rPr>
          <w:rFonts w:ascii="Times New Roman" w:cs="Times New Roman" w:eastAsia="Times New Roman" w:hAnsi="Times New Roman"/>
          <w:sz w:val="18"/>
          <w:szCs w:val="18"/>
          <w:color w:val="auto"/>
        </w:rPr>
      </w:pPr>
    </w:p>
    <w:p>
      <w:pPr>
        <w:ind w:left="-8" w:right="220" w:firstLine="8"/>
        <w:spacing w:after="0" w:line="268" w:lineRule="auto"/>
        <w:tabs>
          <w:tab w:leader="none" w:pos="172"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rights and obligations hereunder, except the rights and obligations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 Information),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(Non-Competition),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(Intellectual Property)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(Remedies), which shall survive any termination hereunder, shall terminate upon the earliest to occur of any of the following:</w:t>
      </w:r>
    </w:p>
    <w:p>
      <w:pPr>
        <w:spacing w:after="0" w:line="201" w:lineRule="exact"/>
        <w:rPr>
          <w:rFonts w:ascii="Times New Roman" w:cs="Times New Roman" w:eastAsia="Times New Roman" w:hAnsi="Times New Roman"/>
          <w:sz w:val="18"/>
          <w:szCs w:val="18"/>
          <w:b w:val="1"/>
          <w:bCs w:val="1"/>
          <w:color w:val="auto"/>
        </w:rPr>
      </w:pPr>
    </w:p>
    <w:p>
      <w:pPr>
        <w:ind w:left="-8" w:right="20" w:firstLine="332"/>
        <w:spacing w:after="0" w:line="255" w:lineRule="auto"/>
        <w:tabs>
          <w:tab w:leader="none" w:pos="56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without Good Reason; Retirement</w:t>
      </w:r>
      <w:r>
        <w:rPr>
          <w:rFonts w:ascii="Times New Roman" w:cs="Times New Roman" w:eastAsia="Times New Roman" w:hAnsi="Times New Roman"/>
          <w:sz w:val="18"/>
          <w:szCs w:val="18"/>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last day of employment to the extent not theretofore paid, (B) any compensation previously deferred by Executive (together with any accrued interest or earnings thereon), and (C) any accrued vacation pay according to Company U.S. Vacation Policy, in each case to the extent not theretofore paid (the sum of the amounts described in clauses (A), (B) and (C) shall be hereinafter referred to as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in a lump sum, subject to statutory deductions and withholdings, in cash within ten (10) business days after the last day of employment or any earlier time required by applicable law.</w:t>
      </w: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17" w:right="239" w:bottom="1440" w:gutter="0" w:footer="0" w:header="0"/>
        </w:sectPr>
      </w:pPr>
    </w:p>
    <w:bookmarkStart w:id="29" w:name="page30"/>
    <w:bookmarkEnd w:id="29"/>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 of Executive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100" w:firstLine="548"/>
        <w:spacing w:after="0" w:line="282" w:lineRule="auto"/>
        <w:tabs>
          <w:tab w:leader="none" w:pos="7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88" w:lineRule="exact"/>
        <w:rPr>
          <w:rFonts w:ascii="Times New Roman" w:cs="Times New Roman" w:eastAsia="Times New Roman" w:hAnsi="Times New Roman"/>
          <w:sz w:val="18"/>
          <w:szCs w:val="18"/>
          <w:color w:val="auto"/>
        </w:rPr>
      </w:pPr>
    </w:p>
    <w:p>
      <w:pPr>
        <w:ind w:firstLine="728"/>
        <w:spacing w:after="0" w:line="313" w:lineRule="auto"/>
        <w:tabs>
          <w:tab w:leader="none" w:pos="975"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65" w:lineRule="exact"/>
        <w:rPr>
          <w:rFonts w:ascii="Times New Roman" w:cs="Times New Roman" w:eastAsia="Times New Roman" w:hAnsi="Times New Roman"/>
          <w:sz w:val="17"/>
          <w:szCs w:val="17"/>
          <w:color w:val="auto"/>
        </w:rPr>
      </w:pPr>
    </w:p>
    <w:p>
      <w:pPr>
        <w:ind w:left="980" w:hanging="252"/>
        <w:spacing w:after="0"/>
        <w:tabs>
          <w:tab w:leader="none" w:pos="98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to Executive or Executive’s estate or beneficiary, as applicable, of any amount accrued pursuant to the terms of any other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plan.</w:t>
      </w:r>
    </w:p>
    <w:p>
      <w:pPr>
        <w:spacing w:after="0" w:line="233"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shall become disabled, Executive’s employment may be terminated only by written notice from the Company to Executive.</w:t>
      </w:r>
    </w:p>
    <w:p>
      <w:pPr>
        <w:spacing w:after="0" w:line="252" w:lineRule="exact"/>
        <w:rPr>
          <w:rFonts w:ascii="Times New Roman" w:cs="Times New Roman" w:eastAsia="Times New Roman" w:hAnsi="Times New Roman"/>
          <w:sz w:val="18"/>
          <w:szCs w:val="18"/>
          <w:color w:val="auto"/>
        </w:rPr>
      </w:pPr>
    </w:p>
    <w:p>
      <w:pPr>
        <w:ind w:right="160" w:firstLine="548"/>
        <w:spacing w:after="0" w:line="266" w:lineRule="auto"/>
        <w:tabs>
          <w:tab w:leader="none" w:pos="8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20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and all of Executive’s rights to receive Base Salary, and any Benefits hereunder for Cause.</w:t>
      </w:r>
    </w:p>
    <w:p>
      <w:pPr>
        <w:spacing w:after="0" w:line="252" w:lineRule="exact"/>
        <w:rPr>
          <w:rFonts w:ascii="Times New Roman" w:cs="Times New Roman" w:eastAsia="Times New Roman" w:hAnsi="Times New Roman"/>
          <w:sz w:val="18"/>
          <w:szCs w:val="18"/>
          <w:color w:val="auto"/>
        </w:rPr>
      </w:pPr>
    </w:p>
    <w:p>
      <w:pPr>
        <w:jc w:val="both"/>
        <w:ind w:right="60" w:firstLine="548"/>
        <w:spacing w:after="0" w:line="266" w:lineRule="auto"/>
        <w:tabs>
          <w:tab w:leader="none" w:pos="80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203" w:lineRule="exact"/>
        <w:rPr>
          <w:rFonts w:ascii="Times New Roman" w:cs="Times New Roman" w:eastAsia="Times New Roman" w:hAnsi="Times New Roman"/>
          <w:sz w:val="18"/>
          <w:szCs w:val="18"/>
          <w:color w:val="auto"/>
        </w:rPr>
      </w:pPr>
    </w:p>
    <w:p>
      <w:pPr>
        <w:ind w:left="860" w:hanging="312"/>
        <w:spacing w:after="0"/>
        <w:tabs>
          <w:tab w:leader="none" w:pos="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defined as any of the following:</w:t>
      </w:r>
    </w:p>
    <w:p>
      <w:pPr>
        <w:spacing w:after="0" w:line="252"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of any obligations under this Agreement (other than by reason of physical or mental illness, injury,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0" w:name="page31"/>
    <w:bookmarkEnd w:id="30"/>
    <w:p>
      <w:pPr>
        <w:ind w:right="140" w:firstLine="818"/>
        <w:spacing w:after="0" w:line="282" w:lineRule="auto"/>
        <w:tabs>
          <w:tab w:leader="none" w:pos="106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88"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an act of fraud upon the Company;</w:t>
      </w:r>
    </w:p>
    <w:p>
      <w:pPr>
        <w:spacing w:after="0" w:line="252"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engaging in willful or reckless misconduct or gross negligence in connection with any property or activity of the Company or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w:t>
      </w:r>
    </w:p>
    <w:p>
      <w:pPr>
        <w:spacing w:after="0" w:line="233"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repeated and intemperate use of alcohol or illegal drugs after written notice from the Board or Directors;</w:t>
      </w:r>
    </w:p>
    <w:p>
      <w:pPr>
        <w:spacing w:after="0" w:line="252" w:lineRule="exact"/>
        <w:rPr>
          <w:rFonts w:ascii="Times New Roman" w:cs="Times New Roman" w:eastAsia="Times New Roman" w:hAnsi="Times New Roman"/>
          <w:sz w:val="18"/>
          <w:szCs w:val="18"/>
          <w:color w:val="auto"/>
        </w:rPr>
      </w:pPr>
    </w:p>
    <w:p>
      <w:pPr>
        <w:ind w:right="420" w:firstLine="818"/>
        <w:spacing w:after="0" w:line="282" w:lineRule="auto"/>
        <w:tabs>
          <w:tab w:leader="none" w:pos="106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88"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becoming insolvent or filing for bankruptcy;</w:t>
      </w:r>
    </w:p>
    <w:p>
      <w:pPr>
        <w:spacing w:after="0" w:line="252"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becoming barred or prohibited by the SEC from holding my position with the Company; or</w:t>
      </w:r>
    </w:p>
    <w:p>
      <w:pPr>
        <w:spacing w:after="0" w:line="252" w:lineRule="exact"/>
        <w:rPr>
          <w:rFonts w:ascii="Times New Roman" w:cs="Times New Roman" w:eastAsia="Times New Roman" w:hAnsi="Times New Roman"/>
          <w:sz w:val="18"/>
          <w:szCs w:val="18"/>
          <w:color w:val="auto"/>
        </w:rPr>
      </w:pPr>
    </w:p>
    <w:p>
      <w:pPr>
        <w:ind w:right="480" w:firstLine="818"/>
        <w:spacing w:after="0" w:line="282" w:lineRule="auto"/>
        <w:tabs>
          <w:tab w:leader="none" w:pos="1065"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violation of any duty of loyalty (i.e., engaging in self-interested transactions, misappropriation of business opportunities that belong to the Company, or a breach of Executive’s fiduciary duties to the Company).</w:t>
      </w:r>
    </w:p>
    <w:p>
      <w:pPr>
        <w:spacing w:after="0" w:line="188"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 the Company may, at its option and at any time, provide to Executive: (A) up to twelve</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3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advance written notice of termination of employment without Cause, or (B) written notice of a current material adverse change in the Executive’s position (such notice in (A) or (B) being referred to herein as a “Working Notice”). If the Company issues a Working Notice to the Executive, any entitlement to a Severance Payment and Benefit Period (as defined below) shall be reduced in proportion to the period covered by the Working Notice. During the period covered by the Working Notice, the Executive shall continue to provide the services according to Section 2, hereof as an employee of the Company. If the Executive resigns during the period covered by the Working Notice, then Executive shall receive only the Accrued Obligations through the date of termination. Executive, upon thirty (30) days advance notice to the Company, shall have the right to resign for Good Reason.</w:t>
      </w:r>
    </w:p>
    <w:p>
      <w:pPr>
        <w:spacing w:after="0" w:line="217"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is so terminated without Cause or resigns for Good Reason, Executive shall receive from the Company:</w:t>
      </w:r>
    </w:p>
    <w:p>
      <w:pPr>
        <w:spacing w:after="0" w:line="252" w:lineRule="exact"/>
        <w:rPr>
          <w:rFonts w:ascii="Times New Roman" w:cs="Times New Roman" w:eastAsia="Times New Roman" w:hAnsi="Times New Roman"/>
          <w:sz w:val="18"/>
          <w:szCs w:val="18"/>
          <w:color w:val="auto"/>
        </w:rPr>
      </w:pPr>
    </w:p>
    <w:p>
      <w:pPr>
        <w:ind w:right="100" w:firstLine="818"/>
        <w:spacing w:after="0" w:line="282" w:lineRule="auto"/>
        <w:tabs>
          <w:tab w:leader="none" w:pos="1065" w:val="left"/>
        </w:tabs>
        <w:numPr>
          <w:ilvl w:val="3"/>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1" w:name="page32"/>
    <w:bookmarkEnd w:id="31"/>
    <w:p>
      <w:pPr>
        <w:jc w:val="both"/>
        <w:ind w:left="-40" w:right="200" w:firstLine="818"/>
        <w:spacing w:after="0" w:line="261" w:lineRule="auto"/>
        <w:tabs>
          <w:tab w:leader="none" w:pos="102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xml:space="preserve">”) equal to twelve (12) months of Executive’s current Base Salary. The Severance Payment shall be paid by the Company to Executive in equal installments, following the expiration of the Revocation Period defined in the Release referred to in </w:t>
      </w:r>
      <w:r>
        <w:rPr>
          <w:rFonts w:ascii="Times New Roman" w:cs="Times New Roman" w:eastAsia="Times New Roman" w:hAnsi="Times New Roman"/>
          <w:sz w:val="18"/>
          <w:szCs w:val="18"/>
          <w:u w:val="single" w:color="auto"/>
          <w:color w:val="auto"/>
        </w:rPr>
        <w:t>Section 5(d)(iv)</w:t>
      </w:r>
      <w:r>
        <w:rPr>
          <w:rFonts w:ascii="Times New Roman" w:cs="Times New Roman" w:eastAsia="Times New Roman" w:hAnsi="Times New Roman"/>
          <w:sz w:val="18"/>
          <w:szCs w:val="18"/>
          <w:color w:val="auto"/>
        </w:rPr>
        <w:t>, in accordance with the Company’s customary payroll practices generally applicable to similarly situated employees as may be in effect from time and shall be subject to statutory deductions and withholdings.</w:t>
      </w:r>
    </w:p>
    <w:p>
      <w:pPr>
        <w:spacing w:after="0" w:line="207" w:lineRule="exact"/>
        <w:rPr>
          <w:rFonts w:ascii="Times New Roman" w:cs="Times New Roman" w:eastAsia="Times New Roman" w:hAnsi="Times New Roman"/>
          <w:sz w:val="18"/>
          <w:szCs w:val="18"/>
          <w:color w:val="auto"/>
        </w:rPr>
      </w:pPr>
    </w:p>
    <w:p>
      <w:pPr>
        <w:ind w:left="-40" w:right="660" w:firstLine="818"/>
        <w:spacing w:after="0" w:line="282" w:lineRule="auto"/>
        <w:tabs>
          <w:tab w:leader="none" w:pos="102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Executive’s COBRA premiums for the 360-day period following termination of employment (“</w:t>
      </w:r>
      <w:r>
        <w:rPr>
          <w:rFonts w:ascii="Times New Roman" w:cs="Times New Roman" w:eastAsia="Times New Roman" w:hAnsi="Times New Roman"/>
          <w:sz w:val="18"/>
          <w:szCs w:val="18"/>
          <w:u w:val="single" w:color="auto"/>
          <w:color w:val="auto"/>
        </w:rPr>
        <w:t>Benefit Period</w:t>
      </w:r>
      <w:r>
        <w:rPr>
          <w:rFonts w:ascii="Times New Roman" w:cs="Times New Roman" w:eastAsia="Times New Roman" w:hAnsi="Times New Roman"/>
          <w:sz w:val="18"/>
          <w:szCs w:val="18"/>
          <w:color w:val="auto"/>
        </w:rPr>
        <w:t>”), provided Executive elects to receive COBRA continuation coverage and is eligible for COBRA continuation coverage.</w:t>
      </w:r>
    </w:p>
    <w:p>
      <w:pPr>
        <w:spacing w:after="0" w:line="188" w:lineRule="exact"/>
        <w:rPr>
          <w:rFonts w:ascii="Times New Roman" w:cs="Times New Roman" w:eastAsia="Times New Roman" w:hAnsi="Times New Roman"/>
          <w:sz w:val="18"/>
          <w:szCs w:val="18"/>
          <w:color w:val="auto"/>
        </w:rPr>
      </w:pPr>
    </w:p>
    <w:p>
      <w:pPr>
        <w:ind w:left="-40" w:right="120" w:firstLine="548"/>
        <w:spacing w:after="0" w:line="266" w:lineRule="auto"/>
        <w:tabs>
          <w:tab w:leader="none" w:pos="81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Agreement, the term “Good Reason” shall mean (i) (except as set forth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the relocation of the Company’s principal executive offices to a location outside the contiguous 48 United States without the consent of Executive or (ii) a material diminution in Executive’s overall employee benefits not the result of changes in benefit plans affecting other employees, without the consent of Executive.</w:t>
      </w:r>
    </w:p>
    <w:p>
      <w:pPr>
        <w:spacing w:after="0" w:line="203" w:lineRule="exact"/>
        <w:rPr>
          <w:rFonts w:ascii="Times New Roman" w:cs="Times New Roman" w:eastAsia="Times New Roman" w:hAnsi="Times New Roman"/>
          <w:sz w:val="18"/>
          <w:szCs w:val="18"/>
          <w:color w:val="auto"/>
        </w:rPr>
      </w:pPr>
    </w:p>
    <w:p>
      <w:pPr>
        <w:ind w:left="-40" w:right="180" w:firstLine="548"/>
        <w:spacing w:after="0" w:line="282" w:lineRule="auto"/>
        <w:tabs>
          <w:tab w:leader="none" w:pos="8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condition to receiving the payment and benefits extension contemplated by </w:t>
      </w:r>
      <w:r>
        <w:rPr>
          <w:rFonts w:ascii="Times New Roman" w:cs="Times New Roman" w:eastAsia="Times New Roman" w:hAnsi="Times New Roman"/>
          <w:sz w:val="18"/>
          <w:szCs w:val="18"/>
          <w:u w:val="single" w:color="auto"/>
          <w:color w:val="auto"/>
        </w:rPr>
        <w:t>Section 5(d) or 5(e)</w:t>
      </w:r>
      <w:r>
        <w:rPr>
          <w:rFonts w:ascii="Times New Roman" w:cs="Times New Roman" w:eastAsia="Times New Roman" w:hAnsi="Times New Roman"/>
          <w:sz w:val="18"/>
          <w:szCs w:val="18"/>
          <w:color w:val="auto"/>
        </w:rPr>
        <w:t xml:space="preserve">, Executive agrees to execute and deliver to the Company the Release substantially in the form attached to this Agreement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540" w:hanging="248"/>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720" w:hanging="212"/>
        <w:spacing w:after="0"/>
        <w:tabs>
          <w:tab w:leader="none" w:pos="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Agreement, a “change of control” means, and shall be deemed to have taken place, if;</w:t>
      </w:r>
    </w:p>
    <w:p>
      <w:pPr>
        <w:spacing w:after="0" w:line="252" w:lineRule="exact"/>
        <w:rPr>
          <w:rFonts w:ascii="Times New Roman" w:cs="Times New Roman" w:eastAsia="Times New Roman" w:hAnsi="Times New Roman"/>
          <w:sz w:val="18"/>
          <w:szCs w:val="18"/>
          <w:color w:val="auto"/>
        </w:rPr>
      </w:pPr>
    </w:p>
    <w:p>
      <w:pPr>
        <w:ind w:left="-40" w:right="80" w:firstLine="818"/>
        <w:spacing w:after="0" w:line="261" w:lineRule="auto"/>
        <w:tabs>
          <w:tab w:leader="none" w:pos="102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207" w:lineRule="exact"/>
        <w:rPr>
          <w:rFonts w:ascii="Times New Roman" w:cs="Times New Roman" w:eastAsia="Times New Roman" w:hAnsi="Times New Roman"/>
          <w:sz w:val="18"/>
          <w:szCs w:val="18"/>
          <w:color w:val="auto"/>
        </w:rPr>
      </w:pPr>
    </w:p>
    <w:p>
      <w:pPr>
        <w:ind w:left="-40" w:firstLine="818"/>
        <w:spacing w:after="0" w:line="261" w:lineRule="auto"/>
        <w:tabs>
          <w:tab w:leader="none" w:pos="1025"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21" w:right="259" w:bottom="1440" w:gutter="0" w:footer="0" w:header="0"/>
        </w:sectPr>
      </w:pPr>
    </w:p>
    <w:bookmarkStart w:id="32" w:name="page33"/>
    <w:bookmarkEnd w:id="32"/>
    <w:p>
      <w:pPr>
        <w:ind w:left="-20" w:right="80" w:firstLine="818"/>
        <w:spacing w:after="0" w:line="266" w:lineRule="auto"/>
        <w:tabs>
          <w:tab w:leader="none" w:pos="10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 reorganization, merger, consolidation or other corporate transaction involving the Company (a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203" w:lineRule="exact"/>
        <w:rPr>
          <w:rFonts w:ascii="Times New Roman" w:cs="Times New Roman" w:eastAsia="Times New Roman" w:hAnsi="Times New Roman"/>
          <w:sz w:val="18"/>
          <w:szCs w:val="18"/>
          <w:color w:val="auto"/>
        </w:rPr>
      </w:pPr>
    </w:p>
    <w:p>
      <w:pPr>
        <w:ind w:left="1060" w:hanging="262"/>
        <w:spacing w:after="0"/>
        <w:tabs>
          <w:tab w:leader="none" w:pos="10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control” of the Company within the meaning of Section 280G of the U.S. Federal internal revenue code of 1986.</w:t>
      </w:r>
    </w:p>
    <w:p>
      <w:pPr>
        <w:spacing w:after="0" w:line="252" w:lineRule="exact"/>
        <w:rPr>
          <w:rFonts w:ascii="Times New Roman" w:cs="Times New Roman" w:eastAsia="Times New Roman" w:hAnsi="Times New Roman"/>
          <w:sz w:val="18"/>
          <w:szCs w:val="18"/>
          <w:color w:val="auto"/>
        </w:rPr>
      </w:pPr>
    </w:p>
    <w:p>
      <w:pPr>
        <w:ind w:left="-20" w:firstLine="548"/>
        <w:spacing w:after="0" w:line="255" w:lineRule="auto"/>
        <w:tabs>
          <w:tab w:leader="none" w:pos="8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the period three (3) months before or two (2) years following a “change in control” of the Company (or any successor), the Executive is terminated by the Company for any reason (other than for Cause as defined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thereof), including an election by the Company or its successor not to extend this Agreement pursuant to Section 1, or the Executive resigns for Good Reason as defined in </w:t>
      </w:r>
      <w:r>
        <w:rPr>
          <w:rFonts w:ascii="Times New Roman" w:cs="Times New Roman" w:eastAsia="Times New Roman" w:hAnsi="Times New Roman"/>
          <w:sz w:val="18"/>
          <w:szCs w:val="18"/>
          <w:u w:val="single" w:color="auto"/>
          <w:color w:val="auto"/>
        </w:rPr>
        <w:t>Section 5(e)(ii)</w:t>
      </w:r>
      <w:r>
        <w:rPr>
          <w:rFonts w:ascii="Times New Roman" w:cs="Times New Roman" w:eastAsia="Times New Roman" w:hAnsi="Times New Roman"/>
          <w:sz w:val="18"/>
          <w:szCs w:val="18"/>
          <w:color w:val="auto"/>
        </w:rPr>
        <w:t xml:space="preserve">), “ ”Executive shall be entitled to receive a cash payment equal to eighteen (18) months of Executive’s current Base Salary and the benefits described in </w:t>
      </w:r>
      <w:r>
        <w:rPr>
          <w:rFonts w:ascii="Times New Roman" w:cs="Times New Roman" w:eastAsia="Times New Roman" w:hAnsi="Times New Roman"/>
          <w:sz w:val="18"/>
          <w:szCs w:val="18"/>
          <w:u w:val="single" w:color="auto"/>
          <w:color w:val="auto"/>
        </w:rPr>
        <w:t>Section 5(d)(ii)</w:t>
      </w:r>
      <w:r>
        <w:rPr>
          <w:rFonts w:ascii="Times New Roman" w:cs="Times New Roman" w:eastAsia="Times New Roman" w:hAnsi="Times New Roman"/>
          <w:sz w:val="18"/>
          <w:szCs w:val="18"/>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 xml:space="preserve"> hereof and the “change of control” payment described in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w:t>
      </w:r>
    </w:p>
    <w:p>
      <w:pPr>
        <w:spacing w:after="0" w:line="216" w:lineRule="exact"/>
        <w:rPr>
          <w:rFonts w:ascii="Times New Roman" w:cs="Times New Roman" w:eastAsia="Times New Roman" w:hAnsi="Times New Roman"/>
          <w:sz w:val="18"/>
          <w:szCs w:val="18"/>
          <w:color w:val="auto"/>
        </w:rPr>
      </w:pPr>
    </w:p>
    <w:p>
      <w:pPr>
        <w:ind w:left="-20" w:right="60" w:firstLine="548"/>
        <w:spacing w:after="0" w:line="266" w:lineRule="auto"/>
        <w:tabs>
          <w:tab w:leader="none" w:pos="8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payments to be made to Executive in connection with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shall be made in a lump sum, subject to statutory deductions and withholdings, in cash within ten (10) business days after the date of termination or any earlier time required by applicable law, following the expiration of the Revocation Period defined in the Release referred to in </w:t>
      </w:r>
      <w:r>
        <w:rPr>
          <w:rFonts w:ascii="Times New Roman" w:cs="Times New Roman" w:eastAsia="Times New Roman" w:hAnsi="Times New Roman"/>
          <w:sz w:val="18"/>
          <w:szCs w:val="18"/>
          <w:u w:val="single" w:color="auto"/>
          <w:color w:val="auto"/>
        </w:rPr>
        <w:t>Section 5(d)(iv)</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1" w:right="259" w:bottom="1440" w:gutter="0" w:footer="0" w:header="0"/>
        </w:sectPr>
      </w:pPr>
    </w:p>
    <w:bookmarkStart w:id="33" w:name="page34"/>
    <w:bookmarkEnd w:id="33"/>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Stock Options Upon Change of Control or a Termination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180" w:firstLine="548"/>
        <w:spacing w:after="0" w:line="282" w:lineRule="auto"/>
        <w:tabs>
          <w:tab w:leader="none" w:pos="7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188" w:lineRule="exact"/>
        <w:rPr>
          <w:rFonts w:ascii="Times New Roman" w:cs="Times New Roman" w:eastAsia="Times New Roman" w:hAnsi="Times New Roman"/>
          <w:sz w:val="18"/>
          <w:szCs w:val="18"/>
          <w:color w:val="auto"/>
        </w:rPr>
      </w:pPr>
    </w:p>
    <w:p>
      <w:pPr>
        <w:ind w:right="140" w:firstLine="548"/>
        <w:spacing w:after="0" w:line="282" w:lineRule="auto"/>
        <w:tabs>
          <w:tab w:leader="none" w:pos="80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clause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if Executive resigns his employment, all unvested stock options granted to Executive pursuant to the Company’s stock plans shall terminate immediately.</w:t>
      </w:r>
    </w:p>
    <w:p>
      <w:pPr>
        <w:spacing w:after="0" w:line="189" w:lineRule="exact"/>
        <w:rPr>
          <w:sz w:val="20"/>
          <w:szCs w:val="20"/>
          <w:color w:val="auto"/>
        </w:rPr>
      </w:pPr>
    </w:p>
    <w:p>
      <w:pPr>
        <w:ind w:firstLine="540"/>
        <w:spacing w:after="0" w:line="261" w:lineRule="auto"/>
        <w:rPr>
          <w:sz w:val="20"/>
          <w:szCs w:val="20"/>
          <w:color w:val="auto"/>
        </w:rPr>
      </w:pPr>
      <w:r>
        <w:rPr>
          <w:rFonts w:ascii="Times New Roman" w:cs="Times New Roman" w:eastAsia="Times New Roman" w:hAnsi="Times New Roman"/>
          <w:sz w:val="18"/>
          <w:szCs w:val="18"/>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207" w:lineRule="exact"/>
        <w:rPr>
          <w:sz w:val="20"/>
          <w:szCs w:val="20"/>
          <w:color w:val="auto"/>
        </w:rPr>
      </w:pPr>
    </w:p>
    <w:p>
      <w:pPr>
        <w:ind w:right="280" w:firstLine="540"/>
        <w:spacing w:after="0" w:line="282" w:lineRule="auto"/>
        <w:rPr>
          <w:sz w:val="20"/>
          <w:szCs w:val="20"/>
          <w:color w:val="auto"/>
        </w:rPr>
      </w:pPr>
      <w:r>
        <w:rPr>
          <w:rFonts w:ascii="Times New Roman" w:cs="Times New Roman" w:eastAsia="Times New Roman" w:hAnsi="Times New Roman"/>
          <w:sz w:val="18"/>
          <w:szCs w:val="18"/>
          <w:color w:val="auto"/>
        </w:rPr>
        <w:t xml:space="preserve">Except as expressly modified by this clause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all stock options and similar rights granted under the Company’s stock plans shall remain subject to all of the terms and conditions of the applicable stock plans and agreements evidencing the grants thereof.</w:t>
      </w:r>
    </w:p>
    <w:p>
      <w:pPr>
        <w:spacing w:after="0" w:line="189" w:lineRule="exact"/>
        <w:rPr>
          <w:sz w:val="20"/>
          <w:szCs w:val="20"/>
          <w:color w:val="auto"/>
        </w:rPr>
      </w:pPr>
    </w:p>
    <w:p>
      <w:pPr>
        <w:ind w:right="220" w:firstLine="332"/>
        <w:spacing w:after="0" w:line="261" w:lineRule="auto"/>
        <w:tabs>
          <w:tab w:leader="none" w:pos="57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203" w:lineRule="exact"/>
        <w:rPr>
          <w:rFonts w:ascii="Times New Roman" w:cs="Times New Roman" w:eastAsia="Times New Roman" w:hAnsi="Times New Roman"/>
          <w:sz w:val="18"/>
          <w:szCs w:val="18"/>
          <w:color w:val="auto"/>
        </w:rPr>
      </w:pPr>
    </w:p>
    <w:p>
      <w:pPr>
        <w:ind w:firstLine="8"/>
        <w:spacing w:after="0" w:line="262" w:lineRule="auto"/>
        <w:tabs>
          <w:tab w:leader="none" w:pos="1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this Agreement, to the extent that such expenditures satisfy the criteria under the Internal Revenue Code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203"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ind w:right="280" w:firstLine="332"/>
        <w:spacing w:after="0" w:line="254" w:lineRule="auto"/>
        <w:tabs>
          <w:tab w:leader="none" w:pos="5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Times New Roman" w:cs="Times New Roman" w:eastAsia="Times New Roman" w:hAnsi="Times New Roman"/>
          <w:sz w:val="18"/>
          <w:szCs w:val="18"/>
          <w:u w:val="single" w:color="auto"/>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ind w:left="-8" w:right="120" w:firstLine="332"/>
        <w:spacing w:after="0" w:line="258" w:lineRule="auto"/>
        <w:tabs>
          <w:tab w:leader="none" w:pos="5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206" w:lineRule="exact"/>
        <w:rPr>
          <w:rFonts w:ascii="Times New Roman" w:cs="Times New Roman" w:eastAsia="Times New Roman" w:hAnsi="Times New Roman"/>
          <w:sz w:val="18"/>
          <w:szCs w:val="18"/>
          <w:color w:val="auto"/>
        </w:rPr>
      </w:pPr>
    </w:p>
    <w:p>
      <w:pPr>
        <w:ind w:left="-8" w:firstLine="8"/>
        <w:spacing w:after="0" w:line="286" w:lineRule="auto"/>
        <w:tabs>
          <w:tab w:leader="none" w:pos="17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covenants and agrees that commencing on the date hereof and continuing for the entire Term of Executive’s employment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period of twelve (12) months thereafter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shall not:</w:t>
      </w:r>
    </w:p>
    <w:p>
      <w:pPr>
        <w:spacing w:after="0" w:line="185" w:lineRule="exact"/>
        <w:rPr>
          <w:rFonts w:ascii="Times New Roman" w:cs="Times New Roman" w:eastAsia="Times New Roman" w:hAnsi="Times New Roman"/>
          <w:sz w:val="18"/>
          <w:szCs w:val="18"/>
          <w:b w:val="1"/>
          <w:bCs w:val="1"/>
          <w:color w:val="auto"/>
        </w:rPr>
      </w:pPr>
    </w:p>
    <w:p>
      <w:pPr>
        <w:jc w:val="both"/>
        <w:ind w:left="-8" w:firstLine="332"/>
        <w:spacing w:after="0" w:line="261" w:lineRule="auto"/>
        <w:tabs>
          <w:tab w:leader="none" w:pos="5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207" w:lineRule="exact"/>
        <w:rPr>
          <w:rFonts w:ascii="Times New Roman" w:cs="Times New Roman" w:eastAsia="Times New Roman" w:hAnsi="Times New Roman"/>
          <w:sz w:val="18"/>
          <w:szCs w:val="18"/>
          <w:color w:val="auto"/>
        </w:rPr>
      </w:pPr>
    </w:p>
    <w:p>
      <w:pPr>
        <w:ind w:left="-8" w:right="20" w:firstLine="332"/>
        <w:spacing w:after="0" w:line="258" w:lineRule="auto"/>
        <w:tabs>
          <w:tab w:leader="none" w:pos="5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entity or person who is or has been a client or customer of the Company during the time which Executive was employed with the Company, and the term “</w:t>
      </w:r>
      <w:r>
        <w:rPr>
          <w:rFonts w:ascii="Times New Roman" w:cs="Times New Roman" w:eastAsia="Times New Roman" w:hAnsi="Times New Roman"/>
          <w:sz w:val="18"/>
          <w:szCs w:val="18"/>
          <w:u w:val="single" w:color="auto"/>
          <w:color w:val="auto"/>
        </w:rPr>
        <w:t>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210" w:lineRule="exact"/>
        <w:rPr>
          <w:rFonts w:ascii="Times New Roman" w:cs="Times New Roman" w:eastAsia="Times New Roman" w:hAnsi="Times New Roman"/>
          <w:sz w:val="18"/>
          <w:szCs w:val="18"/>
          <w:color w:val="auto"/>
        </w:rPr>
      </w:pPr>
    </w:p>
    <w:p>
      <w:pPr>
        <w:ind w:left="-8" w:firstLine="332"/>
        <w:spacing w:after="0" w:line="266" w:lineRule="auto"/>
        <w:tabs>
          <w:tab w:leader="none" w:pos="5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34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1" w:right="279" w:bottom="1440" w:gutter="0" w:footer="0" w:header="0"/>
        </w:sectPr>
      </w:pPr>
    </w:p>
    <w:bookmarkStart w:id="35" w:name="page36"/>
    <w:bookmarkEnd w:id="35"/>
    <w:p>
      <w:pPr>
        <w:ind w:left="-8" w:right="80" w:firstLine="332"/>
        <w:spacing w:after="0" w:line="282" w:lineRule="auto"/>
        <w:tabs>
          <w:tab w:leader="none" w:pos="5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in the event of his employment with the Company terminates for any reason, Executive will be able to earn a livelihood without violating the foregoing restrictions.</w:t>
      </w:r>
    </w:p>
    <w:p>
      <w:pPr>
        <w:spacing w:after="0" w:line="188" w:lineRule="exact"/>
        <w:rPr>
          <w:rFonts w:ascii="Times New Roman" w:cs="Times New Roman" w:eastAsia="Times New Roman" w:hAnsi="Times New Roman"/>
          <w:sz w:val="18"/>
          <w:szCs w:val="18"/>
          <w:color w:val="auto"/>
        </w:rPr>
      </w:pPr>
    </w:p>
    <w:p>
      <w:pPr>
        <w:ind w:left="-8" w:right="40" w:firstLine="332"/>
        <w:spacing w:after="0" w:line="258" w:lineRule="auto"/>
        <w:tabs>
          <w:tab w:leader="none" w:pos="5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provision or clause, or portion thereof, within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206"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56" w:lineRule="exact"/>
        <w:rPr>
          <w:rFonts w:ascii="Times New Roman" w:cs="Times New Roman" w:eastAsia="Times New Roman" w:hAnsi="Times New Roman"/>
          <w:sz w:val="18"/>
          <w:szCs w:val="18"/>
          <w:b w:val="1"/>
          <w:bCs w:val="1"/>
          <w:color w:val="auto"/>
        </w:rPr>
      </w:pPr>
    </w:p>
    <w:p>
      <w:pPr>
        <w:ind w:left="-8" w:right="120" w:firstLine="332"/>
        <w:spacing w:after="0" w:line="255" w:lineRule="auto"/>
        <w:tabs>
          <w:tab w:leader="none" w:pos="56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216" w:lineRule="exact"/>
        <w:rPr>
          <w:rFonts w:ascii="Times New Roman" w:cs="Times New Roman" w:eastAsia="Times New Roman" w:hAnsi="Times New Roman"/>
          <w:sz w:val="18"/>
          <w:szCs w:val="18"/>
          <w:color w:val="auto"/>
        </w:rPr>
      </w:pPr>
    </w:p>
    <w:p>
      <w:pPr>
        <w:ind w:left="-8" w:firstLine="332"/>
        <w:spacing w:after="0" w:line="253" w:lineRule="auto"/>
        <w:tabs>
          <w:tab w:leader="none" w:pos="57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36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36" w:name="page37"/>
    <w:bookmarkEnd w:id="36"/>
    <w:p>
      <w:pPr>
        <w:ind w:left="-8" w:right="60" w:firstLine="8"/>
        <w:spacing w:after="0" w:line="257" w:lineRule="auto"/>
        <w:tabs>
          <w:tab w:leader="none" w:pos="26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that the services to be rendered by Executive pursuant to this Agreement, and the rights and privileges granted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not be construed as a waiver of any other rights or remedies which the Company may have for damages or otherwise.</w:t>
      </w:r>
    </w:p>
    <w:p>
      <w:pPr>
        <w:spacing w:after="0" w:line="209" w:lineRule="exact"/>
        <w:rPr>
          <w:rFonts w:ascii="Times New Roman" w:cs="Times New Roman" w:eastAsia="Times New Roman" w:hAnsi="Times New Roman"/>
          <w:sz w:val="18"/>
          <w:szCs w:val="18"/>
          <w:b w:val="1"/>
          <w:bCs w:val="1"/>
          <w:color w:val="auto"/>
        </w:rPr>
      </w:pPr>
    </w:p>
    <w:p>
      <w:pPr>
        <w:ind w:left="-8" w:right="460" w:firstLine="8"/>
        <w:spacing w:after="0" w:line="286" w:lineRule="auto"/>
        <w:tabs>
          <w:tab w:leader="none" w:pos="25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Return of Property</w:t>
      </w:r>
      <w:r>
        <w:rPr>
          <w:rFonts w:ascii="Times New Roman" w:cs="Times New Roman" w:eastAsia="Times New Roman" w:hAnsi="Times New Roman"/>
          <w:sz w:val="18"/>
          <w:szCs w:val="18"/>
          <w:color w:val="auto"/>
        </w:rPr>
        <w:t>. Executive agrees to return, on or before his last day of employment, all property belonging to the Company,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computers, PDA, telephone and other credit cards, Company business records, Company automobile (if applicable), etc.</w:t>
      </w:r>
    </w:p>
    <w:p>
      <w:pPr>
        <w:spacing w:after="0" w:line="181" w:lineRule="exact"/>
        <w:rPr>
          <w:rFonts w:ascii="Times New Roman" w:cs="Times New Roman" w:eastAsia="Times New Roman" w:hAnsi="Times New Roman"/>
          <w:sz w:val="18"/>
          <w:szCs w:val="18"/>
          <w:b w:val="1"/>
          <w:bCs w:val="1"/>
          <w:color w:val="auto"/>
        </w:rPr>
      </w:pPr>
    </w:p>
    <w:p>
      <w:pPr>
        <w:ind w:left="-8" w:right="60" w:firstLine="8"/>
        <w:spacing w:after="0" w:line="268" w:lineRule="auto"/>
        <w:tabs>
          <w:tab w:leader="none" w:pos="26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is held to be unenforceable for any reason, it shall be adjusted rather than voided, if possible,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intent of the parties to the extent possible. In any event, all other provisions of this Agreement shall be deemed valid and enforceable to the extent possible.</w:t>
      </w:r>
    </w:p>
    <w:p>
      <w:pPr>
        <w:spacing w:after="0" w:line="197" w:lineRule="exact"/>
        <w:rPr>
          <w:rFonts w:ascii="Times New Roman" w:cs="Times New Roman" w:eastAsia="Times New Roman" w:hAnsi="Times New Roman"/>
          <w:sz w:val="18"/>
          <w:szCs w:val="18"/>
          <w:b w:val="1"/>
          <w:bCs w:val="1"/>
          <w:color w:val="auto"/>
        </w:rPr>
      </w:pPr>
    </w:p>
    <w:p>
      <w:pPr>
        <w:ind w:left="-8" w:firstLine="8"/>
        <w:spacing w:after="0" w:line="257" w:lineRule="auto"/>
        <w:tabs>
          <w:tab w:leader="none" w:pos="26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Succession</w:t>
      </w:r>
      <w:r>
        <w:rPr>
          <w:rFonts w:ascii="Times New Roman" w:cs="Times New Roman" w:eastAsia="Times New Roman" w:hAnsi="Times New Roman"/>
          <w:sz w:val="18"/>
          <w:szCs w:val="18"/>
          <w:color w:val="auto"/>
        </w:rPr>
        <w:t>. This Agreement shall inure to the benefit of and be binding upon the Company and its successors and assigns and any such successor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358"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32"/>
          </w:cols>
          <w:pgMar w:left="248" w:top="117" w:right="319" w:bottom="1440" w:gutter="0" w:footer="0" w:header="0"/>
        </w:sectPr>
      </w:pPr>
    </w:p>
    <w:bookmarkStart w:id="37" w:name="page38"/>
    <w:bookmarkEnd w:id="37"/>
    <w:p>
      <w:pPr>
        <w:ind w:left="280" w:hanging="272"/>
        <w:spacing w:after="0"/>
        <w:tabs>
          <w:tab w:leader="none" w:pos="2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provided for in this Agreement shall be in writing and sent if to the Company to its principal office at: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Secor Road, PO Box 5226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Connecticut 06804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07" w:lineRule="exact"/>
        <w:rPr>
          <w:sz w:val="20"/>
          <w:szCs w:val="20"/>
          <w:color w:val="auto"/>
        </w:rPr>
      </w:pPr>
    </w:p>
    <w:p>
      <w:pPr>
        <w:ind w:right="260" w:firstLine="8"/>
        <w:spacing w:after="0" w:line="262"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Adequate Consideration</w:t>
      </w:r>
      <w:r>
        <w:rPr>
          <w:rFonts w:ascii="Times New Roman" w:cs="Times New Roman" w:eastAsia="Times New Roman" w:hAnsi="Times New Roman"/>
          <w:sz w:val="18"/>
          <w:szCs w:val="18"/>
          <w:color w:val="auto"/>
        </w:rPr>
        <w:t>. Executive acknowledges that the cash severance and other benefits to be provided by the Company to Executive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under any current plan or policies of the Company. Accordingly, Executive further acknowledges that the payments and benefits under this Agreement provide adequate consideration for Executive’s obligations to the Company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(Confidential Information),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(Non-Competition),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(Remedies) and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(Release).</w:t>
      </w:r>
    </w:p>
    <w:p>
      <w:pPr>
        <w:spacing w:after="0" w:line="203"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relating to the subject matter hereof and supersedes any prior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undertakings, commitments and practices relating to Executive’s employment by the Company.</w:t>
      </w:r>
    </w:p>
    <w:p>
      <w:pPr>
        <w:spacing w:after="0" w:line="18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amendment or modification of the terms of this Agreement shall be valid unless made in writing, duly executed by both parties.</w:t>
      </w:r>
    </w:p>
    <w:p>
      <w:pPr>
        <w:spacing w:after="0" w:line="252" w:lineRule="exact"/>
        <w:rPr>
          <w:rFonts w:ascii="Times New Roman" w:cs="Times New Roman" w:eastAsia="Times New Roman" w:hAnsi="Times New Roman"/>
          <w:sz w:val="18"/>
          <w:szCs w:val="18"/>
          <w:b w:val="1"/>
          <w:bCs w:val="1"/>
          <w:color w:val="auto"/>
        </w:rPr>
      </w:pPr>
    </w:p>
    <w:p>
      <w:pPr>
        <w:ind w:right="180" w:firstLine="8"/>
        <w:spacing w:after="0" w:line="286"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failure on the part of any party to exercise or delay in exercising any right hereunder shall be deemed a waiver thereof or of any other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shall any single or partial exercise preclude any further or other exercise of such right or any other right.</w:t>
      </w:r>
    </w:p>
    <w:p>
      <w:pPr>
        <w:spacing w:after="0" w:line="181" w:lineRule="exact"/>
        <w:rPr>
          <w:rFonts w:ascii="Times New Roman" w:cs="Times New Roman" w:eastAsia="Times New Roman" w:hAnsi="Times New Roman"/>
          <w:sz w:val="18"/>
          <w:szCs w:val="18"/>
          <w:b w:val="1"/>
          <w:bCs w:val="1"/>
          <w:color w:val="auto"/>
        </w:rPr>
      </w:pPr>
    </w:p>
    <w:p>
      <w:pPr>
        <w:ind w:right="20" w:firstLine="8"/>
        <w:spacing w:after="0" w:line="268" w:lineRule="auto"/>
        <w:tabs>
          <w:tab w:leader="none" w:pos="27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 parties, shall be governed by and construed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Connecticut without regard to conflicts of law doctrines and any court action arising out of this Agreement shall be brought in any court of competent jurisdiction within the State of Connecticut.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38" w:name="page39"/>
    <w:bookmarkEnd w:id="38"/>
    <w:p>
      <w:pPr>
        <w:ind w:right="600" w:firstLine="8"/>
        <w:spacing w:after="0" w:line="286" w:lineRule="auto"/>
        <w:tabs>
          <w:tab w:leader="none" w:pos="27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All compensation payable hereunder, including salary and other benefits, shall be subject to applicable taxes, withholding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normal or elected employee deductions.</w:t>
      </w:r>
    </w:p>
    <w:p>
      <w:pPr>
        <w:spacing w:after="0" w:line="181"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7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executed in one or more counterparts. All of such counterparts shall constitute one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agreement and shall become effective when a copy signed by each party has been delivered to the other party.</w:t>
      </w:r>
    </w:p>
    <w:p>
      <w:pPr>
        <w:spacing w:after="0" w:line="181" w:lineRule="exact"/>
        <w:rPr>
          <w:rFonts w:ascii="Times New Roman" w:cs="Times New Roman" w:eastAsia="Times New Roman" w:hAnsi="Times New Roman"/>
          <w:sz w:val="18"/>
          <w:szCs w:val="18"/>
          <w:b w:val="1"/>
          <w:bCs w:val="1"/>
          <w:color w:val="auto"/>
        </w:rPr>
      </w:pPr>
    </w:p>
    <w:p>
      <w:pPr>
        <w:ind w:right="200" w:firstLine="8"/>
        <w:spacing w:after="0" w:line="286" w:lineRule="auto"/>
        <w:tabs>
          <w:tab w:leader="none" w:pos="27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and other headings contained in this Agreement are for convenience of reference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and year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PHOTRONICS,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0807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2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780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18 Butternut Ridge, Newtown, CT 06470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9" w:name="page40"/>
    <w:bookmarkEnd w:id="39"/>
    <w:p>
      <w:pPr>
        <w:jc w:val="center"/>
        <w:ind w:right="-51"/>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RELEASE</w:t>
      </w:r>
    </w:p>
    <w:p>
      <w:pPr>
        <w:spacing w:after="0" w:line="252" w:lineRule="exact"/>
        <w:rPr>
          <w:sz w:val="20"/>
          <w:szCs w:val="20"/>
          <w:color w:val="auto"/>
        </w:rPr>
      </w:pPr>
    </w:p>
    <w:p>
      <w:pPr>
        <w:ind w:left="-8" w:right="20" w:firstLine="8"/>
        <w:spacing w:after="0" w:line="266" w:lineRule="auto"/>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signed an Employment Agreement with Photronics, Inc. (the “Company”), effective May 4, 2015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203" w:lineRule="exact"/>
        <w:rPr>
          <w:rFonts w:ascii="Times New Roman" w:cs="Times New Roman" w:eastAsia="Times New Roman" w:hAnsi="Times New Roman"/>
          <w:sz w:val="18"/>
          <w:szCs w:val="18"/>
          <w:color w:val="auto"/>
        </w:rPr>
      </w:pPr>
    </w:p>
    <w:p>
      <w:pPr>
        <w:ind w:left="-8" w:firstLine="8"/>
        <w:spacing w:after="0" w:line="253" w:lineRule="auto"/>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this Release. In recognition of the consideration set forth in the Agreement, I hereby release and forever discharge the Released Parties from any and all claims, actions and causes of action, I have or may have as of the date of this Release arising under any federal, state, or local statute, regulation, ordinance, or law of any kind, including under the Age Discrimination in Employment Act of 1967, as amended, and the applicable rules and regulations promulgated thereunder (“ADEA”), the Connecticut Human Rights and Opportunities Law, the Connecticut Family and Medical Leave Law, and the Connecticut Age Discrimination and Employee Insurance Benefits Law, and including claims for wrongful discharge, breach of contract, or in tort.</w:t>
      </w:r>
    </w:p>
    <w:p>
      <w:pPr>
        <w:spacing w:after="0" w:line="219"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not to criticize, denigrate, or otherwise disparage the Company or any other Released Party.</w:t>
      </w:r>
    </w:p>
    <w:p>
      <w:pPr>
        <w:spacing w:after="0" w:line="252" w:lineRule="exact"/>
        <w:rPr>
          <w:rFonts w:ascii="Times New Roman" w:cs="Times New Roman" w:eastAsia="Times New Roman" w:hAnsi="Times New Roman"/>
          <w:sz w:val="18"/>
          <w:szCs w:val="18"/>
          <w:color w:val="auto"/>
        </w:rPr>
      </w:pPr>
    </w:p>
    <w:p>
      <w:pPr>
        <w:ind w:left="-8" w:right="20" w:firstLine="8"/>
        <w:spacing w:after="0" w:line="253" w:lineRule="auto"/>
        <w:tabs>
          <w:tab w:leader="none" w:pos="1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Release is not an admission of guilt or wrongdoing by either me or the Company. This Release constitutes the entire agreement between me and the Company with respect to the subject matter hereof, and I am not signing this Release in reliance on any representation not expressly set forth herein. No provisions of this Release may be modified, waived, amended or discharged except by a written document signed by me and a duly authorized Company representative. This Release binds my heirs, administrators, representatives, executors, successors, and assigns, and will inure to the benefit of all Released Parties and their respective heirs, administrators, representatives, executors, successors, and assigns. The invalidity or unenforceability of any provision of this Release shall not affect the validity or enforceability of any other provision of this Release, which shall remain in full force and effect. A waiver of any conditions or provisions of this Release in a given instance shall not be deemed a waiver of such conditions or provisions at any other time. If any of the provisions, terms or clauses of this Release are declared illegal, unenforceable or ineffective in a legal forum, those provisions, terms and clauses shall be deemed severable, such that all other provisions, terms and clauses of this Release shall remain valid and binding upon both parties. If any of the provisions, terms or clauses of this Release are found by a court to be overly broad, those provisions, terms and clauses shall be enforceable (and modified and enforced) to the broadest extent permissible under the law. The validity, interpretation, construction, and performance of this Release shall be governed by the internal laws of the State of Connecticut (excluding any that mandate the use of another jurisdiction’s laws).</w:t>
      </w:r>
    </w:p>
    <w:p>
      <w:pPr>
        <w:spacing w:after="0" w:line="362"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52"/>
          </w:cols>
          <w:pgMar w:left="248" w:top="117" w:right="299" w:bottom="1440" w:gutter="0" w:footer="0" w:header="0"/>
        </w:sectPr>
      </w:pPr>
    </w:p>
    <w:bookmarkStart w:id="40" w:name="page41"/>
    <w:bookmarkEnd w:id="40"/>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to me under this Release shall be net of applicable withholdings and deductions.</w:t>
      </w:r>
    </w:p>
    <w:p>
      <w:pPr>
        <w:spacing w:after="0" w:line="252" w:lineRule="exact"/>
        <w:rPr>
          <w:rFonts w:ascii="Times New Roman" w:cs="Times New Roman" w:eastAsia="Times New Roman" w:hAnsi="Times New Roman"/>
          <w:sz w:val="18"/>
          <w:szCs w:val="18"/>
          <w:color w:val="auto"/>
        </w:rPr>
      </w:pPr>
    </w:p>
    <w:p>
      <w:pPr>
        <w:ind w:firstLine="8"/>
        <w:spacing w:after="0" w:line="255"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advised me to take this Release home, read it, and carefully consider all of its terms before signing it. The Company gave me at least 21 days in which to consider this Release, and I waive any right I might have to additional time beyond this consideration period within which to consider this Release. The Company advised me to discuss this Release with my own attorney (at my own expense) during this period if I wished to do so. I understand that I may revoke my acceptance of this Release within seven (7) days after I sign it (“Revocation Period”). I understand that if I revoke my acceptance of this Release, I will not be entitled to any payments or benefits hereunder or otherwise in connection with the termination of my employment with the Company, except as required by law in the absence of the Agreement and this Release. I have carefully read this Release, fully understand what it means, and am entering into it voluntarily.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1800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2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Signature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EMPLOYMENT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4, 2015 by and between Photronics, Inc., a Connecticut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having a principal place of business at 15 Secor Road, Brookfield, CT 06804 and Constantine Macricostas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residing at 5509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Pennock Point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Jupiter, FL 33458</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desire to enter into this Agreement to assure the Company of the continuing service of Executive and to set forth the terms and conditions of Executive’s employment with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the parties agree as follows:</w:t>
      </w:r>
    </w:p>
    <w:p>
      <w:pPr>
        <w:spacing w:after="0" w:line="221" w:lineRule="exact"/>
        <w:rPr>
          <w:sz w:val="20"/>
          <w:szCs w:val="20"/>
          <w:color w:val="auto"/>
        </w:rPr>
      </w:pPr>
    </w:p>
    <w:p>
      <w:pPr>
        <w:ind w:right="400" w:firstLine="8"/>
        <w:spacing w:after="0" w:line="268" w:lineRule="auto"/>
        <w:tabs>
          <w:tab w:leader="none" w:pos="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employ Executive and Executive hereby accepts such employment, in accordance with the terms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 term of Executive’s employment shall commence on the date hereof and continue for a period of four (4) years unless this Agreement is earlier terminated as provided herein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56" w:lineRule="auto"/>
        <w:tabs>
          <w:tab w:leader="none" w:pos="31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this Agreement shall continue in effect, Executive shall attend to such matters of the Corporation during such hours as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approve or designate, and perform such duties as may be required of him. Executive shall use his best efforts and abilities to promote the Company’s interests and shall perform faithfully the services contemplated by this Agreement in accordance with the Company’s policies as established by the Board of Directors of the Company. It is expected that during the term of this Agreement you will work out of your office in Florida; provided however, while traveling to any of the Company’s facilities, the Company shall provide you with office space, if needed, at any of the Company’s various facilities including but not limited to Palm Bay. Notwithstanding the above, you shall be provided with and have use of the Company’s administrative staff and services related thereto at any of the Company’s facilities from which you may travel or work from.</w:t>
      </w:r>
    </w:p>
    <w:p>
      <w:pPr>
        <w:spacing w:after="0" w:line="18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Duties and Responsibilities.</w:t>
      </w:r>
    </w:p>
    <w:p>
      <w:pPr>
        <w:spacing w:after="0" w:line="229" w:lineRule="exact"/>
        <w:rPr>
          <w:rFonts w:ascii="Times New Roman" w:cs="Times New Roman" w:eastAsia="Times New Roman" w:hAnsi="Times New Roman"/>
          <w:sz w:val="18"/>
          <w:szCs w:val="18"/>
          <w:b w:val="1"/>
          <w:bCs w:val="1"/>
          <w:color w:val="auto"/>
        </w:rPr>
      </w:pPr>
    </w:p>
    <w:p>
      <w:pPr>
        <w:ind w:right="100" w:firstLine="332"/>
        <w:spacing w:after="0" w:line="256" w:lineRule="auto"/>
        <w:tabs>
          <w:tab w:leader="none" w:pos="61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serve as the Executive Chairman of the Company. In the performance of Executive’s duties, Executive shall report directly to the Company’s Board of Directors, and shall have such duties, responsibilities and authority as may from time to time be assigned to the Executive by the Company’s Board of Directors. Furthermore, Executive shall work on special projects at the request of the Chief Executive Officer. Executive will continue to be copied on all correspondence relating to capital expenditures and strategic planning including but not limited to weekly site operation reports, weekly and monthly sales reports, P&amp;L reports, and capital expenditure reports. Executive will be invited to and is expected to attend (if reasonably possible) all strategic planning meetings, capital expenditure meetings and all P&amp;L conference calls.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2" w:name="page43"/>
    <w:bookmarkEnd w:id="42"/>
    <w:p>
      <w:pPr>
        <w:ind w:right="20" w:firstLine="612"/>
        <w:spacing w:after="0" w:line="266" w:lineRule="auto"/>
        <w:rPr>
          <w:sz w:val="20"/>
          <w:szCs w:val="20"/>
          <w:color w:val="auto"/>
        </w:rPr>
      </w:pPr>
      <w:r>
        <w:rPr>
          <w:rFonts w:ascii="Times New Roman" w:cs="Times New Roman" w:eastAsia="Times New Roman" w:hAnsi="Times New Roman"/>
          <w:sz w:val="18"/>
          <w:szCs w:val="18"/>
          <w:color w:val="auto"/>
        </w:rPr>
        <w:t>Furthermore, the Chief Executive Officer will continue to advise you prior to the hiring of Company and subsidiary (worldwide) employees hired at the level of director and above as well as all consulting arrangements, promotions or salary increases for employees director level and above. You will have the opportunity to provide your comments and recommendations to the CEO regarding such hires, promotions, salary increases and the like</w:t>
      </w:r>
    </w:p>
    <w:p>
      <w:pPr>
        <w:spacing w:after="0" w:line="172" w:lineRule="exact"/>
        <w:rPr>
          <w:sz w:val="20"/>
          <w:szCs w:val="20"/>
          <w:color w:val="auto"/>
        </w:rPr>
      </w:pPr>
    </w:p>
    <w:p>
      <w:pPr>
        <w:ind w:left="360" w:hanging="352"/>
        <w:spacing w:after="0"/>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229" w:lineRule="exact"/>
        <w:rPr>
          <w:rFonts w:ascii="Times New Roman" w:cs="Times New Roman" w:eastAsia="Times New Roman" w:hAnsi="Times New Roman"/>
          <w:sz w:val="18"/>
          <w:szCs w:val="18"/>
          <w:b w:val="1"/>
          <w:bCs w:val="1"/>
          <w:color w:val="auto"/>
        </w:rPr>
      </w:pPr>
    </w:p>
    <w:p>
      <w:pPr>
        <w:ind w:right="240" w:firstLine="332"/>
        <w:spacing w:after="0" w:line="258" w:lineRule="auto"/>
        <w:tabs>
          <w:tab w:leader="none" w:pos="6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xml:space="preserve">. During the Term, the Company agrees to pay Executive a base salary at the rate of $410,000 per year payable in accordance with the Company’s customary payroll practices generally applicable to similarly situated employees as may be in effect from time to time. All payments required hereunder, including the payments required by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183" w:lineRule="exact"/>
        <w:rPr>
          <w:rFonts w:ascii="Times New Roman" w:cs="Times New Roman" w:eastAsia="Times New Roman" w:hAnsi="Times New Roman"/>
          <w:sz w:val="18"/>
          <w:szCs w:val="18"/>
          <w:color w:val="auto"/>
        </w:rPr>
      </w:pPr>
    </w:p>
    <w:p>
      <w:pPr>
        <w:ind w:firstLine="332"/>
        <w:spacing w:after="0" w:line="258" w:lineRule="auto"/>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Benefits</w:t>
      </w:r>
      <w:r>
        <w:rPr>
          <w:rFonts w:ascii="Times New Roman" w:cs="Times New Roman" w:eastAsia="Times New Roman" w:hAnsi="Times New Roman"/>
          <w:sz w:val="18"/>
          <w:szCs w:val="18"/>
          <w:color w:val="auto"/>
        </w:rPr>
        <w:t>. During the Term, the Executive shall be entitled to participate in the employee benefit plans and arrangements as the Company may establish from time to time in which other employees similarly situated are entitled to participate (which may include, if applicable, bonus plan(s), dental plan, disability plan, basic life insurance and business travel accident insurance plan, stock option or stock purchase plans or any successor plans thereto (the “</w:t>
      </w: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The Company shall have the right to terminate or change any such plans or programs at any time. Notwithstanding the above, the Company will reimburse Executive for health care expenses for Executive and his spouse in an amount not to exceed $20,000.00 per year during the term of this Agreement.</w:t>
      </w:r>
    </w:p>
    <w:p>
      <w:pPr>
        <w:spacing w:after="0" w:line="183" w:lineRule="exact"/>
        <w:rPr>
          <w:rFonts w:ascii="Times New Roman" w:cs="Times New Roman" w:eastAsia="Times New Roman" w:hAnsi="Times New Roman"/>
          <w:sz w:val="18"/>
          <w:szCs w:val="18"/>
          <w:color w:val="auto"/>
        </w:rPr>
      </w:pPr>
    </w:p>
    <w:p>
      <w:pPr>
        <w:jc w:val="both"/>
        <w:ind w:right="100" w:firstLine="332"/>
        <w:spacing w:after="0" w:line="266" w:lineRule="auto"/>
        <w:tabs>
          <w:tab w:leader="none" w:pos="61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Company </w:t>
      </w:r>
      <w:r>
        <w:rPr>
          <w:rFonts w:ascii="Times New Roman" w:cs="Times New Roman" w:eastAsia="Times New Roman" w:hAnsi="Times New Roman"/>
          <w:sz w:val="18"/>
          <w:szCs w:val="18"/>
          <w:u w:val="single" w:color="auto"/>
          <w:color w:val="auto"/>
        </w:rPr>
        <w:t>Automobile</w:t>
      </w:r>
      <w:r>
        <w:rPr>
          <w:rFonts w:ascii="Times New Roman" w:cs="Times New Roman" w:eastAsia="Times New Roman" w:hAnsi="Times New Roman"/>
          <w:sz w:val="18"/>
          <w:szCs w:val="18"/>
          <w:color w:val="auto"/>
        </w:rPr>
        <w:t>. On or after June 1, 2015, Executive shall have the right to purchase the 2011 BMW that the Company is currently providing to Executive as a Company car (the “2011 BMW”). Consultant shall have the right to purchase the 2011 BMW from the Company for the net book value of the 2011 BMW at the time of purchase.</w:t>
      </w:r>
    </w:p>
    <w:p>
      <w:pPr>
        <w:spacing w:after="0" w:line="176" w:lineRule="exact"/>
        <w:rPr>
          <w:rFonts w:ascii="Times New Roman" w:cs="Times New Roman" w:eastAsia="Times New Roman" w:hAnsi="Times New Roman"/>
          <w:sz w:val="18"/>
          <w:szCs w:val="18"/>
          <w:color w:val="auto"/>
        </w:rPr>
      </w:pPr>
    </w:p>
    <w:p>
      <w:pPr>
        <w:ind w:right="440" w:firstLine="332"/>
        <w:spacing w:after="0" w:line="282" w:lineRule="auto"/>
        <w:tabs>
          <w:tab w:leader="none" w:pos="62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During the Term of this Agreement, Executive shall be entitled to four (4) weeks’ paid vacation per calendar year, which shall not be transferable to any subsequent year.</w:t>
      </w:r>
    </w:p>
    <w:p>
      <w:pPr>
        <w:spacing w:after="0" w:line="157" w:lineRule="exact"/>
        <w:rPr>
          <w:rFonts w:ascii="Times New Roman" w:cs="Times New Roman" w:eastAsia="Times New Roman" w:hAnsi="Times New Roman"/>
          <w:sz w:val="18"/>
          <w:szCs w:val="18"/>
          <w:color w:val="auto"/>
        </w:rPr>
      </w:pPr>
    </w:p>
    <w:p>
      <w:pPr>
        <w:ind w:right="200" w:firstLine="8"/>
        <w:spacing w:after="0" w:line="268" w:lineRule="auto"/>
        <w:tabs>
          <w:tab w:leader="none" w:pos="3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rights and obligations hereunder, except the rights and obligations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(Confidential Information),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(Non-Competition),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(Intellectual Property) and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(Remedies), which shall survive any termination hereunder, shall terminate upon the earliest to occur of any of the following: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3" w:name="page44"/>
    <w:bookmarkEnd w:id="43"/>
    <w:p>
      <w:pPr>
        <w:ind w:firstLine="332"/>
        <w:spacing w:after="0" w:line="256" w:lineRule="auto"/>
        <w:tabs>
          <w:tab w:leader="none" w:pos="6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Retirement</w:t>
      </w:r>
      <w:r>
        <w:rPr>
          <w:rFonts w:ascii="Times New Roman" w:cs="Times New Roman" w:eastAsia="Times New Roman" w:hAnsi="Times New Roman"/>
          <w:sz w:val="18"/>
          <w:szCs w:val="18"/>
          <w:color w:val="auto"/>
        </w:rPr>
        <w:t>. Upon the resignation by Executive following at least thirty (30) days written notice to the Company, Executive shall be entitled to receive a payment in the amount of the sum of (A) Executive’s then current salary through the last day of employment to the extent not theretofore paid, (B) any compensation previously deferred by Executive (together with any accrued interest or earnings thereon), and (C) any accrued vacation pay according to Company U.S. Vacation Policy, in each case to the extent not theretofore paid (the sum of the amounts described in clauses (A), (B) and (C) shall be hereinafter referred to as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in a lump sum, subject to statutory deductions and withholdings, in cash within ten (10) business days after the last day of employment or any earlier time required by applicable law.</w:t>
      </w:r>
    </w:p>
    <w:p>
      <w:pPr>
        <w:spacing w:after="0" w:line="18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260"/>
        <w:spacing w:after="0"/>
        <w:tabs>
          <w:tab w:leader="none" w:pos="8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Executive’s employment and all of Executive’s rights hereunder for Cause.</w:t>
      </w:r>
    </w:p>
    <w:p>
      <w:pPr>
        <w:spacing w:after="0" w:line="225" w:lineRule="exact"/>
        <w:rPr>
          <w:rFonts w:ascii="Times New Roman" w:cs="Times New Roman" w:eastAsia="Times New Roman" w:hAnsi="Times New Roman"/>
          <w:sz w:val="18"/>
          <w:szCs w:val="18"/>
          <w:color w:val="auto"/>
        </w:rPr>
      </w:pPr>
    </w:p>
    <w:p>
      <w:pPr>
        <w:ind w:right="340" w:firstLine="620"/>
        <w:spacing w:after="0" w:line="266" w:lineRule="auto"/>
        <w:tabs>
          <w:tab w:leader="none" w:pos="92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76" w:lineRule="exact"/>
        <w:rPr>
          <w:rFonts w:ascii="Times New Roman" w:cs="Times New Roman" w:eastAsia="Times New Roman" w:hAnsi="Times New Roman"/>
          <w:sz w:val="18"/>
          <w:szCs w:val="18"/>
          <w:color w:val="auto"/>
        </w:rPr>
      </w:pPr>
    </w:p>
    <w:p>
      <w:pPr>
        <w:ind w:left="980" w:hanging="360"/>
        <w:spacing w:after="0"/>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term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be defined as any of the following:</w:t>
      </w:r>
    </w:p>
    <w:p>
      <w:pPr>
        <w:spacing w:after="0" w:line="225"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of any obligations under this Agreement (other than by reason of physical or mental illness, injury,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w:t>
      </w:r>
    </w:p>
    <w:p>
      <w:pPr>
        <w:spacing w:after="0" w:line="206" w:lineRule="exact"/>
        <w:rPr>
          <w:rFonts w:ascii="Times New Roman" w:cs="Times New Roman" w:eastAsia="Times New Roman" w:hAnsi="Times New Roman"/>
          <w:sz w:val="18"/>
          <w:szCs w:val="18"/>
          <w:color w:val="auto"/>
        </w:rPr>
      </w:pPr>
    </w:p>
    <w:p>
      <w:pPr>
        <w:ind w:right="100" w:firstLine="818"/>
        <w:spacing w:after="0" w:line="282" w:lineRule="auto"/>
        <w:tabs>
          <w:tab w:leader="none" w:pos="111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61"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commission of an act of fraud upon the Company;</w:t>
      </w:r>
    </w:p>
    <w:p>
      <w:pPr>
        <w:spacing w:after="0" w:line="225"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engaging in willful or reckless misconduct or gross negligence in connection with any property or activity of the Company or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w:t>
      </w:r>
    </w:p>
    <w:p>
      <w:pPr>
        <w:spacing w:after="0" w:line="206"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repeated and intemperate use of alcohol or illegal drugs after written notice from the Board or Directors;</w:t>
      </w:r>
    </w:p>
    <w:p>
      <w:pPr>
        <w:spacing w:after="0" w:line="225" w:lineRule="exact"/>
        <w:rPr>
          <w:rFonts w:ascii="Times New Roman" w:cs="Times New Roman" w:eastAsia="Times New Roman" w:hAnsi="Times New Roman"/>
          <w:sz w:val="18"/>
          <w:szCs w:val="18"/>
          <w:color w:val="auto"/>
        </w:rPr>
      </w:pPr>
    </w:p>
    <w:p>
      <w:pPr>
        <w:ind w:right="380" w:firstLine="818"/>
        <w:spacing w:after="0" w:line="282" w:lineRule="auto"/>
        <w:tabs>
          <w:tab w:leader="none" w:pos="111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4" w:name="page45"/>
    <w:bookmarkEnd w:id="44"/>
    <w:p>
      <w:pPr>
        <w:ind w:left="1080" w:hanging="302"/>
        <w:spacing w:after="0"/>
        <w:tabs>
          <w:tab w:leader="none" w:pos="10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becoming insolvent or filing for bankruptcy;</w:t>
      </w:r>
    </w:p>
    <w:p>
      <w:pPr>
        <w:spacing w:after="0" w:line="225" w:lineRule="exact"/>
        <w:rPr>
          <w:rFonts w:ascii="Times New Roman" w:cs="Times New Roman" w:eastAsia="Times New Roman" w:hAnsi="Times New Roman"/>
          <w:sz w:val="18"/>
          <w:szCs w:val="18"/>
          <w:color w:val="auto"/>
        </w:rPr>
      </w:pPr>
    </w:p>
    <w:p>
      <w:pPr>
        <w:ind w:left="1080" w:hanging="302"/>
        <w:spacing w:after="0"/>
        <w:tabs>
          <w:tab w:leader="none" w:pos="10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becoming barred or prohibited by the SEC from holding such position with the Company; or</w:t>
      </w:r>
    </w:p>
    <w:p>
      <w:pPr>
        <w:spacing w:after="0" w:line="225" w:lineRule="exact"/>
        <w:rPr>
          <w:rFonts w:ascii="Times New Roman" w:cs="Times New Roman" w:eastAsia="Times New Roman" w:hAnsi="Times New Roman"/>
          <w:sz w:val="18"/>
          <w:szCs w:val="18"/>
          <w:color w:val="auto"/>
        </w:rPr>
      </w:pPr>
    </w:p>
    <w:p>
      <w:pPr>
        <w:ind w:left="-40" w:right="440" w:firstLine="818"/>
        <w:spacing w:after="0" w:line="282" w:lineRule="auto"/>
        <w:tabs>
          <w:tab w:leader="none" w:pos="107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violation of any duty of loyalty (i.e., engaging in self-interested transactions, misappropriation of business opportunities that belong to the Company, or a breach of Executive’s fiduciary duties to the Company).</w:t>
      </w:r>
    </w:p>
    <w:p>
      <w:pPr>
        <w:spacing w:after="0" w:line="161" w:lineRule="exact"/>
        <w:rPr>
          <w:rFonts w:ascii="Times New Roman" w:cs="Times New Roman" w:eastAsia="Times New Roman" w:hAnsi="Times New Roman"/>
          <w:sz w:val="18"/>
          <w:szCs w:val="18"/>
          <w:color w:val="auto"/>
        </w:rPr>
      </w:pPr>
    </w:p>
    <w:p>
      <w:pPr>
        <w:ind w:left="580" w:hanging="288"/>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Without Cause;</w:t>
      </w:r>
    </w:p>
    <w:p>
      <w:pPr>
        <w:spacing w:after="0" w:line="225" w:lineRule="exact"/>
        <w:rPr>
          <w:rFonts w:ascii="Times New Roman" w:cs="Times New Roman" w:eastAsia="Times New Roman" w:hAnsi="Times New Roman"/>
          <w:sz w:val="18"/>
          <w:szCs w:val="18"/>
          <w:color w:val="auto"/>
        </w:rPr>
      </w:pPr>
    </w:p>
    <w:p>
      <w:pPr>
        <w:ind w:left="-40" w:right="460" w:firstLine="620"/>
        <w:spacing w:after="0" w:line="282" w:lineRule="auto"/>
        <w:tabs>
          <w:tab w:leader="none" w:pos="7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separates (defined as untimely death) from the Company prior to expiration of the term of this Agreement other than for Cause, Executive or his living trust shall be entitled to receive the following</w:t>
      </w:r>
    </w:p>
    <w:p>
      <w:pPr>
        <w:spacing w:after="0" w:line="161" w:lineRule="exact"/>
        <w:rPr>
          <w:rFonts w:ascii="Times New Roman" w:cs="Times New Roman" w:eastAsia="Times New Roman" w:hAnsi="Times New Roman"/>
          <w:sz w:val="18"/>
          <w:szCs w:val="18"/>
          <w:color w:val="auto"/>
        </w:rPr>
      </w:pPr>
    </w:p>
    <w:p>
      <w:pPr>
        <w:ind w:left="-40" w:right="60" w:firstLine="818"/>
        <w:spacing w:after="0" w:line="282" w:lineRule="auto"/>
        <w:tabs>
          <w:tab w:leader="none" w:pos="107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61" w:lineRule="exact"/>
        <w:rPr>
          <w:rFonts w:ascii="Times New Roman" w:cs="Times New Roman" w:eastAsia="Times New Roman" w:hAnsi="Times New Roman"/>
          <w:sz w:val="18"/>
          <w:szCs w:val="18"/>
          <w:color w:val="auto"/>
        </w:rPr>
      </w:pPr>
    </w:p>
    <w:p>
      <w:pPr>
        <w:ind w:left="-40" w:right="80" w:firstLine="818"/>
        <w:spacing w:after="0" w:line="266" w:lineRule="auto"/>
        <w:tabs>
          <w:tab w:leader="none" w:pos="107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of $410,000 annually for the then remaining term of this Agreement. The payment shall be paid by the Company to Executive, in accordance with the Company’s customary payroll practices generally applicable to similarly situated employees as may be in effect from time and shall be subject to statutory deductions and withholdings.</w:t>
      </w:r>
    </w:p>
    <w:p>
      <w:pPr>
        <w:spacing w:after="0" w:line="176" w:lineRule="exact"/>
        <w:rPr>
          <w:rFonts w:ascii="Times New Roman" w:cs="Times New Roman" w:eastAsia="Times New Roman" w:hAnsi="Times New Roman"/>
          <w:sz w:val="18"/>
          <w:szCs w:val="18"/>
          <w:color w:val="auto"/>
        </w:rPr>
      </w:pPr>
    </w:p>
    <w:p>
      <w:pPr>
        <w:ind w:left="600" w:hanging="308"/>
        <w:spacing w:after="0"/>
        <w:tabs>
          <w:tab w:leader="none" w:pos="6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hanging="260"/>
        <w:spacing w:after="0"/>
        <w:tabs>
          <w:tab w:leader="none" w:pos="8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Agreement, a “change of control” means, and shall be deemed to have taken place, if;</w:t>
      </w:r>
    </w:p>
    <w:p>
      <w:pPr>
        <w:spacing w:after="0" w:line="225" w:lineRule="exact"/>
        <w:rPr>
          <w:rFonts w:ascii="Times New Roman" w:cs="Times New Roman" w:eastAsia="Times New Roman" w:hAnsi="Times New Roman"/>
          <w:sz w:val="18"/>
          <w:szCs w:val="18"/>
          <w:color w:val="auto"/>
        </w:rPr>
      </w:pPr>
    </w:p>
    <w:p>
      <w:pPr>
        <w:jc w:val="both"/>
        <w:ind w:left="-40" w:right="80" w:firstLine="818"/>
        <w:spacing w:after="0" w:line="261" w:lineRule="auto"/>
        <w:tabs>
          <w:tab w:leader="none" w:pos="107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180" w:lineRule="exact"/>
        <w:rPr>
          <w:rFonts w:ascii="Times New Roman" w:cs="Times New Roman" w:eastAsia="Times New Roman" w:hAnsi="Times New Roman"/>
          <w:sz w:val="18"/>
          <w:szCs w:val="18"/>
          <w:color w:val="auto"/>
        </w:rPr>
      </w:pPr>
    </w:p>
    <w:p>
      <w:pPr>
        <w:ind w:left="-40" w:firstLine="818"/>
        <w:spacing w:after="0" w:line="261" w:lineRule="auto"/>
        <w:tabs>
          <w:tab w:leader="none" w:pos="107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121" w:right="259" w:bottom="1440" w:gutter="0" w:footer="0" w:header="0"/>
        </w:sectPr>
      </w:pPr>
    </w:p>
    <w:bookmarkStart w:id="45" w:name="page46"/>
    <w:bookmarkEnd w:id="45"/>
    <w:p>
      <w:pPr>
        <w:ind w:right="40" w:firstLine="818"/>
        <w:spacing w:after="0" w:line="266" w:lineRule="auto"/>
        <w:tabs>
          <w:tab w:leader="none" w:pos="111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 reorganization, merger, consolidation or other corporate transaction involving the Company (a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176" w:lineRule="exact"/>
        <w:rPr>
          <w:rFonts w:ascii="Times New Roman" w:cs="Times New Roman" w:eastAsia="Times New Roman" w:hAnsi="Times New Roman"/>
          <w:sz w:val="18"/>
          <w:szCs w:val="18"/>
          <w:color w:val="auto"/>
        </w:rPr>
      </w:pPr>
    </w:p>
    <w:p>
      <w:pPr>
        <w:ind w:left="1120" w:hanging="302"/>
        <w:spacing w:after="0"/>
        <w:tabs>
          <w:tab w:leader="none" w:pos="11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control” of the Company within the meaning of Section 280G of the U.S. Federal internal revenue code of 1986.</w:t>
      </w:r>
    </w:p>
    <w:p>
      <w:pPr>
        <w:spacing w:after="0" w:line="225" w:lineRule="exact"/>
        <w:rPr>
          <w:rFonts w:ascii="Times New Roman" w:cs="Times New Roman" w:eastAsia="Times New Roman" w:hAnsi="Times New Roman"/>
          <w:sz w:val="18"/>
          <w:szCs w:val="18"/>
          <w:color w:val="auto"/>
        </w:rPr>
      </w:pPr>
    </w:p>
    <w:p>
      <w:pPr>
        <w:ind w:right="160" w:firstLine="620"/>
        <w:spacing w:after="0" w:line="261" w:lineRule="auto"/>
        <w:tabs>
          <w:tab w:leader="none" w:pos="9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the term of this Agreement there is a “change in control” of the Company (or any successor) and the Executive is terminated by the Company for any reason (other than for Cause as defined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thereof), including an election by the Company or its successor, Executive shall be entitled to receive a payment of $410,000 annually for the then remaining term of this Agreement. In no event shall Executive be entitled to receive both the payment described in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hereof and the “change of control” payment described in this </w:t>
      </w:r>
      <w:r>
        <w:rPr>
          <w:rFonts w:ascii="Times New Roman" w:cs="Times New Roman" w:eastAsia="Times New Roman" w:hAnsi="Times New Roman"/>
          <w:sz w:val="18"/>
          <w:szCs w:val="18"/>
          <w:u w:val="single" w:color="auto"/>
          <w:color w:val="auto"/>
        </w:rPr>
        <w:t>Section 5(d)</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right="300" w:firstLine="620"/>
        <w:spacing w:after="0" w:line="282" w:lineRule="auto"/>
        <w:tabs>
          <w:tab w:leader="none" w:pos="96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payments to be made to Executive in connection with this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shall be made in a lump sum, subject to statutory deductions and withholdings, in cash within ten (10) business days after the date of termination or any earlier time required by applicable law.</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Stock Options Upon Change of Control or a 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60" w:firstLine="620"/>
        <w:spacing w:after="0" w:line="282" w:lineRule="auto"/>
        <w:tabs>
          <w:tab w:leader="none" w:pos="87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161" w:lineRule="exact"/>
        <w:rPr>
          <w:rFonts w:ascii="Times New Roman" w:cs="Times New Roman" w:eastAsia="Times New Roman" w:hAnsi="Times New Roman"/>
          <w:sz w:val="18"/>
          <w:szCs w:val="18"/>
          <w:color w:val="auto"/>
        </w:rPr>
      </w:pPr>
    </w:p>
    <w:p>
      <w:pPr>
        <w:ind w:firstLine="620"/>
        <w:spacing w:after="0" w:line="282" w:lineRule="auto"/>
        <w:tabs>
          <w:tab w:leader="none" w:pos="92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pursuant to clause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or if Executive resigns his employment, all unvested stock options granted to Executive pursuant to the Company’s stock plans shall terminate immediately.</w:t>
      </w:r>
    </w:p>
    <w:p>
      <w:pPr>
        <w:spacing w:after="0" w:line="162" w:lineRule="exact"/>
        <w:rPr>
          <w:sz w:val="20"/>
          <w:szCs w:val="20"/>
          <w:color w:val="auto"/>
        </w:rPr>
      </w:pPr>
    </w:p>
    <w:p>
      <w:pPr>
        <w:ind w:right="160" w:firstLine="810"/>
        <w:spacing w:after="0" w:line="261" w:lineRule="auto"/>
        <w:rPr>
          <w:sz w:val="20"/>
          <w:szCs w:val="20"/>
          <w:color w:val="auto"/>
        </w:rPr>
      </w:pPr>
      <w:r>
        <w:rPr>
          <w:rFonts w:ascii="Times New Roman" w:cs="Times New Roman" w:eastAsia="Times New Roman" w:hAnsi="Times New Roman"/>
          <w:sz w:val="18"/>
          <w:szCs w:val="18"/>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80"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 xml:space="preserve">Except as expressly modified by this clause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all stock options and similar rights granted under the Company’s stock plans shall remain subject to all of the terms and conditions of the applicable stock plans and agreements evidencing the grants thereof.</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6" w:name="page47"/>
    <w:bookmarkEnd w:id="46"/>
    <w:p>
      <w:pPr>
        <w:ind w:left="-8" w:right="120" w:firstLine="332"/>
        <w:spacing w:after="0" w:line="261" w:lineRule="auto"/>
        <w:tabs>
          <w:tab w:leader="none" w:pos="58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176" w:lineRule="exact"/>
        <w:rPr>
          <w:rFonts w:ascii="Times New Roman" w:cs="Times New Roman" w:eastAsia="Times New Roman" w:hAnsi="Times New Roman"/>
          <w:sz w:val="18"/>
          <w:szCs w:val="18"/>
          <w:color w:val="auto"/>
        </w:rPr>
      </w:pPr>
    </w:p>
    <w:p>
      <w:pPr>
        <w:jc w:val="both"/>
        <w:ind w:left="-8" w:firstLine="8"/>
        <w:spacing w:after="0" w:line="262" w:lineRule="auto"/>
        <w:tabs>
          <w:tab w:leader="none" w:pos="3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of this Agreement, to the extent that such expenditures satisfy the criteria under the Internal Revenue Code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76"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140" w:firstLine="332"/>
        <w:spacing w:after="0" w:line="254" w:lineRule="auto"/>
        <w:tabs>
          <w:tab w:leader="none" w:pos="60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Times New Roman" w:cs="Times New Roman" w:eastAsia="Times New Roman" w:hAnsi="Times New Roman"/>
          <w:sz w:val="18"/>
          <w:szCs w:val="18"/>
          <w:u w:val="single" w:color="auto"/>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8" w:right="60" w:firstLine="332"/>
        <w:spacing w:after="0" w:line="258" w:lineRule="auto"/>
        <w:tabs>
          <w:tab w:leader="none" w:pos="61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 (iii) 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79" w:lineRule="exact"/>
        <w:rPr>
          <w:rFonts w:ascii="Times New Roman" w:cs="Times New Roman" w:eastAsia="Times New Roman" w:hAnsi="Times New Roman"/>
          <w:sz w:val="18"/>
          <w:szCs w:val="18"/>
          <w:color w:val="auto"/>
        </w:rPr>
      </w:pPr>
    </w:p>
    <w:p>
      <w:pPr>
        <w:ind w:left="-8" w:right="20" w:firstLine="8"/>
        <w:spacing w:after="0" w:line="286" w:lineRule="auto"/>
        <w:tabs>
          <w:tab w:leader="none" w:pos="35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covenants and agrees that commencing on the date hereof and continuing for the entire Term of Executive’s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period of twelve (12) months thereafter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shall not:</w:t>
      </w:r>
    </w:p>
    <w:p>
      <w:pPr>
        <w:spacing w:after="0" w:line="330"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12"/>
          </w:cols>
          <w:pgMar w:left="248" w:top="121" w:right="339" w:bottom="1440" w:gutter="0" w:footer="0" w:header="0"/>
        </w:sectPr>
      </w:pPr>
    </w:p>
    <w:bookmarkStart w:id="47" w:name="page48"/>
    <w:bookmarkEnd w:id="47"/>
    <w:p>
      <w:pPr>
        <w:jc w:val="both"/>
        <w:ind w:left="-8" w:firstLine="332"/>
        <w:spacing w:after="0" w:line="261" w:lineRule="auto"/>
        <w:tabs>
          <w:tab w:leader="none" w:pos="6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180" w:lineRule="exact"/>
        <w:rPr>
          <w:rFonts w:ascii="Times New Roman" w:cs="Times New Roman" w:eastAsia="Times New Roman" w:hAnsi="Times New Roman"/>
          <w:sz w:val="18"/>
          <w:szCs w:val="18"/>
          <w:color w:val="auto"/>
        </w:rPr>
      </w:pPr>
    </w:p>
    <w:p>
      <w:pPr>
        <w:ind w:left="-8" w:right="20" w:firstLine="332"/>
        <w:spacing w:after="0" w:line="258" w:lineRule="auto"/>
        <w:tabs>
          <w:tab w:leader="none" w:pos="6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any entity or person who is or has been a client or customer of the Company during the time which Executive was employed with the Company, and the term “</w:t>
      </w:r>
      <w:r>
        <w:rPr>
          <w:rFonts w:ascii="Times New Roman" w:cs="Times New Roman" w:eastAsia="Times New Roman" w:hAnsi="Times New Roman"/>
          <w:sz w:val="18"/>
          <w:szCs w:val="18"/>
          <w:u w:val="single" w:color="auto"/>
          <w:color w:val="auto"/>
        </w:rPr>
        <w:t>prospective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83" w:lineRule="exact"/>
        <w:rPr>
          <w:rFonts w:ascii="Times New Roman" w:cs="Times New Roman" w:eastAsia="Times New Roman" w:hAnsi="Times New Roman"/>
          <w:sz w:val="18"/>
          <w:szCs w:val="18"/>
          <w:color w:val="auto"/>
        </w:rPr>
      </w:pPr>
    </w:p>
    <w:p>
      <w:pPr>
        <w:ind w:left="-8" w:firstLine="332"/>
        <w:spacing w:after="0" w:line="266" w:lineRule="auto"/>
        <w:tabs>
          <w:tab w:leader="none" w:pos="6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176" w:lineRule="exact"/>
        <w:rPr>
          <w:rFonts w:ascii="Times New Roman" w:cs="Times New Roman" w:eastAsia="Times New Roman" w:hAnsi="Times New Roman"/>
          <w:sz w:val="18"/>
          <w:szCs w:val="18"/>
          <w:color w:val="auto"/>
        </w:rPr>
      </w:pPr>
    </w:p>
    <w:p>
      <w:pPr>
        <w:ind w:left="-8" w:firstLine="332"/>
        <w:spacing w:after="0" w:line="282" w:lineRule="auto"/>
        <w:tabs>
          <w:tab w:leader="none" w:pos="6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that in the event of his employment with the Company terminates for any reason, Executive will be able to earn a livelihood without violating the foregoing restrictions.</w:t>
      </w:r>
    </w:p>
    <w:p>
      <w:pPr>
        <w:spacing w:after="0" w:line="161" w:lineRule="exact"/>
        <w:rPr>
          <w:rFonts w:ascii="Times New Roman" w:cs="Times New Roman" w:eastAsia="Times New Roman" w:hAnsi="Times New Roman"/>
          <w:sz w:val="18"/>
          <w:szCs w:val="18"/>
          <w:color w:val="auto"/>
        </w:rPr>
      </w:pPr>
    </w:p>
    <w:p>
      <w:pPr>
        <w:ind w:left="-8" w:firstLine="332"/>
        <w:spacing w:after="0" w:line="258" w:lineRule="auto"/>
        <w:tabs>
          <w:tab w:leader="none" w:pos="60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provision or clause, or portion thereof, within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7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80" w:firstLine="332"/>
        <w:spacing w:after="0" w:line="255" w:lineRule="auto"/>
        <w:tabs>
          <w:tab w:leader="none" w:pos="60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36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1" w:right="279" w:bottom="1440" w:gutter="0" w:footer="0" w:header="0"/>
        </w:sectPr>
      </w:pPr>
    </w:p>
    <w:bookmarkStart w:id="48" w:name="page49"/>
    <w:bookmarkEnd w:id="48"/>
    <w:p>
      <w:pPr>
        <w:ind w:left="-8" w:firstLine="332"/>
        <w:spacing w:after="0" w:line="253" w:lineRule="auto"/>
        <w:tabs>
          <w:tab w:leader="none" w:pos="61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184" w:lineRule="exact"/>
        <w:rPr>
          <w:rFonts w:ascii="Times New Roman" w:cs="Times New Roman" w:eastAsia="Times New Roman" w:hAnsi="Times New Roman"/>
          <w:sz w:val="18"/>
          <w:szCs w:val="18"/>
          <w:color w:val="auto"/>
        </w:rPr>
      </w:pPr>
    </w:p>
    <w:p>
      <w:pPr>
        <w:ind w:left="-8" w:right="20" w:firstLine="8"/>
        <w:spacing w:after="0" w:line="257" w:lineRule="auto"/>
        <w:tabs>
          <w:tab w:leader="none" w:pos="30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that the services to be rendered by Executive pursuant to this Agreement, and the rights and privileges granted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not be construed as a waiver of any other rights or remedies which the Company may have for damages or otherwise.</w:t>
      </w:r>
    </w:p>
    <w:p>
      <w:pPr>
        <w:spacing w:after="0" w:line="182" w:lineRule="exact"/>
        <w:rPr>
          <w:rFonts w:ascii="Times New Roman" w:cs="Times New Roman" w:eastAsia="Times New Roman" w:hAnsi="Times New Roman"/>
          <w:sz w:val="18"/>
          <w:szCs w:val="18"/>
          <w:b w:val="1"/>
          <w:bCs w:val="1"/>
          <w:color w:val="auto"/>
        </w:rPr>
      </w:pPr>
    </w:p>
    <w:p>
      <w:pPr>
        <w:ind w:left="-8" w:right="420" w:firstLine="8"/>
        <w:spacing w:after="0" w:line="286" w:lineRule="auto"/>
        <w:tabs>
          <w:tab w:leader="none" w:pos="29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Return of Property</w:t>
      </w:r>
      <w:r>
        <w:rPr>
          <w:rFonts w:ascii="Times New Roman" w:cs="Times New Roman" w:eastAsia="Times New Roman" w:hAnsi="Times New Roman"/>
          <w:sz w:val="18"/>
          <w:szCs w:val="18"/>
          <w:color w:val="auto"/>
        </w:rPr>
        <w:t>. Executive agrees to return, on or before his last day of employment, all property belonging to the Company,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computers, PDA, telephone and other credit cards, Company business records, Company automobile (if applicable), etc.</w:t>
      </w:r>
    </w:p>
    <w:p>
      <w:pPr>
        <w:spacing w:after="0" w:line="33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72"/>
          </w:cols>
          <w:pgMar w:left="248" w:top="121" w:right="279" w:bottom="1440" w:gutter="0" w:footer="0" w:header="0"/>
        </w:sectPr>
      </w:pPr>
    </w:p>
    <w:bookmarkStart w:id="49" w:name="page50"/>
    <w:bookmarkEnd w:id="49"/>
    <w:p>
      <w:pPr>
        <w:ind w:firstLine="8"/>
        <w:spacing w:after="0" w:line="268" w:lineRule="auto"/>
        <w:tabs>
          <w:tab w:leader="none" w:pos="31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is held to be unenforceable for any reason, it shall be adjusted rather than voided, if possible, to achieve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intent of the parties to the extent possible. In any event, all other provisions of this Agreement shall be deemed valid and enforceable to the extent possible.</w:t>
      </w:r>
    </w:p>
    <w:p>
      <w:pPr>
        <w:spacing w:after="0" w:line="170" w:lineRule="exact"/>
        <w:rPr>
          <w:rFonts w:ascii="Times New Roman" w:cs="Times New Roman" w:eastAsia="Times New Roman" w:hAnsi="Times New Roman"/>
          <w:sz w:val="18"/>
          <w:szCs w:val="18"/>
          <w:b w:val="1"/>
          <w:bCs w:val="1"/>
          <w:color w:val="auto"/>
        </w:rPr>
      </w:pPr>
    </w:p>
    <w:p>
      <w:pPr>
        <w:ind w:right="40" w:firstLine="8"/>
        <w:spacing w:after="0" w:line="257" w:lineRule="auto"/>
        <w:tabs>
          <w:tab w:leader="none" w:pos="31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Succession</w:t>
      </w:r>
      <w:r>
        <w:rPr>
          <w:rFonts w:ascii="Times New Roman" w:cs="Times New Roman" w:eastAsia="Times New Roman" w:hAnsi="Times New Roman"/>
          <w:sz w:val="18"/>
          <w:szCs w:val="18"/>
          <w:color w:val="auto"/>
        </w:rPr>
        <w:t>. This Agreement shall inure to the benefit of and be binding upon the Company and its successors and assigns and any such successor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182"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Any notice or other communication provided for in this Agreement shall be in writing and sent if to the Company to its principal office 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Secor Road, PO Box 5226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Connecticut 06804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Vice President, General Counsel of Photronics, Inc.</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180" w:lineRule="exact"/>
        <w:rPr>
          <w:sz w:val="20"/>
          <w:szCs w:val="20"/>
          <w:color w:val="auto"/>
        </w:rPr>
      </w:pPr>
    </w:p>
    <w:p>
      <w:pPr>
        <w:ind w:right="240" w:firstLine="8"/>
        <w:spacing w:after="0" w:line="262" w:lineRule="auto"/>
        <w:tabs>
          <w:tab w:leader="none" w:pos="31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Adequate Consideration</w:t>
      </w:r>
      <w:r>
        <w:rPr>
          <w:rFonts w:ascii="Times New Roman" w:cs="Times New Roman" w:eastAsia="Times New Roman" w:hAnsi="Times New Roman"/>
          <w:sz w:val="18"/>
          <w:szCs w:val="18"/>
          <w:color w:val="auto"/>
        </w:rPr>
        <w:t>. Executive acknowledges that the cash severance and other benefits to be provided by the Company to Executive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under any current plan or policies of the Company. Accordingly, Executive further acknowledges that the payments and benefits under this Agreement provide adequate consideration for Executive’s obligations to the Company contained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(Confidential Information),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(Non-Competition),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(Remedies).</w:t>
      </w:r>
    </w:p>
    <w:p>
      <w:pPr>
        <w:spacing w:after="0" w:line="176" w:lineRule="exact"/>
        <w:rPr>
          <w:rFonts w:ascii="Times New Roman" w:cs="Times New Roman" w:eastAsia="Times New Roman" w:hAnsi="Times New Roman"/>
          <w:sz w:val="18"/>
          <w:szCs w:val="18"/>
          <w:b w:val="1"/>
          <w:bCs w:val="1"/>
          <w:color w:val="auto"/>
        </w:rPr>
      </w:pPr>
    </w:p>
    <w:p>
      <w:pPr>
        <w:ind w:right="800" w:firstLine="8"/>
        <w:spacing w:after="0" w:line="286" w:lineRule="auto"/>
        <w:tabs>
          <w:tab w:leader="none" w:pos="31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relating to the subject matter hereof and supersedes any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undertakings, commitments and practices relating to Executive’s employment by the Company.</w:t>
      </w: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50" w:name="page51"/>
    <w:bookmarkEnd w:id="50"/>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color w:val="auto"/>
        </w:rPr>
        <w:t>. No amendment or modification of the terms of this Agreement shall be valid unless made in writing, duly executed by both parties.</w:t>
      </w:r>
    </w:p>
    <w:p>
      <w:pPr>
        <w:spacing w:after="0" w:line="225" w:lineRule="exact"/>
        <w:rPr>
          <w:rFonts w:ascii="Times New Roman" w:cs="Times New Roman" w:eastAsia="Times New Roman" w:hAnsi="Times New Roman"/>
          <w:sz w:val="18"/>
          <w:szCs w:val="18"/>
          <w:b w:val="1"/>
          <w:bCs w:val="1"/>
          <w:color w:val="auto"/>
        </w:rPr>
      </w:pPr>
    </w:p>
    <w:p>
      <w:pPr>
        <w:ind w:right="80" w:firstLine="8"/>
        <w:spacing w:after="0" w:line="286" w:lineRule="auto"/>
        <w:tabs>
          <w:tab w:leader="none" w:pos="31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color w:val="auto"/>
        </w:rPr>
        <w:t>. No failure on the part of any party to exercise or delay in exercising any right hereunder shall be deemed a waiver thereof or of any other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shall any single or partial exercise preclude any further or other exercise of such right or any other right.</w:t>
      </w:r>
    </w:p>
    <w:p>
      <w:pPr>
        <w:spacing w:after="0" w:line="154"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legal relations between the parties, shall be governed by and construed in accordance with the laws of the</w:t>
      </w:r>
    </w:p>
    <w:p>
      <w:pPr>
        <w:spacing w:after="0" w:line="31" w:lineRule="exact"/>
        <w:rPr>
          <w:rFonts w:ascii="Times New Roman" w:cs="Times New Roman" w:eastAsia="Times New Roman" w:hAnsi="Times New Roman"/>
          <w:sz w:val="18"/>
          <w:szCs w:val="18"/>
          <w:b w:val="1"/>
          <w:bCs w:val="1"/>
          <w:color w:val="auto"/>
        </w:rPr>
      </w:pPr>
    </w:p>
    <w:p>
      <w:pPr>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 of Connecticut without regard to conflicts of law doctrines and any court action arising out of this Agreement shall be brought in any court of competent jurisdiction within the State of Connecticut.</w:t>
      </w:r>
    </w:p>
    <w:p>
      <w:pPr>
        <w:spacing w:after="0" w:line="175" w:lineRule="exact"/>
        <w:rPr>
          <w:rFonts w:ascii="Times New Roman" w:cs="Times New Roman" w:eastAsia="Times New Roman" w:hAnsi="Times New Roman"/>
          <w:sz w:val="18"/>
          <w:szCs w:val="18"/>
          <w:b w:val="1"/>
          <w:bCs w:val="1"/>
          <w:color w:val="auto"/>
        </w:rPr>
      </w:pPr>
    </w:p>
    <w:p>
      <w:pPr>
        <w:ind w:right="500" w:firstLine="8"/>
        <w:spacing w:after="0" w:line="286" w:lineRule="auto"/>
        <w:tabs>
          <w:tab w:leader="none" w:pos="31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All compensation payable hereunder, including salary and other benefits, shall be subject to applicable taxes, withholding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normal or elected employee deductions.</w:t>
      </w:r>
    </w:p>
    <w:p>
      <w:pPr>
        <w:spacing w:after="0" w:line="154" w:lineRule="exact"/>
        <w:rPr>
          <w:rFonts w:ascii="Times New Roman" w:cs="Times New Roman" w:eastAsia="Times New Roman" w:hAnsi="Times New Roman"/>
          <w:sz w:val="18"/>
          <w:szCs w:val="18"/>
          <w:b w:val="1"/>
          <w:bCs w:val="1"/>
          <w:color w:val="auto"/>
        </w:rPr>
      </w:pPr>
    </w:p>
    <w:p>
      <w:pPr>
        <w:ind w:right="160" w:firstLine="8"/>
        <w:spacing w:after="0" w:line="286" w:lineRule="auto"/>
        <w:tabs>
          <w:tab w:leader="none" w:pos="31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and any amendment hereto may be executed in one or more counterparts. All of such counterparts shall constitute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same agreement and shall become effective when a copy signed by each party has been delivered to the other party.</w:t>
      </w:r>
    </w:p>
    <w:p>
      <w:pPr>
        <w:spacing w:after="0" w:line="154" w:lineRule="exact"/>
        <w:rPr>
          <w:rFonts w:ascii="Times New Roman" w:cs="Times New Roman" w:eastAsia="Times New Roman" w:hAnsi="Times New Roman"/>
          <w:sz w:val="18"/>
          <w:szCs w:val="18"/>
          <w:b w:val="1"/>
          <w:bCs w:val="1"/>
          <w:color w:val="auto"/>
        </w:rPr>
      </w:pPr>
    </w:p>
    <w:p>
      <w:pPr>
        <w:ind w:right="80" w:firstLine="8"/>
        <w:spacing w:after="0" w:line="286" w:lineRule="auto"/>
        <w:tabs>
          <w:tab w:leader="none" w:pos="31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and other headings contained in this Agreement are for convenience of reference only and shall not affect in any way the meaning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and year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PHOTRONICS,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0807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Constantine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5509 Pennock Point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Jupiter, FL 33458</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Kirlin, certify that:</w:t>
      </w:r>
    </w:p>
    <w:p>
      <w:pPr>
        <w:spacing w:after="0" w:line="225" w:lineRule="exact"/>
        <w:rPr>
          <w:sz w:val="20"/>
          <w:szCs w:val="20"/>
          <w:color w:val="auto"/>
        </w:rPr>
      </w:pPr>
    </w:p>
    <w:p>
      <w:pPr>
        <w:ind w:left="580" w:hanging="572"/>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80" w:right="360" w:hanging="572"/>
        <w:spacing w:after="0" w:line="266"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80" w:right="320" w:hanging="572"/>
        <w:spacing w:after="0" w:line="282"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340" w:hanging="572"/>
        <w:spacing w:after="0" w:line="266"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140" w:right="80" w:hanging="565"/>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40" w:right="360" w:hanging="565"/>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140" w:right="520" w:hanging="565"/>
        <w:spacing w:after="0" w:line="282"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40" w:right="120" w:hanging="565"/>
        <w:spacing w:after="0" w:line="266"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80" w:right="260" w:hanging="572"/>
        <w:spacing w:after="0" w:line="282" w:lineRule="auto"/>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520" w:hanging="565"/>
        <w:spacing w:after="0" w:line="282" w:lineRule="auto"/>
        <w:tabs>
          <w:tab w:leader="none" w:pos="11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780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44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500" w:right="40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140" w:right="80" w:hanging="646"/>
        <w:spacing w:after="0" w:line="266"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140" w:right="360" w:hanging="646"/>
        <w:spacing w:after="0" w:line="266"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520" w:hanging="646"/>
        <w:spacing w:after="0" w:line="282"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140" w:right="120" w:hanging="646"/>
        <w:spacing w:after="0" w:line="266"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646"/>
        <w:spacing w:after="0" w:line="282"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520" w:hanging="646"/>
        <w:spacing w:after="0" w:line="282" w:lineRule="auto"/>
        <w:tabs>
          <w:tab w:leader="none" w:pos="11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780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 Peter S. Kirlin, Chief Executive Officer of Photronics, Inc. (the "Company"), certify, to my knowledge, pursuant to Section 906 of the Sarbanes-Oxley Act of 2002, 18 U.S.C. Section 1350, that:</w:t>
      </w:r>
    </w:p>
    <w:p>
      <w:pPr>
        <w:spacing w:after="0" w:line="189" w:lineRule="exact"/>
        <w:rPr>
          <w:sz w:val="20"/>
          <w:szCs w:val="20"/>
          <w:color w:val="auto"/>
        </w:rPr>
      </w:pPr>
    </w:p>
    <w:p>
      <w:pPr>
        <w:ind w:left="1300" w:right="720" w:hanging="1292"/>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August 2, 2015,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1300" w:right="400" w:hanging="1292"/>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780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 Kirlin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06" w:right="2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 Sean T. Smith, Chief Financial Officer of Photronics, Inc. (the "Company"), certify, to my knowledge, pursuant to Section 906 of the Sarbanes-Oxley Act of 2002, 18 U.S.C. Section 1350, that:</w:t>
      </w:r>
    </w:p>
    <w:p>
      <w:pPr>
        <w:spacing w:after="0" w:line="189" w:lineRule="exact"/>
        <w:rPr>
          <w:sz w:val="20"/>
          <w:szCs w:val="20"/>
          <w:color w:val="auto"/>
        </w:rPr>
      </w:pPr>
    </w:p>
    <w:p>
      <w:pPr>
        <w:ind w:left="1300" w:right="720" w:hanging="1292"/>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August 2, 2015,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1300" w:right="400" w:hanging="1292"/>
        <w:spacing w:after="0" w:line="282" w:lineRule="auto"/>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780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T. Smith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decimal"/>
      <w:start w:val="1"/>
    </w:lvl>
    <w:lvl w:ilvl="1">
      <w:lvlJc w:val="left"/>
      <w:lvlText w:val="(%2)"/>
      <w:numFmt w:val="lowerLetter"/>
      <w:start w:val="1"/>
    </w:lvl>
  </w:abstractNum>
  <w:abstractNum w:abstractNumId="4">
    <w:nsid w:val="189A769B"/>
    <w:multiLevelType w:val="hybridMultilevel"/>
    <w:lvl w:ilvl="0">
      <w:lvlJc w:val="left"/>
      <w:lvlText w:val="%1."/>
      <w:numFmt w:val="decimal"/>
      <w:start w:val="4"/>
    </w:lvl>
    <w:lvl w:ilvl="1">
      <w:lvlJc w:val="left"/>
      <w:lvlText w:val="(%2)"/>
      <w:numFmt w:val="lowerLetter"/>
      <w:start w:val="1"/>
    </w:lvl>
  </w:abstractNum>
  <w:abstractNum w:abstractNumId="5">
    <w:nsid w:val="54E49EB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decimal"/>
      <w:start w:val="1"/>
    </w:lvl>
  </w:abstractNum>
  <w:abstractNum w:abstractNumId="6">
    <w:nsid w:val="71F324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7">
    <w:nsid w:val="2CA8861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lvl w:ilvl="3">
      <w:lvlJc w:val="left"/>
      <w:lvlText w:val="%4"/>
      <w:numFmt w:val="decimal"/>
      <w:start w:val="1"/>
    </w:lvl>
  </w:abstractNum>
  <w:abstractNum w:abstractNumId="8">
    <w:nsid w:val="836C40E"/>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9">
    <w:nsid w:val="2901D8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0">
    <w:nsid w:val="3A95F87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1">
    <w:nsid w:val="8138641"/>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12">
    <w:nsid w:val="1E7FF521"/>
    <w:multiLevelType w:val="hybridMultilevel"/>
    <w:lvl w:ilvl="0">
      <w:lvlJc w:val="left"/>
      <w:lvlText w:val="%1"/>
      <w:numFmt w:val="lowerRoman"/>
      <w:start w:val="1"/>
    </w:lvl>
    <w:lvl w:ilvl="1">
      <w:lvlJc w:val="left"/>
      <w:lvlText w:val="(%2)"/>
      <w:numFmt w:val="decimal"/>
      <w:start w:val="3"/>
    </w:lvl>
  </w:abstractNum>
  <w:abstractNum w:abstractNumId="13">
    <w:nsid w:val="7C3DBD3D"/>
    <w:multiLevelType w:val="hybridMultilevel"/>
    <w:lvl w:ilvl="0">
      <w:lvlJc w:val="left"/>
      <w:lvlText w:val="(%1)"/>
      <w:numFmt w:val="lowerRoman"/>
      <w:start w:val="3"/>
    </w:lvl>
    <w:lvl w:ilvl="1">
      <w:lvlJc w:val="left"/>
      <w:lvlText w:val="%2"/>
      <w:numFmt w:val="decimal"/>
      <w:start w:val="1"/>
    </w:lvl>
  </w:abstractNum>
  <w:abstractNum w:abstractNumId="14">
    <w:nsid w:val="737B8DDC"/>
    <w:multiLevelType w:val="hybridMultilevel"/>
    <w:lvl w:ilvl="0">
      <w:lvlJc w:val="left"/>
      <w:lvlText w:val="(%1)"/>
      <w:numFmt w:val="lowerLetter"/>
      <w:start w:val="7"/>
    </w:lvl>
    <w:lvl w:ilvl="1">
      <w:lvlJc w:val="left"/>
      <w:lvlText w:val="(%2)"/>
      <w:numFmt w:val="lowerRoman"/>
      <w:start w:val="1"/>
    </w:lvl>
  </w:abstractNum>
  <w:abstractNum w:abstractNumId="15">
    <w:nsid w:val="6CEAF087"/>
    <w:multiLevelType w:val="hybridMultilevel"/>
    <w:lvl w:ilvl="0">
      <w:lvlJc w:val="left"/>
      <w:lvlText w:val="%1"/>
      <w:numFmt w:val="decimal"/>
      <w:start w:val="1"/>
    </w:lvl>
    <w:lvl w:ilvl="1">
      <w:lvlJc w:val="left"/>
      <w:lvlText w:val="(%2)"/>
      <w:numFmt w:val="lowerLetter"/>
      <w:start w:val="8"/>
    </w:lvl>
  </w:abstractNum>
  <w:abstractNum w:abstractNumId="16">
    <w:nsid w:val="22221A70"/>
    <w:multiLevelType w:val="hybridMultilevel"/>
    <w:lvl w:ilvl="0">
      <w:lvlJc w:val="left"/>
      <w:lvlText w:val="%1."/>
      <w:numFmt w:val="decimal"/>
      <w:start w:val="6"/>
    </w:lvl>
    <w:lvl w:ilvl="1">
      <w:lvlJc w:val="left"/>
      <w:lvlText w:val="(%2)"/>
      <w:numFmt w:val="lowerLetter"/>
      <w:start w:val="1"/>
    </w:lvl>
  </w:abstractNum>
  <w:abstractNum w:abstractNumId="17">
    <w:nsid w:val="4516DDE9"/>
    <w:multiLevelType w:val="hybridMultilevel"/>
    <w:lvl w:ilvl="0">
      <w:lvlJc w:val="left"/>
      <w:lvlText w:val="%1"/>
      <w:numFmt w:val="decimal"/>
      <w:start w:val="1"/>
    </w:lvl>
    <w:lvl w:ilvl="1">
      <w:lvlJc w:val="left"/>
      <w:lvlText w:val="(%2)"/>
      <w:numFmt w:val="lowerLetter"/>
      <w:start w:val="2"/>
    </w:lvl>
  </w:abstractNum>
  <w:abstractNum w:abstractNumId="18">
    <w:nsid w:val="3006C83E"/>
    <w:multiLevelType w:val="hybridMultilevel"/>
    <w:lvl w:ilvl="0">
      <w:lvlJc w:val="left"/>
      <w:lvlText w:val="%1."/>
      <w:numFmt w:val="decimal"/>
      <w:start w:val="8"/>
    </w:lvl>
    <w:lvl w:ilvl="1">
      <w:lvlJc w:val="left"/>
      <w:lvlText w:val="(%2)"/>
      <w:numFmt w:val="lowerLetter"/>
      <w:start w:val="1"/>
    </w:lvl>
  </w:abstractNum>
  <w:abstractNum w:abstractNumId="19">
    <w:nsid w:val="614FD4A1"/>
    <w:multiLevelType w:val="hybridMultilevel"/>
    <w:lvl w:ilvl="0">
      <w:lvlJc w:val="left"/>
      <w:lvlText w:val="%1"/>
      <w:numFmt w:val="decimal"/>
      <w:start w:val="1"/>
    </w:lvl>
    <w:lvl w:ilvl="1">
      <w:lvlJc w:val="left"/>
      <w:lvlText w:val="(%2)"/>
      <w:numFmt w:val="lowerLetter"/>
      <w:start w:val="4"/>
    </w:lvl>
  </w:abstractNum>
  <w:abstractNum w:abstractNumId="20">
    <w:nsid w:val="419AC241"/>
    <w:multiLevelType w:val="hybridMultilevel"/>
    <w:lvl w:ilvl="0">
      <w:lvlJc w:val="left"/>
      <w:lvlText w:val="%1."/>
      <w:numFmt w:val="decimal"/>
      <w:start w:val="9"/>
    </w:lvl>
    <w:lvl w:ilvl="1">
      <w:lvlJc w:val="left"/>
      <w:lvlText w:val="(%2)"/>
      <w:numFmt w:val="lowerLetter"/>
      <w:start w:val="1"/>
    </w:lvl>
  </w:abstractNum>
  <w:abstractNum w:abstractNumId="21">
    <w:nsid w:val="5577F8E1"/>
    <w:multiLevelType w:val="hybridMultilevel"/>
    <w:lvl w:ilvl="0">
      <w:lvlJc w:val="left"/>
      <w:lvlText w:val="%1."/>
      <w:numFmt w:val="decimal"/>
      <w:start w:val="10"/>
    </w:lvl>
  </w:abstractNum>
  <w:abstractNum w:abstractNumId="22">
    <w:nsid w:val="440BADFC"/>
    <w:multiLevelType w:val="hybridMultilevel"/>
    <w:lvl w:ilvl="0">
      <w:lvlJc w:val="left"/>
      <w:lvlText w:val="%1."/>
      <w:numFmt w:val="decimal"/>
      <w:start w:val="14"/>
    </w:lvl>
  </w:abstractNum>
  <w:abstractNum w:abstractNumId="23">
    <w:nsid w:val="5072367"/>
    <w:multiLevelType w:val="hybridMultilevel"/>
    <w:lvl w:ilvl="0">
      <w:lvlJc w:val="left"/>
      <w:lvlText w:val="%1."/>
      <w:numFmt w:val="decimal"/>
      <w:start w:val="15"/>
    </w:lvl>
  </w:abstractNum>
  <w:abstractNum w:abstractNumId="24">
    <w:nsid w:val="3804823E"/>
    <w:multiLevelType w:val="hybridMultilevel"/>
    <w:lvl w:ilvl="0">
      <w:lvlJc w:val="left"/>
      <w:lvlText w:val="%1."/>
      <w:numFmt w:val="decimal"/>
      <w:start w:val="20"/>
    </w:lvl>
  </w:abstractNum>
  <w:abstractNum w:abstractNumId="25">
    <w:nsid w:val="77465F01"/>
    <w:multiLevelType w:val="hybridMultilevel"/>
    <w:lvl w:ilvl="0">
      <w:lvlJc w:val="left"/>
      <w:lvlText w:val="%1."/>
      <w:numFmt w:val="decimal"/>
      <w:start w:val="1"/>
    </w:lvl>
  </w:abstractNum>
  <w:abstractNum w:abstractNumId="26">
    <w:nsid w:val="7724C67E"/>
    <w:multiLevelType w:val="hybridMultilevel"/>
    <w:lvl w:ilvl="0">
      <w:lvlJc w:val="left"/>
      <w:lvlText w:val="%1."/>
      <w:numFmt w:val="decimal"/>
      <w:start w:val="5"/>
    </w:lvl>
  </w:abstractNum>
  <w:abstractNum w:abstractNumId="27">
    <w:nsid w:val="5C482A97"/>
    <w:multiLevelType w:val="hybridMultilevel"/>
    <w:lvl w:ilvl="0">
      <w:lvlJc w:val="left"/>
      <w:lvlText w:val="%1."/>
      <w:numFmt w:val="decimal"/>
      <w:start w:val="1"/>
    </w:lvl>
    <w:lvl w:ilvl="1">
      <w:lvlJc w:val="left"/>
      <w:lvlText w:val="(%2)"/>
      <w:numFmt w:val="lowerLetter"/>
      <w:start w:val="1"/>
    </w:lvl>
  </w:abstractNum>
  <w:abstractNum w:abstractNumId="28">
    <w:nsid w:val="2463B9EA"/>
    <w:multiLevelType w:val="hybridMultilevel"/>
    <w:lvl w:ilvl="0">
      <w:lvlJc w:val="left"/>
      <w:lvlText w:val="%1."/>
      <w:numFmt w:val="decimal"/>
      <w:start w:val="4"/>
    </w:lvl>
    <w:lvl w:ilvl="1">
      <w:lvlJc w:val="left"/>
      <w:lvlText w:val="(%2)"/>
      <w:numFmt w:val="lowerLetter"/>
      <w:start w:val="1"/>
    </w:lvl>
  </w:abstractNum>
  <w:abstractNum w:abstractNumId="29">
    <w:nsid w:val="5E884A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0">
    <w:nsid w:val="51EAD36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7"/>
    </w:lvl>
  </w:abstractNum>
  <w:abstractNum w:abstractNumId="31">
    <w:nsid w:val="2D517796"/>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32">
    <w:nsid w:val="580BD78F"/>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33">
    <w:nsid w:val="153EA438"/>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34">
    <w:nsid w:val="3855585C"/>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35">
    <w:nsid w:val="70A64E2A"/>
    <w:multiLevelType w:val="hybridMultilevel"/>
    <w:lvl w:ilvl="0">
      <w:lvlJc w:val="left"/>
      <w:lvlText w:val="%1"/>
      <w:numFmt w:val="decimal"/>
      <w:start w:val="1"/>
    </w:lvl>
    <w:lvl w:ilvl="1">
      <w:lvlJc w:val="left"/>
      <w:lvlText w:val="(%2)"/>
      <w:numFmt w:val="lowerLetter"/>
      <w:start w:val="6"/>
    </w:lvl>
  </w:abstractNum>
  <w:abstractNum w:abstractNumId="36">
    <w:nsid w:val="6A2342EC"/>
    <w:multiLevelType w:val="hybridMultilevel"/>
    <w:lvl w:ilvl="0">
      <w:lvlJc w:val="left"/>
      <w:lvlText w:val="%1."/>
      <w:numFmt w:val="decimal"/>
      <w:start w:val="6"/>
    </w:lvl>
    <w:lvl w:ilvl="1">
      <w:lvlJc w:val="left"/>
      <w:lvlText w:val="(%2)"/>
      <w:numFmt w:val="lowerLetter"/>
      <w:start w:val="1"/>
    </w:lvl>
  </w:abstractNum>
  <w:abstractNum w:abstractNumId="37">
    <w:nsid w:val="2A487CB0"/>
    <w:multiLevelType w:val="hybridMultilevel"/>
    <w:lvl w:ilvl="0">
      <w:lvlJc w:val="left"/>
      <w:lvlText w:val="%1"/>
      <w:numFmt w:val="decimal"/>
      <w:start w:val="1"/>
    </w:lvl>
    <w:lvl w:ilvl="1">
      <w:lvlJc w:val="left"/>
      <w:lvlText w:val="(%2)"/>
      <w:numFmt w:val="lowerLetter"/>
      <w:start w:val="1"/>
    </w:lvl>
  </w:abstractNum>
  <w:abstractNum w:abstractNumId="38">
    <w:nsid w:val="1D4ED43B"/>
    <w:multiLevelType w:val="hybridMultilevel"/>
    <w:lvl w:ilvl="0">
      <w:lvlJc w:val="left"/>
      <w:lvlText w:val="%1."/>
      <w:numFmt w:val="decimal"/>
      <w:start w:val="9"/>
    </w:lvl>
    <w:lvl w:ilvl="1">
      <w:lvlJc w:val="left"/>
      <w:lvlText w:val="(%2)"/>
      <w:numFmt w:val="lowerLetter"/>
      <w:start w:val="1"/>
    </w:lvl>
  </w:abstractNum>
  <w:abstractNum w:abstractNumId="39">
    <w:nsid w:val="725A06FB"/>
    <w:multiLevelType w:val="hybridMultilevel"/>
    <w:lvl w:ilvl="0">
      <w:lvlJc w:val="left"/>
      <w:lvlText w:val="%1"/>
      <w:numFmt w:val="decimal"/>
      <w:start w:val="1"/>
    </w:lvl>
    <w:lvl w:ilvl="1">
      <w:lvlJc w:val="left"/>
      <w:lvlText w:val="(%2)"/>
      <w:numFmt w:val="lowerLetter"/>
      <w:start w:val="2"/>
    </w:lvl>
  </w:abstractNum>
  <w:abstractNum w:abstractNumId="40">
    <w:nsid w:val="2CD89A32"/>
    <w:multiLevelType w:val="hybridMultilevel"/>
    <w:lvl w:ilvl="0">
      <w:lvlJc w:val="left"/>
      <w:lvlText w:val="%1."/>
      <w:numFmt w:val="decimal"/>
      <w:start w:val="10"/>
    </w:lvl>
    <w:lvl w:ilvl="1">
      <w:lvlJc w:val="left"/>
      <w:lvlText w:val="%2"/>
      <w:numFmt w:val="lowerLetter"/>
      <w:start w:val="1"/>
    </w:lvl>
  </w:abstractNum>
  <w:abstractNum w:abstractNumId="41">
    <w:nsid w:val="57E4CCAF"/>
    <w:multiLevelType w:val="hybridMultilevel"/>
    <w:lvl w:ilvl="0">
      <w:lvlJc w:val="left"/>
      <w:lvlText w:val="%1."/>
      <w:numFmt w:val="decimal"/>
      <w:start w:val="12"/>
    </w:lvl>
  </w:abstractNum>
  <w:abstractNum w:abstractNumId="42">
    <w:nsid w:val="7A6D8D3C"/>
    <w:multiLevelType w:val="hybridMultilevel"/>
    <w:lvl w:ilvl="0">
      <w:lvlJc w:val="left"/>
      <w:lvlText w:val="%1."/>
      <w:numFmt w:val="decimal"/>
      <w:start w:val="15"/>
    </w:lvl>
  </w:abstractNum>
  <w:abstractNum w:abstractNumId="43">
    <w:nsid w:val="4B588F54"/>
    <w:multiLevelType w:val="hybridMultilevel"/>
    <w:lvl w:ilvl="0">
      <w:lvlJc w:val="left"/>
      <w:lvlText w:val="%1."/>
      <w:numFmt w:val="decimal"/>
      <w:start w:val="17"/>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2019-12-29T15:55:55Z</dcterms:created>
  <dcterms:modified xsi:type="dcterms:W3CDTF">2019-12-29T15:55:55Z</dcterms:modified>
</cp:coreProperties>
</file>