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1"/>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89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12"/>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ind w:right="-891"/>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ind w:left="4012"/>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141605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5" w:lineRule="exact"/>
        <w:rPr>
          <w:sz w:val="24"/>
          <w:szCs w:val="24"/>
          <w:color w:val="auto"/>
        </w:rPr>
      </w:pPr>
    </w:p>
    <w:p>
      <w:pPr>
        <w:jc w:val="center"/>
        <w:ind w:right="-891"/>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ind w:left="375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141605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172" w:type="dxa"/>
        <w:tblCellMar>
          <w:top w:w="0" w:type="dxa"/>
          <w:left w:w="0" w:type="dxa"/>
          <w:bottom w:w="0" w:type="dxa"/>
          <w:right w:w="0" w:type="dxa"/>
        </w:tblCellMar>
      </w:tblPr>
      <w:tr>
        <w:trPr>
          <w:trHeight w:val="220"/>
        </w:trPr>
        <w:tc>
          <w:tcPr>
            <w:tcW w:w="474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35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0-15451</w:t>
            </w:r>
          </w:p>
        </w:tc>
      </w:tr>
      <w:tr>
        <w:trPr>
          <w:trHeight w:val="212"/>
        </w:trPr>
        <w:tc>
          <w:tcPr>
            <w:tcW w:w="474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5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(Commission File Number)</w:t>
            </w:r>
          </w:p>
        </w:tc>
      </w:tr>
      <w:tr>
        <w:trPr>
          <w:trHeight w:val="220"/>
        </w:trPr>
        <w:tc>
          <w:tcPr>
            <w:tcW w:w="474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CT 06804</w:t>
            </w:r>
          </w:p>
        </w:tc>
        <w:tc>
          <w:tcPr>
            <w:tcW w:w="35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06804</w:t>
            </w:r>
          </w:p>
        </w:tc>
      </w:tr>
      <w:tr>
        <w:trPr>
          <w:trHeight w:val="234"/>
        </w:trPr>
        <w:tc>
          <w:tcPr>
            <w:tcW w:w="474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(Address of principle executive offices)</w:t>
            </w:r>
          </w:p>
        </w:tc>
        <w:tc>
          <w:tcPr>
            <w:tcW w:w="356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ind w:right="-891"/>
        <w:spacing w:after="0"/>
        <w:rPr>
          <w:sz w:val="20"/>
          <w:szCs w:val="20"/>
          <w:color w:val="auto"/>
        </w:rPr>
      </w:pPr>
      <w:r>
        <w:rPr>
          <w:rFonts w:ascii="Times New Roman" w:cs="Times New Roman" w:eastAsia="Times New Roman" w:hAnsi="Times New Roman"/>
          <w:sz w:val="18"/>
          <w:szCs w:val="18"/>
          <w:color w:val="auto"/>
        </w:rPr>
        <w:t>Christopher J. Lutzo</w:t>
      </w:r>
    </w:p>
    <w:p>
      <w:pPr>
        <w:spacing w:after="0" w:line="27" w:lineRule="exact"/>
        <w:rPr>
          <w:sz w:val="24"/>
          <w:szCs w:val="24"/>
          <w:color w:val="auto"/>
        </w:rPr>
      </w:pPr>
    </w:p>
    <w:p>
      <w:pPr>
        <w:jc w:val="center"/>
        <w:ind w:right="-891"/>
        <w:spacing w:after="0"/>
        <w:rPr>
          <w:sz w:val="20"/>
          <w:szCs w:val="20"/>
          <w:color w:val="auto"/>
        </w:rPr>
      </w:pPr>
      <w:r>
        <w:rPr>
          <w:rFonts w:ascii="Times New Roman" w:cs="Times New Roman" w:eastAsia="Times New Roman" w:hAnsi="Times New Roman"/>
          <w:sz w:val="18"/>
          <w:szCs w:val="18"/>
          <w:color w:val="auto"/>
        </w:rPr>
        <w:t>(203) 775-9000</w:t>
      </w:r>
    </w:p>
    <w:p>
      <w:pPr>
        <w:spacing w:after="0" w:line="9" w:lineRule="exact"/>
        <w:rPr>
          <w:sz w:val="24"/>
          <w:szCs w:val="24"/>
          <w:color w:val="auto"/>
        </w:rPr>
      </w:pPr>
    </w:p>
    <w:p>
      <w:pPr>
        <w:jc w:val="center"/>
        <w:ind w:right="-891"/>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142875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2432"/>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8" w:firstLine="8"/>
        <w:spacing w:after="0" w:line="239" w:lineRule="exact"/>
        <w:tabs>
          <w:tab w:leader="none" w:pos="4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2025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213995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351155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32"/>
          </w:cols>
          <w:pgMar w:left="328" w:top="408" w:right="1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Conflict Minerals Disclosure</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order to comply with Rule 13p-1 (17 CFR 240.13p-1) under Section 13(p) of the Securities Exchange Act of 1934, as amended, Photronics, Inc. (the “Company”) submits this § 249b.400 Form SD, specialized disclosure report (“Form SD”). As defined in Form SD, the term “conflict mineral” means columbite-tantalite (coltan), cassiterite, gold, wolframite, or their derivatives, which are limited to tantalum, tin, and tungsten, or any other mineral or its derivatives determined by the Secretary of State to be financing conflict in the Democratic Republic of the Congo or an adjoining country (“Covered Countries” as defined in Form SD).</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tantalum is a conflict mineral which is necessary to the functionality or production of certain products manufactured by the Company.</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conducted a good faith, reasonable country of origin inquiry with respect to the tantalum used in the Company’s products for the calendar year ended December 31, 2025, and obtained CMRTs from relevant suppliers. One supplier reported that certain smelters within its broader supply chain may source tantalum from Covered Countries but further represented that such sourcing was conflict-free and managed in accordance with OECD Due Diligence Guidance. Photronics did not identify any non-conformant smelters or conflict minerals known to finance or benefit armed groups based on the information received.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make its determination with respect to the country of origin of its tantalum, the Company undertook the following inquiry:</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all suppliers of tantalum to the Company;</w:t>
      </w:r>
    </w:p>
    <w:p>
      <w:pPr>
        <w:spacing w:after="0" w:line="225"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all such suppliers with a Conflict Mineral Reporting Template developed by the Responsible Minerals Initiative (formerly the Conflict-Free Sourcing Initiative), a global non-governmental organization in the area of responsible minerals sourcing, and asked suppliers to indicate whether any conflict minerals included in any component manufactured or contracted to be manufactured for the Company originated in the Democratic Republic of the Congo or any adjoining country (as defined in Form SD), and if so, whether such conflict minerals were from recycled or scrap sources (as defined in Form SD), whether they have identified all of the smelters supplying conflict minerals in their supply chain, and asked suppliers to provide a list of the smelters used by the supplier or their suppliers, the locations of such smelters’ facilities, and whether those smelters have been certified as a “Conflict-Free Smelter” by the Responsible Minerals Initiative; and</w:t>
      </w:r>
    </w:p>
    <w:p>
      <w:pPr>
        <w:spacing w:after="0" w:line="18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 representation letter from all such suppliers that the tantalum supplied to the Company (i) did not originate in the Democratic Republic of Congo or any adjoining country (as defined in Form SD) or (ii) came from recycled or scrap sources (as defined in Form SD), or from sources which have been assessed and approved by independent, internationally recognized, and reputable third parties as conflict free.</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This conflict minerals disclosure is available on the Company’s website at www.photronics.com under “Investors—Corporate Governance &amp; Social Responsibility.”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exhibit is filed as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283" w:lineRule="exact"/>
        <w:rPr>
          <w:sz w:val="20"/>
          <w:szCs w:val="20"/>
          <w:color w:val="auto"/>
        </w:rPr>
      </w:pPr>
    </w:p>
    <w:p>
      <w:pPr>
        <w:ind w:left="56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J. Lutzo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Christopher J. Lutzo</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Vice President, General Counsel and</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2026-06-02T14:24:11Z</dcterms:created>
  <dcterms:modified xsi:type="dcterms:W3CDTF">2026-06-02T14:24:11Z</dcterms:modified>
</cp:coreProperties>
</file>