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4100" w:right="1880" w:hanging="4092"/>
        <w:spacing w:after="0" w:line="258" w:lineRule="auto"/>
        <w:tabs>
          <w:tab w:leader="none" w:pos="662"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May 4, 2014</w:t>
      </w:r>
    </w:p>
    <w:p>
      <w:pPr>
        <w:spacing w:after="0" w:line="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OR</w:t>
      </w:r>
    </w:p>
    <w:p>
      <w:pPr>
        <w:spacing w:after="0" w:line="238" w:lineRule="exact"/>
        <w:rPr>
          <w:sz w:val="24"/>
          <w:szCs w:val="24"/>
          <w:color w:val="auto"/>
        </w:rPr>
      </w:pPr>
    </w:p>
    <w:p>
      <w:pPr>
        <w:ind w:left="4180" w:right="1860" w:hanging="4172"/>
        <w:spacing w:after="0" w:line="532" w:lineRule="auto"/>
        <w:tabs>
          <w:tab w:leader="none" w:pos="65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169545</wp:posOffset>
            </wp:positionV>
            <wp:extent cx="866140" cy="926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6140" cy="926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06-0854886</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40" w:type="dxa"/>
            <w:vAlign w:val="bottom"/>
          </w:tcPr>
          <w:p>
            <w:pPr>
              <w:jc w:val="center"/>
              <w:ind w:left="11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87"/>
              </w:rPr>
              <w:t>06804</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40" w:type="dxa"/>
            <w:vAlign w:val="bottom"/>
          </w:tcPr>
          <w:p>
            <w:pPr>
              <w:jc w:val="center"/>
              <w:ind w:left="113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5580" w:type="dxa"/>
            <w:vAlign w:val="bottom"/>
          </w:tcPr>
          <w:p>
            <w:pPr>
              <w:jc w:val="center"/>
              <w:ind w:right="111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0"/>
              </w:rPr>
              <w:t>(203) 775-9000</w:t>
            </w:r>
          </w:p>
        </w:tc>
      </w:tr>
    </w:tbl>
    <w:p>
      <w:pPr>
        <w:spacing w:after="0" w:line="229" w:lineRule="exact"/>
        <w:rPr>
          <w:sz w:val="24"/>
          <w:szCs w:val="24"/>
          <w:color w:val="auto"/>
        </w:rPr>
      </w:pPr>
    </w:p>
    <w:p>
      <w:pPr>
        <w:ind w:right="48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rPr>
          <w:sz w:val="20"/>
          <w:szCs w:val="20"/>
          <w:color w:val="auto"/>
        </w:rPr>
      </w:pPr>
      <w:r>
        <w:rPr>
          <w:rFonts w:ascii="Arial" w:cs="Arial" w:eastAsia="Arial" w:hAnsi="Arial"/>
          <w:sz w:val="18"/>
          <w:szCs w:val="18"/>
          <w:b w:val="1"/>
          <w:bCs w:val="1"/>
          <w:color w:val="auto"/>
        </w:rPr>
        <w:t>Yes x No o</w:t>
      </w:r>
    </w:p>
    <w:p>
      <w:pPr>
        <w:spacing w:after="0" w:line="238"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rPr>
          <w:sz w:val="20"/>
          <w:szCs w:val="20"/>
          <w:color w:val="auto"/>
        </w:rPr>
      </w:pPr>
      <w:r>
        <w:rPr>
          <w:rFonts w:ascii="Arial" w:cs="Arial" w:eastAsia="Arial" w:hAnsi="Arial"/>
          <w:sz w:val="18"/>
          <w:szCs w:val="18"/>
          <w:b w:val="1"/>
          <w:bCs w:val="1"/>
          <w:color w:val="auto"/>
        </w:rPr>
        <w:t>Yes x No o</w:t>
      </w:r>
    </w:p>
    <w:p>
      <w:pPr>
        <w:spacing w:after="0" w:line="238"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51" w:lineRule="exact"/>
        <w:rPr>
          <w:sz w:val="24"/>
          <w:szCs w:val="24"/>
          <w:color w:val="auto"/>
        </w:rPr>
      </w:pPr>
    </w:p>
    <w:p>
      <w:pPr>
        <w:spacing w:after="0"/>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5800" w:type="dxa"/>
            <w:vAlign w:val="bottom"/>
          </w:tcPr>
          <w:p>
            <w:pPr>
              <w:jc w:val="center"/>
              <w:ind w:right="90"/>
              <w:spacing w:after="0"/>
              <w:rPr>
                <w:sz w:val="20"/>
                <w:szCs w:val="20"/>
                <w:color w:val="auto"/>
              </w:rPr>
            </w:pPr>
            <w:r>
              <w:rPr>
                <w:rFonts w:ascii="Arial" w:cs="Arial" w:eastAsia="Arial" w:hAnsi="Arial"/>
                <w:sz w:val="18"/>
                <w:szCs w:val="18"/>
                <w:color w:val="auto"/>
                <w:w w:val="84"/>
              </w:rPr>
              <w:t>Class</w:t>
            </w:r>
          </w:p>
        </w:tc>
        <w:tc>
          <w:tcPr>
            <w:tcW w:w="5620" w:type="dxa"/>
            <w:vAlign w:val="bottom"/>
          </w:tcPr>
          <w:p>
            <w:pPr>
              <w:ind w:left="1780"/>
              <w:spacing w:after="0"/>
              <w:rPr>
                <w:sz w:val="20"/>
                <w:szCs w:val="20"/>
                <w:color w:val="auto"/>
              </w:rPr>
            </w:pPr>
            <w:r>
              <w:rPr>
                <w:rFonts w:ascii="Arial" w:cs="Arial" w:eastAsia="Arial" w:hAnsi="Arial"/>
                <w:sz w:val="18"/>
                <w:szCs w:val="18"/>
                <w:color w:val="auto"/>
              </w:rPr>
              <w:t>Outstanding at May 31, 2014</w:t>
            </w:r>
          </w:p>
        </w:tc>
      </w:tr>
      <w:tr>
        <w:trPr>
          <w:trHeight w:val="234"/>
        </w:trPr>
        <w:tc>
          <w:tcPr>
            <w:tcW w:w="58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Common Stock, $0.01 par value</w:t>
            </w:r>
          </w:p>
        </w:tc>
        <w:tc>
          <w:tcPr>
            <w:tcW w:w="5620" w:type="dxa"/>
            <w:vAlign w:val="bottom"/>
          </w:tcPr>
          <w:p>
            <w:pPr>
              <w:ind w:left="2060"/>
              <w:spacing w:after="0"/>
              <w:rPr>
                <w:sz w:val="20"/>
                <w:szCs w:val="20"/>
                <w:color w:val="auto"/>
              </w:rPr>
            </w:pPr>
            <w:r>
              <w:rPr>
                <w:rFonts w:ascii="Arial" w:cs="Arial" w:eastAsia="Arial" w:hAnsi="Arial"/>
                <w:sz w:val="18"/>
                <w:szCs w:val="18"/>
                <w:b w:val="1"/>
                <w:bCs w:val="1"/>
                <w:color w:val="auto"/>
              </w:rPr>
              <w:t>61,690,070 Shares</w:t>
            </w:r>
          </w:p>
        </w:tc>
      </w:tr>
      <w:tr>
        <w:trPr>
          <w:trHeight w:val="351"/>
        </w:trPr>
        <w:tc>
          <w:tcPr>
            <w:tcW w:w="58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03"/>
        </w:trPr>
        <w:tc>
          <w:tcPr>
            <w:tcW w:w="5800" w:type="dxa"/>
            <w:vAlign w:val="bottom"/>
            <w:tcBorders>
              <w:left w:val="single" w:sz="8" w:color="9A9A9A"/>
            </w:tcBorders>
          </w:tcPr>
          <w:p>
            <w:pPr>
              <w:spacing w:after="0"/>
              <w:rPr>
                <w:sz w:val="17"/>
                <w:szCs w:val="17"/>
                <w:color w:val="auto"/>
              </w:rPr>
            </w:pPr>
          </w:p>
        </w:tc>
        <w:tc>
          <w:tcPr>
            <w:tcW w:w="5620" w:type="dxa"/>
            <w:vAlign w:val="bottom"/>
            <w:tcBorders>
              <w:right w:val="single" w:sz="8" w:color="EEEEEE"/>
            </w:tcBorders>
          </w:tcPr>
          <w:p>
            <w:pPr>
              <w:spacing w:after="0"/>
              <w:rPr>
                <w:sz w:val="17"/>
                <w:szCs w:val="17"/>
                <w:color w:val="auto"/>
              </w:rPr>
            </w:pPr>
          </w:p>
        </w:tc>
      </w:tr>
      <w:tr>
        <w:trPr>
          <w:trHeight w:val="183"/>
        </w:trPr>
        <w:tc>
          <w:tcPr>
            <w:tcW w:w="580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-269240</wp:posOffset>
            </wp:positionV>
            <wp:extent cx="72720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-175260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or the "Company"). These statements are based on management's beliefs, as well as assumptions made by, and information currently available to, management. Forward-looking statements may be identified by words like "expect," "anticipate," "believe," "plan," "projects," “could,” “estimate,” “intend,” “may,”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federal, state and international tax requirements (including tax rate changes, new tax laws and revised tax law interpretations); interest rate and other capital market conditions, including changes in the market price of the Company's securities; foreign currency exchange rate fluctuations; changes in technology; the timing, impact, and other uncertainties relating to transactions and acquisitions, divestitures and joint ventures as well as decisions the Company may make in the future regarding the Company’s business, capital and organizational structure and other matters;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ind w:left="4880"/>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60" w:type="dxa"/>
            <w:vAlign w:val="bottom"/>
            <w:gridSpan w:val="14"/>
          </w:tcPr>
          <w:p>
            <w:pPr>
              <w:spacing w:after="0"/>
              <w:rPr>
                <w:sz w:val="20"/>
                <w:szCs w:val="20"/>
                <w:color w:val="auto"/>
              </w:rPr>
            </w:pPr>
            <w:r>
              <w:rPr>
                <w:rFonts w:ascii="Arial" w:cs="Arial" w:eastAsia="Arial" w:hAnsi="Arial"/>
                <w:sz w:val="18"/>
                <w:szCs w:val="18"/>
                <w:b w:val="1"/>
                <w:bCs w:val="1"/>
                <w:color w:val="auto"/>
              </w:rPr>
              <w:t>FINANCIAL INFORMATION</w:t>
            </w: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36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Condensed Consolidated Financial Statements</w:t>
            </w: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360" w:type="dxa"/>
            <w:vAlign w:val="bottom"/>
            <w:gridSpan w:val="1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May 4, 2014 and November 3, 2013</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360" w:type="dxa"/>
            <w:vAlign w:val="bottom"/>
            <w:gridSpan w:val="1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for the Three and Six Months Ended May 4, 2014 and April 28, 2013</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360" w:type="dxa"/>
            <w:vAlign w:val="bottom"/>
            <w:gridSpan w:val="14"/>
            <w:shd w:val="clear" w:color="auto" w:fill="CCEEFF"/>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Comprehensive Income (Loss) for the Three and Six Months Ended May 4, 2014 and</w:t>
              </w:r>
            </w:hyperlink>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9020" w:type="dxa"/>
            <w:vAlign w:val="bottom"/>
            <w:tcBorders>
              <w:top w:val="single" w:sz="8" w:color="0000EE"/>
            </w:tcBorders>
            <w:gridSpan w:val="13"/>
            <w:shd w:val="clear" w:color="auto" w:fill="CCEEFF"/>
          </w:tcPr>
          <w:p>
            <w:pPr>
              <w:ind w:left="16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April 28, 2013</w:t>
              </w:r>
            </w:hyperlink>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36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May 4, 2014 and April 28, 2013</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360" w:type="dxa"/>
            <w:vAlign w:val="bottom"/>
            <w:gridSpan w:val="1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1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1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1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36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1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360" w:type="dxa"/>
            <w:vAlign w:val="bottom"/>
            <w:gridSpan w:val="1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876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760" w:type="dxa"/>
            <w:vAlign w:val="bottom"/>
            <w:gridSpan w:val="9"/>
          </w:tcPr>
          <w:p>
            <w:pPr>
              <w:ind w:left="4520"/>
              <w:spacing w:after="0"/>
              <w:rPr>
                <w:sz w:val="20"/>
                <w:szCs w:val="20"/>
                <w:color w:val="auto"/>
              </w:rPr>
            </w:pPr>
            <w:r>
              <w:rPr>
                <w:rFonts w:ascii="Arial" w:cs="Arial" w:eastAsia="Arial" w:hAnsi="Arial"/>
                <w:sz w:val="14"/>
                <w:szCs w:val="14"/>
                <w:color w:val="auto"/>
              </w:rPr>
              <w:t>3</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8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8000" w:type="dxa"/>
            <w:vAlign w:val="bottom"/>
          </w:tcPr>
          <w:p>
            <w:pPr>
              <w:ind w:left="80"/>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8000" w:type="dxa"/>
            <w:vAlign w:val="bottom"/>
          </w:tcPr>
          <w:p>
            <w:pPr>
              <w:ind w:left="80"/>
              <w:spacing w:after="0"/>
              <w:rPr>
                <w:sz w:val="20"/>
                <w:szCs w:val="20"/>
                <w:color w:val="auto"/>
              </w:rPr>
            </w:pPr>
            <w:r>
              <w:rPr>
                <w:rFonts w:ascii="Arial" w:cs="Arial" w:eastAsia="Arial" w:hAnsi="Arial"/>
                <w:sz w:val="18"/>
                <w:szCs w:val="18"/>
                <w:b w:val="1"/>
                <w:bCs w:val="1"/>
                <w:color w:val="auto"/>
              </w:rPr>
              <w:t>CONDENSED CONSOLIDATED FINANCIAL STATEMENTS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0" w:type="dxa"/>
            <w:vAlign w:val="bottom"/>
          </w:tcPr>
          <w:p>
            <w:pPr>
              <w:jc w:val="center"/>
              <w:ind w:left="1850"/>
              <w:spacing w:after="0"/>
              <w:rPr>
                <w:sz w:val="20"/>
                <w:szCs w:val="20"/>
                <w:color w:val="auto"/>
              </w:rPr>
            </w:pPr>
            <w:r>
              <w:rPr>
                <w:rFonts w:ascii="Arial" w:cs="Arial" w:eastAsia="Arial" w:hAnsi="Arial"/>
                <w:sz w:val="18"/>
                <w:szCs w:val="18"/>
                <w:b w:val="1"/>
                <w:bCs w:val="1"/>
                <w:color w:val="auto"/>
                <w:w w:val="99"/>
              </w:rPr>
              <w:t>PHOTRONICS, INC. AND SUBSIDIARIES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0" w:type="dxa"/>
            <w:vAlign w:val="bottom"/>
          </w:tcPr>
          <w:p>
            <w:pPr>
              <w:jc w:val="center"/>
              <w:ind w:left="1850"/>
              <w:spacing w:after="0"/>
              <w:rPr>
                <w:sz w:val="20"/>
                <w:szCs w:val="20"/>
                <w:color w:val="auto"/>
              </w:rPr>
            </w:pPr>
            <w:r>
              <w:rPr>
                <w:rFonts w:ascii="Arial" w:cs="Arial" w:eastAsia="Arial" w:hAnsi="Arial"/>
                <w:sz w:val="18"/>
                <w:szCs w:val="18"/>
                <w:color w:val="auto"/>
                <w:w w:val="88"/>
              </w:rPr>
              <w:t>Condensed Consolidated Balance Sheets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0" w:type="dxa"/>
            <w:vAlign w:val="bottom"/>
          </w:tcPr>
          <w:p>
            <w:pPr>
              <w:jc w:val="center"/>
              <w:ind w:left="187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0" w:type="dxa"/>
            <w:vAlign w:val="bottom"/>
          </w:tcPr>
          <w:p>
            <w:pPr>
              <w:jc w:val="center"/>
              <w:ind w:left="1870"/>
              <w:spacing w:after="0"/>
              <w:rPr>
                <w:sz w:val="20"/>
                <w:szCs w:val="20"/>
                <w:color w:val="auto"/>
              </w:rPr>
            </w:pPr>
            <w:r>
              <w:rPr>
                <w:rFonts w:ascii="Arial" w:cs="Arial" w:eastAsia="Arial" w:hAnsi="Arial"/>
                <w:sz w:val="18"/>
                <w:szCs w:val="18"/>
                <w:i w:val="1"/>
                <w:iCs w:val="1"/>
                <w:color w:val="auto"/>
                <w:w w:val="92"/>
              </w:rPr>
              <w:t>(unaudited)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May 4,</w:t>
            </w:r>
          </w:p>
        </w:tc>
        <w:tc>
          <w:tcPr>
            <w:tcW w:w="22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November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w w:val="99"/>
              </w:rPr>
              <w:t>ASSETS</w:t>
            </w:r>
          </w:p>
        </w:tc>
        <w:tc>
          <w:tcPr>
            <w:tcW w:w="8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4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191,828</w:t>
            </w:r>
          </w:p>
        </w:tc>
        <w:tc>
          <w:tcPr>
            <w:tcW w:w="4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 of allowance of $2,621 in 2014 and $3,541 in 2013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97,654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340,811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Investment in joint venture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93,085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1,021,010</w:t>
            </w:r>
          </w:p>
        </w:tc>
        <w:tc>
          <w:tcPr>
            <w:tcW w:w="4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885,929</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of long-term borrowings</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10,231</w:t>
            </w:r>
          </w:p>
        </w:tc>
        <w:tc>
          <w:tcPr>
            <w:tcW w:w="4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82,673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68,421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131,405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104,587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Long-term borrowings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158,691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311,271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298,098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8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89"/>
              </w:rPr>
              <w:t>Common stock, $0.01 par value, 150,000 shares authorized, 61,408 shares issued and outstanding at May 4, 2014 and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gridSpan w:val="3"/>
          </w:tcPr>
          <w:p>
            <w:pPr>
              <w:ind w:left="280"/>
              <w:spacing w:after="0"/>
              <w:rPr>
                <w:sz w:val="20"/>
                <w:szCs w:val="20"/>
                <w:color w:val="auto"/>
              </w:rPr>
            </w:pPr>
            <w:r>
              <w:rPr>
                <w:rFonts w:ascii="Arial" w:cs="Arial" w:eastAsia="Arial" w:hAnsi="Arial"/>
                <w:sz w:val="18"/>
                <w:szCs w:val="18"/>
                <w:color w:val="auto"/>
              </w:rPr>
              <w:t>61,083 shares issued and outstanding at November 3, 2013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76,972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Total Photronics, Inc. shareholders' equity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603,121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585,314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106,618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20" w:type="dxa"/>
            <w:vAlign w:val="bottom"/>
            <w:gridSpan w:val="2"/>
          </w:tcPr>
          <w:p>
            <w:pPr>
              <w:ind w:left="20"/>
              <w:spacing w:after="0"/>
              <w:rPr>
                <w:sz w:val="20"/>
                <w:szCs w:val="20"/>
                <w:color w:val="auto"/>
              </w:rPr>
            </w:pPr>
            <w:r>
              <w:rPr>
                <w:rFonts w:ascii="Arial" w:cs="Arial" w:eastAsia="Arial" w:hAnsi="Arial"/>
                <w:sz w:val="18"/>
                <w:szCs w:val="18"/>
                <w:color w:val="auto"/>
              </w:rPr>
              <w:t>Total equity</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709,739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587,831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1,021,010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885,929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41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160" w:type="dxa"/>
            <w:vAlign w:val="bottom"/>
            <w:gridSpan w:val="5"/>
          </w:tcPr>
          <w:p>
            <w:pPr>
              <w:jc w:val="center"/>
              <w:ind w:left="3530"/>
              <w:spacing w:after="0"/>
              <w:rPr>
                <w:sz w:val="20"/>
                <w:szCs w:val="20"/>
                <w:color w:val="auto"/>
              </w:rPr>
            </w:pPr>
            <w:r>
              <w:rPr>
                <w:rFonts w:ascii="Arial" w:cs="Arial" w:eastAsia="Arial" w:hAnsi="Arial"/>
                <w:sz w:val="18"/>
                <w:szCs w:val="18"/>
                <w:b w:val="1"/>
                <w:bCs w:val="1"/>
                <w:color w:val="auto"/>
                <w:w w:val="99"/>
              </w:rPr>
              <w:t>PHOTRONICS, INC. AND SUBSIDIARIES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320" w:type="dxa"/>
            <w:vAlign w:val="bottom"/>
            <w:gridSpan w:val="6"/>
          </w:tcPr>
          <w:p>
            <w:pPr>
              <w:jc w:val="center"/>
              <w:ind w:left="3370"/>
              <w:spacing w:after="0"/>
              <w:rPr>
                <w:sz w:val="20"/>
                <w:szCs w:val="20"/>
                <w:color w:val="auto"/>
              </w:rPr>
            </w:pPr>
            <w:r>
              <w:rPr>
                <w:rFonts w:ascii="Arial" w:cs="Arial" w:eastAsia="Arial" w:hAnsi="Arial"/>
                <w:sz w:val="18"/>
                <w:szCs w:val="18"/>
                <w:b w:val="1"/>
                <w:bCs w:val="1"/>
                <w:color w:val="auto"/>
                <w:w w:val="88"/>
              </w:rPr>
              <w:t>Condensed Consolidated Statements of Income</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380" w:type="dxa"/>
            <w:vAlign w:val="bottom"/>
            <w:gridSpan w:val="4"/>
          </w:tcPr>
          <w:p>
            <w:pPr>
              <w:jc w:val="center"/>
              <w:ind w:right="16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180" w:type="dxa"/>
            <w:vAlign w:val="bottom"/>
            <w:gridSpan w:val="2"/>
          </w:tcPr>
          <w:p>
            <w:pPr>
              <w:jc w:val="center"/>
              <w:ind w:left="950"/>
              <w:spacing w:after="0"/>
              <w:rPr>
                <w:sz w:val="20"/>
                <w:szCs w:val="20"/>
                <w:color w:val="auto"/>
              </w:rPr>
            </w:pPr>
            <w:r>
              <w:rPr>
                <w:rFonts w:ascii="Arial" w:cs="Arial" w:eastAsia="Arial" w:hAnsi="Arial"/>
                <w:sz w:val="18"/>
                <w:szCs w:val="18"/>
                <w:b w:val="1"/>
                <w:bCs w:val="1"/>
                <w:i w:val="1"/>
                <w:iCs w:val="1"/>
                <w:color w:val="auto"/>
                <w:w w:val="87"/>
              </w:rPr>
              <w:t>(unaudited)</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4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May 4,</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28,</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May 4,</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8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10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104,882</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106,680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206,424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(82,692)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(81,891)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(161,352)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(13,419)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(12,151)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(5,939)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8,462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on acquisition</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16,372</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(1,816)</w:t>
            </w: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(1,909)</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(3,800)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and other income (expense), net</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22,739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(2,032)</w:t>
            </w: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(1,724)</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(4,747)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15,950</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Net income attributable to Photronics, Inc. shareholders</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15,540</w:t>
            </w: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17,533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1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0.22</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960" w:type="dxa"/>
            <w:vAlign w:val="bottom"/>
            <w:gridSpan w:val="3"/>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4"/>
          </w:tcPr>
          <w:p>
            <w:pPr>
              <w:spacing w:after="0"/>
              <w:rPr>
                <w:sz w:val="20"/>
                <w:szCs w:val="20"/>
                <w:color w:val="auto"/>
              </w:rPr>
            </w:pPr>
            <w:r>
              <w:rPr>
                <w:rFonts w:ascii="Arial" w:cs="Arial" w:eastAsia="Arial" w:hAnsi="Arial"/>
                <w:sz w:val="18"/>
                <w:szCs w:val="18"/>
                <w:color w:val="auto"/>
              </w:rPr>
              <w:t>Weighted-average number of common shares outstanding:</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61,372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60,493</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61,286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60,385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77,705</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77,632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4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rPr>
              <w:t>May 4,</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28,</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May 4,</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84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11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10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15,950</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17,992</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 of $0: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(13,104)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cash flow hedge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27,612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(7,616)</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21,162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320"/>
              <w:spacing w:after="0"/>
              <w:rPr>
                <w:sz w:val="20"/>
                <w:szCs w:val="20"/>
                <w:color w:val="auto"/>
              </w:rPr>
            </w:pPr>
            <w:r>
              <w:rPr>
                <w:rFonts w:ascii="Arial" w:cs="Arial" w:eastAsia="Arial" w:hAnsi="Arial"/>
                <w:sz w:val="18"/>
                <w:szCs w:val="18"/>
                <w:color w:val="auto"/>
                <w:w w:val="93"/>
              </w:rPr>
              <w:t>Less: comprehensive income (loss) attributable to noncontrolling interests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Comprehensive income (loss) attributable to Photronics, Inc. shareholders</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80" w:type="dxa"/>
            <w:vAlign w:val="bottom"/>
          </w:tcPr>
          <w:p>
            <w:pPr>
              <w:jc w:val="center"/>
              <w:ind w:left="2810"/>
              <w:spacing w:after="0"/>
              <w:rPr>
                <w:sz w:val="20"/>
                <w:szCs w:val="20"/>
                <w:color w:val="auto"/>
              </w:rPr>
            </w:pPr>
            <w:r>
              <w:rPr>
                <w:rFonts w:ascii="Arial" w:cs="Arial" w:eastAsia="Arial" w:hAnsi="Arial"/>
                <w:sz w:val="18"/>
                <w:szCs w:val="18"/>
                <w:b w:val="1"/>
                <w:bCs w:val="1"/>
                <w:color w:val="auto"/>
                <w:w w:val="99"/>
              </w:rPr>
              <w:t>PHOTRONICS, INC. AND SUBSIDIARIES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30"/>
              <w:spacing w:after="0"/>
              <w:rPr>
                <w:sz w:val="20"/>
                <w:szCs w:val="20"/>
                <w:color w:val="auto"/>
              </w:rPr>
            </w:pPr>
            <w:r>
              <w:rPr>
                <w:rFonts w:ascii="Arial" w:cs="Arial" w:eastAsia="Arial" w:hAnsi="Arial"/>
                <w:sz w:val="18"/>
                <w:szCs w:val="18"/>
                <w:color w:val="auto"/>
                <w:w w:val="89"/>
              </w:rPr>
              <w:t>Condensed Consolidated Statements of Cash Flows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10"/>
              <w:spacing w:after="0"/>
              <w:rPr>
                <w:sz w:val="20"/>
                <w:szCs w:val="20"/>
                <w:color w:val="auto"/>
              </w:rPr>
            </w:pPr>
            <w:r>
              <w:rPr>
                <w:rFonts w:ascii="Arial" w:cs="Arial" w:eastAsia="Arial" w:hAnsi="Arial"/>
                <w:sz w:val="18"/>
                <w:szCs w:val="18"/>
                <w:i w:val="1"/>
                <w:iCs w:val="1"/>
                <w:color w:val="auto"/>
                <w:w w:val="89"/>
              </w:rPr>
              <w:t>(in thousands)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tcPr>
          <w:p>
            <w:pPr>
              <w:jc w:val="center"/>
              <w:ind w:left="2830"/>
              <w:spacing w:after="0"/>
              <w:rPr>
                <w:sz w:val="20"/>
                <w:szCs w:val="20"/>
                <w:color w:val="auto"/>
              </w:rPr>
            </w:pPr>
            <w:r>
              <w:rPr>
                <w:rFonts w:ascii="Arial" w:cs="Arial" w:eastAsia="Arial" w:hAnsi="Arial"/>
                <w:sz w:val="18"/>
                <w:szCs w:val="18"/>
                <w:i w:val="1"/>
                <w:iCs w:val="1"/>
                <w:color w:val="auto"/>
                <w:w w:val="92"/>
              </w:rPr>
              <w:t>(unaudited)</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May 4,</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20"/>
              <w:spacing w:after="0"/>
              <w:rPr>
                <w:sz w:val="20"/>
                <w:szCs w:val="20"/>
                <w:color w:val="auto"/>
              </w:rPr>
            </w:pPr>
            <w:r>
              <w:rPr>
                <w:rFonts w:ascii="Arial" w:cs="Arial" w:eastAsia="Arial" w:hAnsi="Arial"/>
                <w:sz w:val="18"/>
                <w:szCs w:val="18"/>
                <w:color w:val="auto"/>
              </w:rPr>
              <w:t>Gain on acquisition</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(16,372)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accrued liabilities and other</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39,899</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35,934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Cash from acquisition</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(38,787)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(34,688)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Repayments of long-term borrowings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Repurchase of common stock by subsidiary</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of deferred financing fees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Proceeds from share-based arrangements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(25,064)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(6,961)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(23,787)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215,615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191,828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210,552</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Supplemental disclosure of noncash information:</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(15,118)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Noncash net assets from acquisition</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and Six Months Ended May 4, 2014 and April 28,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6"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three in Taiwan, one in Korea, and three in the United States.</w:t>
      </w:r>
    </w:p>
    <w:p>
      <w:pPr>
        <w:spacing w:after="0" w:line="22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April 4, 2014, DNP Photomask Technology Taiwan Co., Ltd. (“DPTT”), a wholly owned subsidiary of Dai Nippon Printing Co., Ltd. (“DNP”), merged into Photronics Semiconductor Mask Corporation (“PSMC”), a wholly owned subsidiary of Photronics. All of the assets and liabilities of DPTT existing prior to the merger were assumed by the renamed surviving entity of the merger, Photronics DNP Mask Corporation (“PDMC”). Photronics and DNP own 50.01 percent and 49.99 percent of PDMC, respectively, and the results of DPTT are included in the condensed consolidated financial statements since the date of the acquisition.</w:t>
      </w:r>
    </w:p>
    <w:p>
      <w:pPr>
        <w:spacing w:after="0" w:line="21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considered necessary for a fair presentation have been included. Operating results for the interim period are not necessarily indicative of the results that may be expected for the fiscal year ending November 2, 2014. For further information, refer to the consolidated financial statements and footnotes thereto included in the Company's Annual Report on Form 10-K for the year ended November 3,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 OF DNP PHOTOMASK TECHNOLOGY TAIWAN CO., LTD.</w:t>
      </w:r>
    </w:p>
    <w:p>
      <w:pPr>
        <w:spacing w:after="0" w:line="25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On April 4, 2014, DPTT merged into PSMC, the Company’s IC manufacturing subsidiary located in Taiwan, to form PDMC. Throughout this report the merger of DPTT into PSMC is referred to as the “DPTT Acquisition.” In connection with the DPTT Acquisition, the Company transferred consideration with a fair value of $41.0 million. The Company owns 50.01 percent of PDMC and includes its financial results in its consolidated financial statements, while DNP owns the remaining 49.99 percent of PDMC. The DPTT Acquisition was the result of the Company’s desire to combine the strengths in logic and memory photomask technologies of PSMC and DPTT in order to enhance its capability with customers in the region.</w:t>
      </w:r>
    </w:p>
    <w:p>
      <w:pPr>
        <w:spacing w:after="0" w:line="20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DPTT Acquisition met the conditions of a business combination as defined by Accounting Standards Codification (“ASC”) 805 and, as such, is accounted for under ASC 805 using the acquisition method of accounting. ASC 805 defines the three elements of a business as Input, Process and Output. As a result of the DPTT Acquisition, Photronics acquired the machinery and equipment utilized in the processes to manufacture product, the building that houses the entire operation and the processes needed to manufacture the product, all previously owned by DPTT. The former DPTT employees hired by Photronics in connection with the acquisition brought with them the skills, experience and know-how necessary to provide the operational processes that, when applied to the acquired assets, represent processes being applied to inputs to create outputs. Having met all three elements of a business as defined in ASC 805, the Company determined that the DPTT Acquisition should be accounted for as a business acquisition.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following table summarizes the provisional fair values of assets acquired and liabilities assumed of DPTT, the fair value of the noncontrolling interests and consideration for DPTT at the acquisition date. These provisional amounts could change as a result of the ultimate realization of the acquired net working capital.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Accounts receivable (gross amount of $28,560, of which $500 is expected to be uncollectable)</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Deferred tax asset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95,431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long-term assets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(32,410)</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(3,042)</w:t>
            </w:r>
          </w:p>
        </w:tc>
      </w:tr>
      <w:tr>
        <w:trPr>
          <w:trHeight w:val="223"/>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(3,291)</w:t>
            </w:r>
          </w:p>
        </w:tc>
      </w:tr>
      <w:tr>
        <w:trPr>
          <w:trHeight w:val="216"/>
        </w:trPr>
        <w:tc>
          <w:tcPr>
            <w:tcW w:w="20" w:type="dxa"/>
            <w:vAlign w:val="bottom"/>
          </w:tcPr>
          <w:p>
            <w:pPr>
              <w:spacing w:after="0"/>
              <w:rPr>
                <w:sz w:val="18"/>
                <w:szCs w:val="18"/>
                <w:color w:val="auto"/>
              </w:rPr>
            </w:pPr>
          </w:p>
        </w:tc>
        <w:tc>
          <w:tcPr>
            <w:tcW w:w="7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net assets acquired</w:t>
            </w: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114,719</w:t>
            </w:r>
          </w:p>
        </w:tc>
        <w:tc>
          <w:tcPr>
            <w:tcW w:w="120" w:type="dxa"/>
            <w:vAlign w:val="bottom"/>
            <w:tcBorders>
              <w:top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 retained by DNP</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57,371</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Consideration – 49.99% of fair value of PSMC</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Gain on acquisition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16,372</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addition to recording the fair values of the net assets acquired, the Company also recorded a gain on acquisition of $16.4 million in the condensed consolidated statement of income within other income (expense) in accordance with ASC 805 using the acquisition method of accounting. The gain on acquisition was primarily due to the difference between the market values of the acquired real estate and personal property exceeding the fair value of the consideration transferred. In addition, a deferred tax liability of $3.0 million was recorded in the opening balance sheet, which had the effect of reducing the gain on acquisition to $16.4 million. Prior to recording the gain, the Company reassessed whether it had correctly identified all of the assets acquired and all of the liabilities assumed. Additionally, the Company also reviewed the procedures used to measure the amounts of the identifiable assets acquired, liabilities assumed and consideration transferred.</w:t>
      </w:r>
    </w:p>
    <w:p>
      <w:pPr>
        <w:spacing w:after="0" w:line="21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fair value of the consideration represents 49.99 percent of the fair value of PSMC, and is based on recent prices paid by the Company to acquire outstanding shares of PSMC (prior to the acquisition). As a result of the merger, the Company acquired the net assets of DPTT having a fair value of $114.7 million, less noncontrolling interests of $57.3 million retained by DNP, and transferred consideration with a fair value of $41.0 million, resulting in a gain of $16.4 million.</w:t>
      </w:r>
    </w:p>
    <w:p>
      <w:pPr>
        <w:spacing w:after="0" w:line="21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acquisition date fair value of the property, plant and equipment of DPTT was $95.4 million, which was determined by utilizing the cost and, to a lesser extent, the market approach, based on an in-use premise of value. This fair value measurement is based on significant inputs that are not observable in the market and thus represents a fair value measurement categorized within Level 3 of the fair value hierarchy. Key assumptions include local and current construction replacement cost multipliers, amounts of ancillary replacement costs, physical deterioration, and economic and functional obsolescence to adjust the current replacement costs by, as well as the estimated economic lives of the assets.</w:t>
      </w:r>
    </w:p>
    <w:p>
      <w:pPr>
        <w:spacing w:after="0" w:line="20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Identifiable intangible assets acquired were primarily customer relationships, which represent the fair value of relationships and agreements DPTT had in place at the date of the merger, and had a fair value of $1.5 million at the acquisition date determined by using the multi-period excess earnings method and a twelve year estimated amortization period. The acquisition date fair value of the remainder of the identifiable assets acquired and liabilities assumed were equivalent to, or did not materially differ from their carrying values.</w:t>
      </w:r>
    </w:p>
    <w:p>
      <w:pPr>
        <w:spacing w:after="0" w:line="21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Acquisition costs related to the merger were $2.0 million and $2.5 million for the three and six month periods ended May 4, 2014, and are included in selling, general and administrative expense in the condensed consolidated statements of income.</w:t>
      </w:r>
    </w:p>
    <w:p>
      <w:pPr>
        <w:spacing w:after="0" w:line="19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Revenues and net income of PDMC included in the Company’s financial results from the April 4, 2014 acquisition date through May 4, 2014, are $13.1 million and $0.4 million respectively.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On a pro forma basis, revenues, earnings and earnings per share of Photronics, Inc. and subsidiaries, calculated as though the merger had occurred as of the beginning of the earliest period presented, for the three and six month periods ended May 4, 2014 and April 28, 2013, are presented below. The pro forma earnings for the three and six month periods ended May 4, 2014, were adjusted to exclude $2.0 million and $2.5 million of the above mentioned nonrecurring acquisition related costs and the gain on acquisition of $16.4 million. Other material nonrecurring pro forma adjustments made to arrive at the below earnings amounts included the add back of additional depreciation recorded against DPTT long-lived assets of $3.4 million and $3.3 million for the three month periods ended May 4, 2014 and April 28, 2013, respectively, and $6.6 million and $6.4 million for the six month periods ended May 4, 2014 and April 28, 2013, respectively. The pro forma information presented does not purport to represent results that would have been achieved had the merger occurred as of the beginning of the earliest period presented, or to be indicative of the Company’s future financial performance.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400" w:type="dxa"/>
            <w:vAlign w:val="bottom"/>
            <w:gridSpan w:val="6"/>
          </w:tcPr>
          <w:p>
            <w:pPr>
              <w:ind w:left="3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rPr>
              <w:t>May 4,</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28,</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8"/>
              </w:rPr>
              <w:t>May 4,</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02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1080" w:type="dxa"/>
            <w:vAlign w:val="bottom"/>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11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10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124,030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126,535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250,865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459"/>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NOTE 3 - CHANGES IN EQUITY</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set forth the Company's consolidated changes in equity for the three and six month periods ended May 4, 2014 and April 28, 2013: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9"/>
          </w:tcPr>
          <w:p>
            <w:pPr>
              <w:jc w:val="right"/>
              <w:ind w:right="680"/>
              <w:spacing w:after="0"/>
              <w:rPr>
                <w:sz w:val="20"/>
                <w:szCs w:val="20"/>
                <w:color w:val="auto"/>
              </w:rPr>
            </w:pPr>
            <w:r>
              <w:rPr>
                <w:rFonts w:ascii="Arial" w:cs="Arial" w:eastAsia="Arial" w:hAnsi="Arial"/>
                <w:sz w:val="18"/>
                <w:szCs w:val="18"/>
                <w:b w:val="1"/>
                <w:bCs w:val="1"/>
                <w:color w:val="auto"/>
              </w:rPr>
              <w:t>Three Months Ended May 4, 2014</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10"/>
          </w:tcPr>
          <w:p>
            <w:pPr>
              <w:jc w:val="right"/>
              <w:ind w:right="680"/>
              <w:spacing w:after="0"/>
              <w:rPr>
                <w:sz w:val="20"/>
                <w:szCs w:val="20"/>
                <w:color w:val="auto"/>
              </w:rPr>
            </w:pPr>
            <w:r>
              <w:rPr>
                <w:rFonts w:ascii="Arial" w:cs="Arial" w:eastAsia="Arial" w:hAnsi="Arial"/>
                <w:sz w:val="18"/>
                <w:szCs w:val="18"/>
                <w:b w:val="1"/>
                <w:bCs w:val="1"/>
                <w:color w:val="auto"/>
              </w:rPr>
              <w:t>Photronics, Inc. Shareholders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360" w:type="dxa"/>
            <w:vAlign w:val="bottom"/>
            <w:gridSpan w:val="6"/>
            <w:vMerge w:val="restart"/>
          </w:tcPr>
          <w:p>
            <w:pPr>
              <w:ind w:lef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36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w w:val="92"/>
              </w:rPr>
              <w:t>Retained</w:t>
            </w: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Interests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February 3, 2014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61,325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500,409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17,980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581,204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15,540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11,628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11,662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w w:val="92"/>
              </w:rPr>
              <w:t>Restricted stock awards vesting and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120"/>
              <w:spacing w:after="0"/>
              <w:rPr>
                <w:sz w:val="20"/>
                <w:szCs w:val="20"/>
                <w:color w:val="auto"/>
              </w:rPr>
            </w:pPr>
            <w:r>
              <w:rPr>
                <w:rFonts w:ascii="Arial" w:cs="Arial" w:eastAsia="Arial" w:hAnsi="Arial"/>
                <w:sz w:val="18"/>
                <w:szCs w:val="18"/>
                <w:color w:val="auto"/>
              </w:rPr>
              <w:t>expense</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0"/>
              </w:rPr>
              <w:t>Share-based compensation expense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Acquisition of DPTT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105,404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99,525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Redemption of common stock by</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subsidiary</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Balance at May 4, 2014</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61,408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495,516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76,972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30,019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106,618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709,739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9"/>
          </w:tcPr>
          <w:p>
            <w:pPr>
              <w:jc w:val="right"/>
              <w:ind w:right="600"/>
              <w:spacing w:after="0"/>
              <w:rPr>
                <w:sz w:val="20"/>
                <w:szCs w:val="20"/>
                <w:color w:val="auto"/>
              </w:rPr>
            </w:pPr>
            <w:r>
              <w:rPr>
                <w:rFonts w:ascii="Arial" w:cs="Arial" w:eastAsia="Arial" w:hAnsi="Arial"/>
                <w:sz w:val="18"/>
                <w:szCs w:val="18"/>
                <w:b w:val="1"/>
                <w:bCs w:val="1"/>
                <w:color w:val="auto"/>
              </w:rPr>
              <w:t>Three Months Ended April 28, 2013</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10"/>
          </w:tcPr>
          <w:p>
            <w:pPr>
              <w:jc w:val="right"/>
              <w:ind w:right="680"/>
              <w:spacing w:after="0"/>
              <w:rPr>
                <w:sz w:val="20"/>
                <w:szCs w:val="20"/>
                <w:color w:val="auto"/>
              </w:rPr>
            </w:pPr>
            <w:r>
              <w:rPr>
                <w:rFonts w:ascii="Arial" w:cs="Arial" w:eastAsia="Arial" w:hAnsi="Arial"/>
                <w:sz w:val="18"/>
                <w:szCs w:val="18"/>
                <w:b w:val="1"/>
                <w:bCs w:val="1"/>
                <w:color w:val="auto"/>
              </w:rPr>
              <w:t>Photronics, Inc. Shareholders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360" w:type="dxa"/>
            <w:vAlign w:val="bottom"/>
            <w:gridSpan w:val="6"/>
            <w:vMerge w:val="restart"/>
          </w:tcPr>
          <w:p>
            <w:pPr>
              <w:ind w:lef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w w:val="92"/>
              </w:rPr>
              <w:t>Retained</w:t>
            </w: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980" w:type="dxa"/>
            <w:vAlign w:val="bottom"/>
            <w:gridSpan w:val="2"/>
          </w:tcPr>
          <w:p>
            <w:pPr>
              <w:spacing w:after="0"/>
              <w:rPr>
                <w:sz w:val="24"/>
                <w:szCs w:val="24"/>
                <w:color w:val="auto"/>
              </w:rPr>
            </w:pPr>
          </w:p>
        </w:tc>
        <w:tc>
          <w:tcPr>
            <w:tcW w:w="200" w:type="dxa"/>
            <w:vAlign w:val="bottom"/>
            <w:gridSpan w:val="2"/>
          </w:tcPr>
          <w:p>
            <w:pPr>
              <w:spacing w:after="0"/>
              <w:rPr>
                <w:sz w:val="24"/>
                <w:szCs w:val="24"/>
                <w:color w:val="auto"/>
              </w:rPr>
            </w:pPr>
          </w:p>
        </w:tc>
        <w:tc>
          <w:tcPr>
            <w:tcW w:w="1060" w:type="dxa"/>
            <w:vAlign w:val="bottom"/>
            <w:gridSpan w:val="2"/>
          </w:tcPr>
          <w:p>
            <w:pPr>
              <w:spacing w:after="0"/>
              <w:rPr>
                <w:sz w:val="24"/>
                <w:szCs w:val="24"/>
                <w:color w:val="auto"/>
              </w:rPr>
            </w:pPr>
          </w:p>
        </w:tc>
        <w:tc>
          <w:tcPr>
            <w:tcW w:w="20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spacing w:after="0"/>
              <w:rPr>
                <w:sz w:val="24"/>
                <w:szCs w:val="24"/>
                <w:color w:val="auto"/>
              </w:rPr>
            </w:pPr>
          </w:p>
        </w:tc>
        <w:tc>
          <w:tcPr>
            <w:tcW w:w="180" w:type="dxa"/>
            <w:vAlign w:val="bottom"/>
            <w:gridSpan w:val="2"/>
          </w:tcPr>
          <w:p>
            <w:pPr>
              <w:spacing w:after="0"/>
              <w:rPr>
                <w:sz w:val="24"/>
                <w:szCs w:val="24"/>
                <w:color w:val="auto"/>
              </w:rPr>
            </w:pPr>
          </w:p>
        </w:tc>
        <w:tc>
          <w:tcPr>
            <w:tcW w:w="1040" w:type="dxa"/>
            <w:vAlign w:val="bottom"/>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28, 2013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60,362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494,984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23,812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593,841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(12,396)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(13,058)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spacing w:after="0" w:line="201" w:lineRule="exact"/>
              <w:rPr>
                <w:sz w:val="20"/>
                <w:szCs w:val="20"/>
                <w:color w:val="auto"/>
              </w:rPr>
            </w:pPr>
            <w:r>
              <w:rPr>
                <w:rFonts w:ascii="Arial" w:cs="Arial" w:eastAsia="Arial" w:hAnsi="Arial"/>
                <w:sz w:val="18"/>
                <w:szCs w:val="18"/>
                <w:color w:val="auto"/>
                <w:w w:val="92"/>
              </w:rPr>
              <w:t>Restricted stock awards vesting and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ind w:left="120"/>
              <w:spacing w:after="0"/>
              <w:rPr>
                <w:sz w:val="20"/>
                <w:szCs w:val="20"/>
                <w:color w:val="auto"/>
              </w:rPr>
            </w:pPr>
            <w:r>
              <w:rPr>
                <w:rFonts w:ascii="Arial" w:cs="Arial" w:eastAsia="Arial" w:hAnsi="Arial"/>
                <w:sz w:val="18"/>
                <w:szCs w:val="18"/>
                <w:color w:val="auto"/>
              </w:rPr>
              <w:t>expense</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Share-based compensation expense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Balance at April 28, 2013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60,598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496,204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48,660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11,416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30,562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587,448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9"/>
          </w:tcPr>
          <w:p>
            <w:pPr>
              <w:jc w:val="right"/>
              <w:ind w:right="780"/>
              <w:spacing w:after="0"/>
              <w:rPr>
                <w:sz w:val="20"/>
                <w:szCs w:val="20"/>
                <w:color w:val="auto"/>
              </w:rPr>
            </w:pPr>
            <w:r>
              <w:rPr>
                <w:rFonts w:ascii="Arial" w:cs="Arial" w:eastAsia="Arial" w:hAnsi="Arial"/>
                <w:sz w:val="18"/>
                <w:szCs w:val="18"/>
                <w:b w:val="1"/>
                <w:bCs w:val="1"/>
                <w:color w:val="auto"/>
              </w:rPr>
              <w:t>Six Months Ended May 4, 2014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10"/>
          </w:tcPr>
          <w:p>
            <w:pPr>
              <w:jc w:val="right"/>
              <w:ind w:right="680"/>
              <w:spacing w:after="0"/>
              <w:rPr>
                <w:sz w:val="20"/>
                <w:szCs w:val="20"/>
                <w:color w:val="auto"/>
              </w:rPr>
            </w:pPr>
            <w:r>
              <w:rPr>
                <w:rFonts w:ascii="Arial" w:cs="Arial" w:eastAsia="Arial" w:hAnsi="Arial"/>
                <w:sz w:val="18"/>
                <w:szCs w:val="18"/>
                <w:b w:val="1"/>
                <w:bCs w:val="1"/>
                <w:color w:val="auto"/>
              </w:rPr>
              <w:t>Photronics, Inc. Shareholders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360" w:type="dxa"/>
            <w:vAlign w:val="bottom"/>
            <w:gridSpan w:val="6"/>
            <w:vMerge w:val="restart"/>
          </w:tcPr>
          <w:p>
            <w:pPr>
              <w:ind w:lef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w w:val="92"/>
              </w:rPr>
              <w:t>Retained</w:t>
            </w: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November 4, 2013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61,083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498,861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26,403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587,831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17,533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w w:val="93"/>
              </w:rPr>
              <w:t>Other comprehensive income (loss)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3,217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spacing w:after="0" w:line="201" w:lineRule="exact"/>
              <w:rPr>
                <w:sz w:val="20"/>
                <w:szCs w:val="20"/>
                <w:color w:val="auto"/>
              </w:rPr>
            </w:pPr>
            <w:r>
              <w:rPr>
                <w:rFonts w:ascii="Arial" w:cs="Arial" w:eastAsia="Arial" w:hAnsi="Arial"/>
                <w:sz w:val="18"/>
                <w:szCs w:val="18"/>
                <w:color w:val="auto"/>
                <w:w w:val="92"/>
              </w:rPr>
              <w:t>Restricted stock awards vesting and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ind w:left="120"/>
              <w:spacing w:after="0"/>
              <w:rPr>
                <w:sz w:val="20"/>
                <w:szCs w:val="20"/>
                <w:color w:val="auto"/>
              </w:rPr>
            </w:pPr>
            <w:r>
              <w:rPr>
                <w:rFonts w:ascii="Arial" w:cs="Arial" w:eastAsia="Arial" w:hAnsi="Arial"/>
                <w:sz w:val="18"/>
                <w:szCs w:val="18"/>
                <w:color w:val="auto"/>
              </w:rPr>
              <w:t>expense</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Share-based compensation expense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Acquisition of DPTT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105,404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99,525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Redemption of common stock by</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subsidiary</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Balance at May 4, 2014</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61,408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495,516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76,972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30,019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106,618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709,739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14"/>
          </w:tcPr>
          <w:p>
            <w:pPr>
              <w:jc w:val="right"/>
              <w:ind w:right="760"/>
              <w:spacing w:after="0"/>
              <w:rPr>
                <w:sz w:val="20"/>
                <w:szCs w:val="20"/>
                <w:color w:val="auto"/>
              </w:rPr>
            </w:pPr>
            <w:r>
              <w:rPr>
                <w:rFonts w:ascii="Arial" w:cs="Arial" w:eastAsia="Arial" w:hAnsi="Arial"/>
                <w:sz w:val="18"/>
                <w:szCs w:val="18"/>
                <w:b w:val="1"/>
                <w:bCs w:val="1"/>
                <w:color w:val="auto"/>
              </w:rPr>
              <w:t>Six Months Ended April 28, 2013</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11"/>
          </w:tcPr>
          <w:p>
            <w:pPr>
              <w:jc w:val="right"/>
              <w:ind w:right="680"/>
              <w:spacing w:after="0"/>
              <w:rPr>
                <w:sz w:val="20"/>
                <w:szCs w:val="20"/>
                <w:color w:val="auto"/>
              </w:rPr>
            </w:pPr>
            <w:r>
              <w:rPr>
                <w:rFonts w:ascii="Arial" w:cs="Arial" w:eastAsia="Arial" w:hAnsi="Arial"/>
                <w:sz w:val="18"/>
                <w:szCs w:val="18"/>
                <w:b w:val="1"/>
                <w:bCs w:val="1"/>
                <w:color w:val="auto"/>
              </w:rPr>
              <w:t>Photronics, Inc. Shareholders</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vMerge w:val="restart"/>
          </w:tcPr>
          <w:p>
            <w:pPr>
              <w:jc w:val="right"/>
              <w:ind w:right="43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line="160" w:lineRule="exact"/>
              <w:rPr>
                <w:sz w:val="20"/>
                <w:szCs w:val="20"/>
                <w:color w:val="auto"/>
              </w:rPr>
            </w:pPr>
            <w:r>
              <w:rPr>
                <w:rFonts w:ascii="Arial" w:cs="Arial" w:eastAsia="Arial" w:hAnsi="Arial"/>
                <w:sz w:val="18"/>
                <w:szCs w:val="18"/>
                <w:b w:val="1"/>
                <w:bCs w:val="1"/>
                <w:color w:val="auto"/>
                <w:w w:val="93"/>
              </w:rPr>
              <w:t>Paid-in</w:t>
            </w:r>
          </w:p>
        </w:tc>
        <w:tc>
          <w:tcPr>
            <w:tcW w:w="100" w:type="dxa"/>
            <w:vAlign w:val="bottom"/>
          </w:tcPr>
          <w:p>
            <w:pPr>
              <w:spacing w:after="0"/>
              <w:rPr>
                <w:sz w:val="13"/>
                <w:szCs w:val="13"/>
                <w:color w:val="auto"/>
              </w:rPr>
            </w:pPr>
          </w:p>
        </w:tc>
        <w:tc>
          <w:tcPr>
            <w:tcW w:w="1240" w:type="dxa"/>
            <w:vAlign w:val="bottom"/>
            <w:gridSpan w:val="4"/>
          </w:tcPr>
          <w:p>
            <w:pPr>
              <w:jc w:val="right"/>
              <w:ind w:right="380"/>
              <w:spacing w:after="0" w:line="160" w:lineRule="exact"/>
              <w:rPr>
                <w:sz w:val="20"/>
                <w:szCs w:val="20"/>
                <w:color w:val="auto"/>
              </w:rPr>
            </w:pPr>
            <w:r>
              <w:rPr>
                <w:rFonts w:ascii="Arial" w:cs="Arial" w:eastAsia="Arial" w:hAnsi="Arial"/>
                <w:sz w:val="18"/>
                <w:szCs w:val="18"/>
                <w:b w:val="1"/>
                <w:bCs w:val="1"/>
                <w:color w:val="auto"/>
              </w:rPr>
              <w:t>Retained</w:t>
            </w:r>
          </w:p>
        </w:tc>
        <w:tc>
          <w:tcPr>
            <w:tcW w:w="60" w:type="dxa"/>
            <w:vAlign w:val="bottom"/>
          </w:tcPr>
          <w:p>
            <w:pPr>
              <w:spacing w:after="0"/>
              <w:rPr>
                <w:sz w:val="13"/>
                <w:szCs w:val="13"/>
                <w:color w:val="auto"/>
              </w:rPr>
            </w:pPr>
          </w:p>
        </w:tc>
        <w:tc>
          <w:tcPr>
            <w:tcW w:w="1380" w:type="dxa"/>
            <w:vAlign w:val="bottom"/>
            <w:gridSpan w:val="6"/>
          </w:tcPr>
          <w:p>
            <w:pPr>
              <w:jc w:val="center"/>
              <w:ind w:right="180"/>
              <w:spacing w:after="0" w:line="160" w:lineRule="exact"/>
              <w:rPr>
                <w:sz w:val="20"/>
                <w:szCs w:val="20"/>
                <w:color w:val="auto"/>
              </w:rPr>
            </w:pPr>
            <w:r>
              <w:rPr>
                <w:rFonts w:ascii="Arial" w:cs="Arial" w:eastAsia="Arial" w:hAnsi="Arial"/>
                <w:sz w:val="18"/>
                <w:szCs w:val="18"/>
                <w:b w:val="1"/>
                <w:bCs w:val="1"/>
                <w:color w:val="auto"/>
                <w:w w:val="88"/>
              </w:rPr>
              <w:t>Comprehensive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80"/>
              <w:spacing w:after="0" w:line="160" w:lineRule="exact"/>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20"/>
              <w:spacing w:after="0" w:line="160"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Earnings</w:t>
            </w:r>
          </w:p>
        </w:tc>
        <w:tc>
          <w:tcPr>
            <w:tcW w:w="2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8"/>
              </w:rPr>
              <w:t>Income</w:t>
            </w:r>
          </w:p>
        </w:tc>
        <w:tc>
          <w:tcPr>
            <w:tcW w:w="1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Interests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288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960" w:type="dxa"/>
            <w:vAlign w:val="bottom"/>
            <w:gridSpan w:val="2"/>
          </w:tcPr>
          <w:p>
            <w:pPr>
              <w:spacing w:after="0"/>
              <w:rPr>
                <w:sz w:val="24"/>
                <w:szCs w:val="24"/>
                <w:color w:val="auto"/>
              </w:rPr>
            </w:pPr>
          </w:p>
        </w:tc>
        <w:tc>
          <w:tcPr>
            <w:tcW w:w="200" w:type="dxa"/>
            <w:vAlign w:val="bottom"/>
            <w:gridSpan w:val="2"/>
          </w:tcPr>
          <w:p>
            <w:pPr>
              <w:spacing w:after="0"/>
              <w:rPr>
                <w:sz w:val="24"/>
                <w:szCs w:val="24"/>
                <w:color w:val="auto"/>
              </w:rPr>
            </w:pPr>
          </w:p>
        </w:tc>
        <w:tc>
          <w:tcPr>
            <w:tcW w:w="1020" w:type="dxa"/>
            <w:vAlign w:val="bottom"/>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October 29, 2012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60,213</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493,411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41,473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15,900</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34,615</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(4,889)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employee stock option and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Restricted stock awards vesting</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and expense</w:t>
            </w: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Share-based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Repurchase of common stock by</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subsidiary</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(4,735)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April 28, 2013</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496,204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11,416</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080" w:type="dxa"/>
            <w:vAlign w:val="bottom"/>
            <w:gridSpan w:val="7"/>
          </w:tcPr>
          <w:p>
            <w:pPr>
              <w:spacing w:after="0"/>
              <w:rPr>
                <w:sz w:val="20"/>
                <w:szCs w:val="20"/>
                <w:color w:val="auto"/>
              </w:rPr>
            </w:pPr>
            <w:r>
              <w:rPr>
                <w:rFonts w:ascii="Arial" w:cs="Arial" w:eastAsia="Arial" w:hAnsi="Arial"/>
                <w:sz w:val="18"/>
                <w:szCs w:val="18"/>
                <w:b w:val="1"/>
                <w:bCs w:val="1"/>
                <w:color w:val="auto"/>
                <w:w w:val="99"/>
              </w:rPr>
              <w:t>NOTE 4 - PROPERTY, PLANT AND EQUIPMENT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20" w:type="dxa"/>
            <w:vAlign w:val="bottom"/>
            <w:gridSpan w:val="8"/>
          </w:tcPr>
          <w:p>
            <w:pPr>
              <w:ind w:left="320"/>
              <w:spacing w:after="0"/>
              <w:rPr>
                <w:sz w:val="20"/>
                <w:szCs w:val="20"/>
                <w:color w:val="auto"/>
              </w:rPr>
            </w:pPr>
            <w:r>
              <w:rPr>
                <w:rFonts w:ascii="Arial" w:cs="Arial" w:eastAsia="Arial" w:hAnsi="Arial"/>
                <w:sz w:val="18"/>
                <w:szCs w:val="18"/>
                <w:color w:val="auto"/>
              </w:rPr>
              <w:t>Property, plant and equipment consists of the following: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May 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November 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spacing w:after="0"/>
              <w:rPr>
                <w:sz w:val="18"/>
                <w:szCs w:val="18"/>
                <w:color w:val="auto"/>
              </w:rPr>
            </w:pPr>
          </w:p>
        </w:tc>
        <w:tc>
          <w:tcPr>
            <w:tcW w:w="94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0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8,692</w:t>
            </w:r>
          </w:p>
        </w:tc>
        <w:tc>
          <w:tcPr>
            <w:tcW w:w="40" w:type="dxa"/>
            <w:vAlign w:val="bottom"/>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128,766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103,676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1,354,470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1,225,091</w:t>
            </w:r>
          </w:p>
        </w:tc>
        <w:tc>
          <w:tcPr>
            <w:tcW w:w="40" w:type="dxa"/>
            <w:vAlign w:val="bottom"/>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20,309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4,179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Furniture, fixtures and office equipment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12,196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11,546</w:t>
            </w:r>
          </w:p>
        </w:tc>
        <w:tc>
          <w:tcPr>
            <w:tcW w:w="40" w:type="dxa"/>
            <w:vAlign w:val="bottom"/>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67,603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97,319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1,592,141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1,450,503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w w:val="97"/>
              </w:rPr>
              <w:t>Less accumulated depreciation and amortization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1,058,076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1,027,763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534,065</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422,740</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left w:val="single" w:sz="8" w:color="CCEEFF"/>
            </w:tcBorders>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580" w:type="dxa"/>
            <w:vAlign w:val="bottom"/>
            <w:gridSpan w:val="17"/>
          </w:tcPr>
          <w:p>
            <w:pPr>
              <w:ind w:left="320"/>
              <w:spacing w:after="0"/>
              <w:rPr>
                <w:sz w:val="20"/>
                <w:szCs w:val="20"/>
                <w:color w:val="auto"/>
              </w:rPr>
            </w:pPr>
            <w:r>
              <w:rPr>
                <w:rFonts w:ascii="Arial" w:cs="Arial" w:eastAsia="Arial" w:hAnsi="Arial"/>
                <w:sz w:val="18"/>
                <w:szCs w:val="18"/>
                <w:color w:val="auto"/>
                <w:w w:val="95"/>
              </w:rPr>
              <w:t>Equipment under capital leases are included in above property, plant and equipment as follows: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May 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November 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spacing w:after="0"/>
              <w:rPr>
                <w:sz w:val="18"/>
                <w:szCs w:val="18"/>
                <w:color w:val="auto"/>
              </w:rPr>
            </w:pPr>
          </w:p>
        </w:tc>
        <w:tc>
          <w:tcPr>
            <w:tcW w:w="94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0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56,245</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21,327</w:t>
            </w:r>
          </w:p>
        </w:tc>
        <w:tc>
          <w:tcPr>
            <w:tcW w:w="40" w:type="dxa"/>
            <w:vAlign w:val="bottom"/>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34,918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56,245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56,245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left w:val="single" w:sz="8" w:color="CCEEFF"/>
            </w:tcBorders>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7,618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4,932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48,627</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51,313</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left w:val="single" w:sz="8" w:color="CCEEFF"/>
            </w:tcBorders>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Depreciation expense for property, plant and equipment (excluding equipment under capital leases) was $15.7 million and $30.4 million for the three and six month periods ended May 4, 2014, respectively, and $16.1 million and $33.1 million for the three and six month periods ended April 28, 2013, respectively. Amortization expense for equipment under capital leases was $1.4 million and $2.7 million for the three and six month periods ended May 4, 2014, respectively, and $0.5 million and $1.0 million for the three and six month periods ended April 28, 2013,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JOINT VENTURE, TECHNOLOGY LICENSE AND OTHER AGREEMENTS WITH MICRON TECHNOLOGY, INC.</w:t>
      </w:r>
    </w:p>
    <w:p>
      <w:pPr>
        <w:spacing w:after="0" w:line="256"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 May 2006, Photronics and Micron Technology, Inc. ("Micron") entered into the MP Mask joint venture (“MP Mask”), which develops and produces photomasks for leading-edge and advanced next generation semiconductors. At the time of the formation of the joint venture, the Company also entered into both an agreement to license photomask technology developed by Micron and certain supply agreements.</w:t>
      </w:r>
    </w:p>
    <w:p>
      <w:pPr>
        <w:spacing w:after="0" w:line="20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This joint venture is a variable interest entity ("VIE") (as that term is defined in the ASC) because all costs of the joint venture are passed on to the Company and Micron through purchase agreements they have entered into with the joint venture, and it is dependent upon the Company and Micron for any additional cash requirements. On a quarterly basis the Company reassesses whether its interest in MP Mask gives it a controlling financial interest in this VIE. The purpose of this quarterly reassessment is to identify the primary beneficiary (which is defined in the ASC as the entity that consolidates a VIE) of the VIE. As a result of the reassessment in the current quarter, the Company determined that Micron is still the primary beneficiary of the VIE, by virtue of its tie-breaking voting rights within MP Mask’s Board of Managers, thereby giving it the power to direct the activities of MP Mask that most significantly impact its economic performance, including its decision making authority in the ordinary course of business and its purchasing the majority of products produced by the VIE.</w:t>
      </w:r>
    </w:p>
    <w:p>
      <w:pPr>
        <w:spacing w:after="0" w:line="21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$0.9 million and $1.9 million and research and development expenses of $0.2 million and $0.5 million during the three and six month periods ended May 4, 2014. Cost of sales of $3.5 million and $5.4 million and research and development expenses of $0.2 million and $0.5 million were recorded during the three and six month periods ended April 28, 2013. As of May 4, 2014 and November 3, 2013, the Company owed MP Mask $4.9 million and $4.5 million, respectively, and had a receivable from Micron of $6.4 million and $4.9 million, respectively, both primarily related to the aforementioned supply agreements.</w:t>
      </w:r>
    </w:p>
    <w:p>
      <w:pPr>
        <w:spacing w:after="0" w:line="216"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shall pursue its own financing. If MP Mask is unable to obtain its own financing, it may request additional capital contributions from the Company. Should the Company choose not to make a requested contribution to MP Mask, its ownership percentage may be reduced.</w:t>
      </w:r>
    </w:p>
    <w:p>
      <w:pPr>
        <w:spacing w:after="0" w:line="19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Company's investment in the VIE, which represents its maximum exposure to loss, was $93.1 million at May 4, 2014 and November 3, 2013. These amounts are reported in the Company's condensed consolidated balance sheets as "Investment in joint venture". The Company recorded a loss from its investment in the VIE of $0.2 million in the six month period ended April 28, 2013, and recorded no income from its investment in the three month period ended April 28, 2013, or in the three or six month periods ended May 4, 2014. Income from the VIE is included in "Interest and other income (expense), net" in the condensed consolidated statements of income.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NOTE 6 - LONG-TERM BORROWINGS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Long-term borrowings consist of the following: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May 4,</w:t>
            </w:r>
          </w:p>
        </w:tc>
        <w:tc>
          <w:tcPr>
            <w:tcW w:w="120" w:type="dxa"/>
            <w:vAlign w:val="bottom"/>
          </w:tcPr>
          <w:p>
            <w:pPr>
              <w:spacing w:after="0"/>
              <w:rPr>
                <w:sz w:val="24"/>
                <w:szCs w:val="2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November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2.77% capital lease obligation payable through July 2018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5.50% convertible senior notes due in October 2014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3.09% capital lease obligation payable through March 2016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which bore interest at a variable rate, as defined, repaid in December 2013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168,922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158,691</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182,203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December 2013 the Company amended its credit facility, increasing its limit to $50 million with an expansion capacity to $75 million, and extending its term to December 2018. Simultaneously, the Company repaid its $21.3 million term loan. The interest rate spread on borrowings has been reduced and the minimum fixed charge ratio has been replaced with a minimum interest coverage ratio under the terms of the amended credit facility which, in addition, increased the investment baskets (as defined in the credit facility) and continues to include total leverage ratio and minimum unrestricted cash balance covenants. The credit facility bears interest (1.94 percent at May 4, 2014) based on the Company’s total leverage ratio, at LIBOR plus a spread, as defined in the credit facility. As of May 4, 2014, the Company had no outstanding borrowings under the credit facility and $50 million was available for borrowing. The credit facility is secured by substantially all of the Company’s assets located in the United States, as well as common stock the Company owns in certain of its foreign subsidiaries.</w:t>
      </w:r>
    </w:p>
    <w:p>
      <w:pPr>
        <w:spacing w:after="0" w:line="21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August 2013 a $26.4 million principal amount, five year capital lease commenced to fund the purchase of a high-end lithography tool. Payments under the capital lease, which bears interest at 2.77 percent, are $0.5 million per month through July 2018. Under the terms of the lease agreement, the Company must maintain the equipment in good working order, and is subject to a cross default with cross acceleration provision related to certain nonfinancial covenants incorporated in its credit facility. As of May 4, 2014, the total amount payable through the end of the lease term was $24.4 million, of which $23.0 million represented principal and $1.4 million represented interest.</w:t>
      </w:r>
    </w:p>
    <w:p>
      <w:pPr>
        <w:spacing w:after="0" w:line="21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March 2012 the Company, in connection with its purchase of the U.S. nanoFab facility, amended its credit facility (“the credit facility”) to include the addition of a $25 million term loan that was to mature in March 2017. In December 2013, simultaneous with the amendment of its credit facility discussed above, the Company repaid the $21.3 million balance of this term loan that was outstanding at November 3, 2013.</w:t>
      </w:r>
    </w:p>
    <w:p>
      <w:pPr>
        <w:spacing w:after="0" w:line="20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March 2011 the Company issued through a private offering pursuant to Rule 144A under the Securities Act of 1933, as amended, $115 million aggregate principal amount of 3.25% convertible senior notes. The notes mature on April 1, 2016, and note holders may convert each $1,000 principal amount of notes to approximately 96 shares of common stock (equivalent to an initial conversion price of $10.37 per share of common stock) at any time prior to the close of business on the second scheduled trading day immediately preceding April 1, 2016. The conversion rate is subject to adjustment upon the occurrence of certain events, which are described in the indenture dated March 28, 2011. The Company is not required to redeem the notes prior to their maturity date. Interest on the notes accrues in arrears, and is paid semiannually through the notes’ maturity date. The net proceeds of the notes were approximately $110.7 million, which were used, in part, to acquire $35.4 million of the Company’s 5.5% convertible senior notes which were to mature on October 1, 2014, and to repay, in full, its then outstanding obligations under capital leases of $19.8 million.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In September 2009 the Company issued, through a public offering, $57.5 million aggregate principal amount of 5.5% convertible senior notes, which were to mature on October 1, 2014. Under the terms of the offering, the note holders could convert each $1,000 principal amount of notes to approximately 197 shares of common stock (equivalent to an initial conversion price of $5.08 per share of common stock) on, or before, September 30, 2014. The conversion rate is subject to adjustment upon the occurrence of certain events which are described in the indenture dated September 16, 2009. The Company is not required to redeem the notes prior to their maturity. The net proceeds of this offering were approximately $54.9 million, which were used to reduce amounts outstanding under the Company’s credit facility. As discussed above, $35.4 million aggregate principal amount of these notes were acquired by the Company during fiscal 2011. The Company intends to repay the remaining outstanding 5.5% convertible senior notes due in October 2014 with borrowings against its credit facility and, therefore, has classified as long-term the entire $22.1 million of those notes that were outstanding as of May 4, 2014.</w:t>
      </w:r>
    </w:p>
    <w:p>
      <w:pPr>
        <w:spacing w:after="0" w:line="193"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April 2011 the Company entered into a five year, $21.2 million capital lease for manufacturing equipment. Payments under the lease, which bears interest at 3.09 percent, are $0.4 million per month through March 2016. The lease agreement provides that the Company must maintain the equipment in good working order, and includes a cross default with cross acceleration provision related to certain non-financial covenants incorporated in the Company's credit facility agreement. As of May 4, 2014, the total amount payable through the end of the lease term was $9.2 million, of which $8.9 million represented principal and $0.3 million represented interest.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 WARRANTS</w:t>
      </w:r>
    </w:p>
    <w:p>
      <w:pPr>
        <w:spacing w:after="0" w:line="25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September 2009 the Company entered into two warrant agreements with Intel Capital Corporation to purchase a total of 750,000 shares of the Company's common stock. Under one warrant agreement 500,000 shares of the Company's common stock could be purchased at an exercise price of $4.15 per share and under the second warrant agreement 250,000 shares of the Company's common stock could be purchased at an exercise price of $5.08 per share. The warrant agreements were to expire in September 2014. Also in September 2009, the Company and Intel Corporation entered into an agreement to share technical and operations information regarding the development of the Company's products, the capabilities of the Company's photomask manufacturing lines and the alignment of photomask toolsets. Intel Capital Corporation also invested in the Company's convertible debt offering of September 2009. The warrants were recorded at their fair value on their date of grant, which was determined using the Black-Scholes option pricing model. In June 2013 Intel Capital Corporation exercised all of the warrants under both warrant agreements on a net share basis and received 0.3 million shares of the Company’s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256"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The Company has a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The maximum number of shares of common stock approved by the Company’s shareholders to be issued under the Plan was increased from six million shares to nine million shares during the three month period ended May 4, 2014.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Total share-based compensation costs for the three and six month periods ended May 4, 2014, were $1.0 million and $2.1 million, respectively, and $0.9 million and $1.8 million for the three and six month periods ended April 28, 2013, respectively. The Company received cash from option exercises of $0.3 million and $0.7 million for the three and six month periods ended May 4, 2014, respectively, and $0.3 million and $0.4 million for the three and six month periods ended April 28, 2013, respectively. No share-based compensation cost was capitalized as part of an asset and no related income tax benefits were recorded during the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Option awards generally vest in one to four years, and have a ten-year contractual term. All incentive and non-qualified stock option grants have an exercise price equal to the market value of the underlying common stock on the date of grant. The grant date fair value of options are based on closing prices of the Company’s common stock on the dates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 date fair value of options issued during the three and six month periods ended May 4, 2014 and April 28, 2013,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gridSpan w:val="9"/>
          </w:tcPr>
          <w:p>
            <w:pPr>
              <w:jc w:val="center"/>
              <w:ind w:right="48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80" w:type="dxa"/>
            <w:vAlign w:val="bottom"/>
            <w:gridSpan w:val="8"/>
          </w:tcPr>
          <w:p>
            <w:pPr>
              <w:ind w:left="2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480" w:type="dxa"/>
            <w:vAlign w:val="bottom"/>
            <w:tcBorders>
              <w:top w:val="single" w:sz="8" w:color="auto"/>
            </w:tcBorders>
            <w:gridSpan w:val="5"/>
          </w:tcPr>
          <w:p>
            <w:pPr>
              <w:jc w:val="center"/>
              <w:ind w:right="340"/>
              <w:spacing w:after="0" w:line="198" w:lineRule="exact"/>
              <w:rPr>
                <w:sz w:val="20"/>
                <w:szCs w:val="20"/>
                <w:color w:val="auto"/>
              </w:rPr>
            </w:pPr>
            <w:r>
              <w:rPr>
                <w:rFonts w:ascii="Arial" w:cs="Arial" w:eastAsia="Arial" w:hAnsi="Arial"/>
                <w:sz w:val="18"/>
                <w:szCs w:val="18"/>
                <w:b w:val="1"/>
                <w:bCs w:val="1"/>
                <w:color w:val="auto"/>
                <w:w w:val="98"/>
              </w:rPr>
              <w:t>May 4,</w:t>
            </w:r>
          </w:p>
        </w:tc>
        <w:tc>
          <w:tcPr>
            <w:tcW w:w="1000" w:type="dxa"/>
            <w:vAlign w:val="bottom"/>
            <w:tcBorders>
              <w:top w:val="single" w:sz="8" w:color="auto"/>
            </w:tcBorders>
            <w:gridSpan w:val="4"/>
          </w:tcPr>
          <w:p>
            <w:pPr>
              <w:jc w:val="center"/>
              <w:ind w:right="30"/>
              <w:spacing w:after="0" w:line="198" w:lineRule="exact"/>
              <w:rPr>
                <w:sz w:val="20"/>
                <w:szCs w:val="20"/>
                <w:color w:val="auto"/>
              </w:rPr>
            </w:pPr>
            <w:r>
              <w:rPr>
                <w:rFonts w:ascii="Arial" w:cs="Arial" w:eastAsia="Arial" w:hAnsi="Arial"/>
                <w:sz w:val="18"/>
                <w:szCs w:val="18"/>
                <w:b w:val="1"/>
                <w:bCs w:val="1"/>
                <w:color w:val="auto"/>
                <w:w w:val="95"/>
              </w:rPr>
              <w:t>April 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4"/>
          </w:tcPr>
          <w:p>
            <w:pPr>
              <w:ind w:left="40"/>
              <w:spacing w:after="0" w:line="198" w:lineRule="exact"/>
              <w:rPr>
                <w:sz w:val="20"/>
                <w:szCs w:val="20"/>
                <w:color w:val="auto"/>
              </w:rPr>
            </w:pPr>
            <w:r>
              <w:rPr>
                <w:rFonts w:ascii="Arial" w:cs="Arial" w:eastAsia="Arial" w:hAnsi="Arial"/>
                <w:sz w:val="18"/>
                <w:szCs w:val="18"/>
                <w:b w:val="1"/>
                <w:bCs w:val="1"/>
                <w:color w:val="auto"/>
              </w:rPr>
              <w:t>May 4,</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28,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1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w w:val="99"/>
              </w:rPr>
              <w:t>2013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 - 0.7%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4.3 years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 years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 years</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20" w:type="dxa"/>
            <w:vAlign w:val="bottom"/>
            <w:gridSpan w:val="6"/>
          </w:tcPr>
          <w:p>
            <w:pPr>
              <w:ind w:left="320"/>
              <w:spacing w:after="0"/>
              <w:rPr>
                <w:sz w:val="20"/>
                <w:szCs w:val="20"/>
                <w:color w:val="auto"/>
              </w:rPr>
            </w:pPr>
            <w:r>
              <w:rPr>
                <w:rFonts w:ascii="Arial" w:cs="Arial" w:eastAsia="Arial" w:hAnsi="Arial"/>
                <w:sz w:val="18"/>
                <w:szCs w:val="18"/>
                <w:color w:val="auto"/>
                <w:w w:val="91"/>
              </w:rPr>
              <w:t>Information on outstanding and exercisable option awards as of May 4, 2014, is presented below.</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Weighted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8"/>
                <w:szCs w:val="18"/>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8"/>
                <w:szCs w:val="18"/>
                <w:color w:val="auto"/>
              </w:rPr>
            </w:pPr>
          </w:p>
        </w:tc>
        <w:tc>
          <w:tcPr>
            <w:tcW w:w="10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Remaining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9"/>
              </w:rPr>
              <w:t>Exercise</w:t>
            </w:r>
          </w:p>
        </w:tc>
        <w:tc>
          <w:tcPr>
            <w:tcW w:w="60" w:type="dxa"/>
            <w:vAlign w:val="bottom"/>
          </w:tcPr>
          <w:p>
            <w:pPr>
              <w:spacing w:after="0"/>
              <w:rPr>
                <w:sz w:val="18"/>
                <w:szCs w:val="18"/>
                <w:color w:val="auto"/>
              </w:rPr>
            </w:pPr>
          </w:p>
        </w:tc>
        <w:tc>
          <w:tcPr>
            <w:tcW w:w="10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Contractual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ind w:left="2820"/>
              <w:spacing w:after="0"/>
              <w:rPr>
                <w:sz w:val="20"/>
                <w:szCs w:val="20"/>
                <w:color w:val="auto"/>
              </w:rPr>
            </w:pPr>
            <w:r>
              <w:rPr>
                <w:rFonts w:ascii="Arial" w:cs="Arial" w:eastAsia="Arial" w:hAnsi="Arial"/>
                <w:sz w:val="18"/>
                <w:szCs w:val="18"/>
                <w:b w:val="1"/>
                <w:bCs w:val="1"/>
                <w:color w:val="auto"/>
              </w:rPr>
              <w:t>Options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ind w:left="3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9"/>
              </w:rPr>
              <w:t>Life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680" w:type="dxa"/>
            <w:vAlign w:val="bottom"/>
            <w:gridSpan w:val="7"/>
          </w:tcPr>
          <w:p>
            <w:pPr>
              <w:spacing w:after="0"/>
              <w:rPr>
                <w:sz w:val="18"/>
                <w:szCs w:val="18"/>
                <w:color w:val="auto"/>
              </w:rPr>
            </w:pPr>
          </w:p>
        </w:tc>
        <w:tc>
          <w:tcPr>
            <w:tcW w:w="8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180" w:type="dxa"/>
            <w:vAlign w:val="bottom"/>
            <w:gridSpan w:val="2"/>
          </w:tcPr>
          <w:p>
            <w:pPr>
              <w:spacing w:after="0"/>
              <w:rPr>
                <w:sz w:val="18"/>
                <w:szCs w:val="18"/>
                <w:color w:val="auto"/>
              </w:rPr>
            </w:pPr>
          </w:p>
        </w:tc>
        <w:tc>
          <w:tcPr>
            <w:tcW w:w="11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4, 2014</w:t>
            </w:r>
          </w:p>
        </w:tc>
        <w:tc>
          <w:tcPr>
            <w:tcW w:w="1680" w:type="dxa"/>
            <w:vAlign w:val="bottom"/>
            <w:gridSpan w:val="7"/>
            <w:shd w:val="clear" w:color="auto" w:fill="CCEEFF"/>
          </w:tcPr>
          <w:p>
            <w:pPr>
              <w:jc w:val="center"/>
              <w:ind w:left="750"/>
              <w:spacing w:after="0"/>
              <w:rPr>
                <w:sz w:val="20"/>
                <w:szCs w:val="20"/>
                <w:color w:val="auto"/>
              </w:rPr>
            </w:pPr>
            <w:r>
              <w:rPr>
                <w:rFonts w:ascii="Arial" w:cs="Arial" w:eastAsia="Arial" w:hAnsi="Arial"/>
                <w:sz w:val="18"/>
                <w:szCs w:val="18"/>
                <w:color w:val="auto"/>
                <w:w w:val="89"/>
              </w:rPr>
              <w:t>4,501,114</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8.59</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1"/>
              </w:rPr>
              <w:t>5.8 years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680" w:type="dxa"/>
            <w:vAlign w:val="bottom"/>
            <w:gridSpan w:val="7"/>
          </w:tcPr>
          <w:p>
            <w:pPr>
              <w:spacing w:after="0"/>
              <w:rPr>
                <w:sz w:val="18"/>
                <w:szCs w:val="18"/>
                <w:color w:val="auto"/>
              </w:rPr>
            </w:pPr>
          </w:p>
        </w:tc>
        <w:tc>
          <w:tcPr>
            <w:tcW w:w="8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180" w:type="dxa"/>
            <w:vAlign w:val="bottom"/>
            <w:gridSpan w:val="2"/>
          </w:tcPr>
          <w:p>
            <w:pPr>
              <w:spacing w:after="0"/>
              <w:rPr>
                <w:sz w:val="18"/>
                <w:szCs w:val="18"/>
                <w:color w:val="auto"/>
              </w:rPr>
            </w:pPr>
          </w:p>
        </w:tc>
        <w:tc>
          <w:tcPr>
            <w:tcW w:w="11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May 4, 2014</w:t>
            </w:r>
          </w:p>
        </w:tc>
        <w:tc>
          <w:tcPr>
            <w:tcW w:w="1680" w:type="dxa"/>
            <w:vAlign w:val="bottom"/>
            <w:gridSpan w:val="7"/>
            <w:shd w:val="clear" w:color="auto" w:fill="CCEEFF"/>
          </w:tcPr>
          <w:p>
            <w:pPr>
              <w:jc w:val="center"/>
              <w:ind w:left="750"/>
              <w:spacing w:after="0"/>
              <w:rPr>
                <w:sz w:val="20"/>
                <w:szCs w:val="20"/>
                <w:color w:val="auto"/>
              </w:rPr>
            </w:pPr>
            <w:r>
              <w:rPr>
                <w:rFonts w:ascii="Arial" w:cs="Arial" w:eastAsia="Arial" w:hAnsi="Arial"/>
                <w:sz w:val="18"/>
                <w:szCs w:val="18"/>
                <w:color w:val="auto"/>
                <w:w w:val="89"/>
              </w:rPr>
              <w:t>3,021,073</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9.27</w:t>
            </w: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1"/>
              </w:rPr>
              <w:t>4.3 years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8,183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firstLine="324"/>
        <w:spacing w:after="0" w:line="297" w:lineRule="auto"/>
        <w:rPr>
          <w:sz w:val="20"/>
          <w:szCs w:val="20"/>
          <w:color w:val="auto"/>
        </w:rPr>
      </w:pPr>
      <w:r>
        <w:rPr>
          <w:rFonts w:ascii="Arial" w:cs="Arial" w:eastAsia="Arial" w:hAnsi="Arial"/>
          <w:sz w:val="16"/>
          <w:szCs w:val="16"/>
          <w:color w:val="auto"/>
        </w:rPr>
        <w:t>There were no share options granted during the three month period ended May 4, 2014, and there were 20,000 share options granted during the three month period ended April 28, 2013, with a grant date fair value of $4.07 per share. There were 612,500 share options granted during the six month period ended May 4, 2014, with a weighted-average grant date fair value of $4.45 per share and 584,000 share options granted during the six month period ended April 28, 2013, with a weighted-average grant date fair value of $3.99 per share. As of May 4, 2014, the total unrecognized compensation cost related to unvested option awards was approximately $5.0 million. That cost is expected to be recognized over a weighted-average amortization period of 2.6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Company periodically grants restricted stock awards. The restrictions on these awards lapse over a service period that has ranged from less-than-one to eight years. No restricted stock awards were granted during the three month period ended May 4, 2014, and 111,667 restricted stock awards were issued during the six month period ended May 4, 2014, with a weighted-average grant date fair value of $8.86 per share. There were 5,000 restricted stock awards granted during the three month period ended April 28, 2013, with a weighted average grant date fair value of $6.43 per share, and 209,500 restricted stock awards granted during the six month period ended April 28, 2013, with a weighted-average grant date fair value of $5.48 per share. As of May 4, 2014, the total compensation cost not yet recognized related to unvested restricted stock awards was approximately $1.5 million. That cost is expected to be recognized over a weighted-average amortization period of 2.0 years. As of May 4, 2014, there were 278,419 shares of restricted stock outstanding.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56"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effective income tax rates for the three month periods ended May 4, 2014 and April 28, 2013, differ from the rates computed by applying the U.S. statutory rate of 35% to income before income taxes for the periods primarily due to foreign tax rate differences, as well as the existence of valuation allowances in jurisdictions with historical and continuing tax losses.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Unrecognized tax benefits related to uncertain tax positions were $7.9 million at May 4, 2014 and $4.9 million at November 3, 2013, of which $4.7 million and $1.7 million, respectively, would favorably impact the Company’s effective tax rate if recognized. The current period increase is primarily due to uncertain tax positions related to the acquisition of DPTT (as discussed in Note 2), net of the recognition of a previously unrecognized benefit as a result of a lapse of an assessment period. Accrued interest and penalties related to unrecognized tax benefits was $0.1 million both at May 4, 2014 and November 3, 2013. As of May 4, 2014, the total amount of unrecognized tax benefits is not expected to significantly increase or decrease in the next twelve months.</w:t>
      </w:r>
    </w:p>
    <w:p>
      <w:pPr>
        <w:spacing w:after="0" w:line="18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During the three month period ended May 4, 2014, PSMC, in conjunction with the acquisition of DPTT, made a one-time remittance of $35.1 million of earnings previously considered to be permanently reinvested, as a result of ownership interest provisions in the acquisition agreements. The balance of the entity’s undistributed earnings remains indefinitely reinvested.</w:t>
      </w:r>
    </w:p>
    <w:p>
      <w:pPr>
        <w:spacing w:after="0" w:line="208"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a result of the acquisition of DPTT(as discussed in Note 2), the Company had an increase in available foreign tax operating loss carryforwards of approximately $57.6 million that expire between 2015 and 2018, the benefits of which are anticipated to be fully realized.</w:t>
      </w:r>
    </w:p>
    <w:p>
      <w:pPr>
        <w:spacing w:after="0" w:line="19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PKLT, the Company's FPD manufacturing facility in Taiwan, is accorded a tax holiday which commenced in 2012 and expires in 2017. The tax holiday had no dollar or per share effect in the three and six months ended May 4, 2014 and April 28,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EARNINGS PER SHARE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calculation of basic and diluted earnings per share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400" w:type="dxa"/>
            <w:vAlign w:val="bottom"/>
            <w:gridSpan w:val="6"/>
          </w:tcPr>
          <w:p>
            <w:pPr>
              <w:ind w:left="3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4,</w:t>
            </w: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28,</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May 4,</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on convertible notes, net of related tax effects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Earnings for diluted earnings per share</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17,082</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4,863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20,617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w w:val="93"/>
              </w:rPr>
              <w:t>Weighted-average common shares used for basic earnings per share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61,372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60,493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61,286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dilutive securities: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80"/>
              <w:spacing w:after="0"/>
              <w:rPr>
                <w:sz w:val="20"/>
                <w:szCs w:val="20"/>
                <w:color w:val="auto"/>
              </w:rPr>
            </w:pPr>
            <w:r>
              <w:rPr>
                <w:rFonts w:ascii="Arial" w:cs="Arial" w:eastAsia="Arial" w:hAnsi="Arial"/>
                <w:sz w:val="18"/>
                <w:szCs w:val="18"/>
                <w:color w:val="auto"/>
              </w:rPr>
              <w:t>Convertible notes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15,423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payment awards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80"/>
              <w:spacing w:after="0"/>
              <w:rPr>
                <w:sz w:val="20"/>
                <w:szCs w:val="20"/>
                <w:color w:val="auto"/>
              </w:rPr>
            </w:pPr>
            <w:r>
              <w:rPr>
                <w:rFonts w:ascii="Arial" w:cs="Arial" w:eastAsia="Arial" w:hAnsi="Arial"/>
                <w:sz w:val="18"/>
                <w:szCs w:val="18"/>
                <w:color w:val="auto"/>
              </w:rPr>
              <w:t>Common stock warrants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Potentially dilutive common shares</w:t>
            </w:r>
          </w:p>
        </w:tc>
        <w:tc>
          <w:tcPr>
            <w:tcW w:w="7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16,333</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w w:val="94"/>
              </w:rPr>
              <w:t>Weighted-average common shares used for diluted earnings per share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77,632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61,298</w:t>
            </w:r>
          </w:p>
        </w:tc>
        <w:tc>
          <w:tcPr>
            <w:tcW w:w="0" w:type="dxa"/>
            <w:vAlign w:val="bottom"/>
          </w:tcPr>
          <w:p>
            <w:pPr>
              <w:spacing w:after="0"/>
              <w:rPr>
                <w:sz w:val="1"/>
                <w:szCs w:val="1"/>
                <w:color w:val="auto"/>
              </w:rPr>
            </w:pPr>
          </w:p>
        </w:tc>
      </w:tr>
      <w:tr>
        <w:trPr>
          <w:trHeight w:val="21"/>
        </w:trPr>
        <w:tc>
          <w:tcPr>
            <w:tcW w:w="5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0.25</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600" w:type="dxa"/>
            <w:vAlign w:val="bottom"/>
            <w:gridSpan w:val="4"/>
          </w:tcPr>
          <w:p>
            <w:pPr>
              <w:ind w:lef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400" w:type="dxa"/>
            <w:vAlign w:val="bottom"/>
            <w:tcBorders>
              <w:top w:val="single" w:sz="8" w:color="auto"/>
            </w:tcBorders>
            <w:gridSpan w:val="2"/>
          </w:tcPr>
          <w:p>
            <w:pPr>
              <w:ind w:left="300"/>
              <w:spacing w:after="0" w:line="198" w:lineRule="exact"/>
              <w:rPr>
                <w:sz w:val="20"/>
                <w:szCs w:val="20"/>
                <w:color w:val="auto"/>
              </w:rPr>
            </w:pPr>
            <w:r>
              <w:rPr>
                <w:rFonts w:ascii="Arial" w:cs="Arial" w:eastAsia="Arial" w:hAnsi="Arial"/>
                <w:sz w:val="18"/>
                <w:szCs w:val="18"/>
                <w:b w:val="1"/>
                <w:bCs w:val="1"/>
                <w:color w:val="auto"/>
              </w:rPr>
              <w:t>May 4,</w:t>
            </w:r>
          </w:p>
        </w:tc>
        <w:tc>
          <w:tcPr>
            <w:tcW w:w="114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28,</w:t>
            </w:r>
          </w:p>
        </w:tc>
        <w:tc>
          <w:tcPr>
            <w:tcW w:w="20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May 4,</w:t>
            </w:r>
          </w:p>
        </w:tc>
        <w:tc>
          <w:tcPr>
            <w:tcW w:w="114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Convertible notes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15,423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potentially dilutive shares excluded</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18,324</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CHANGES IN ACCUMULATED OTHER COMPREHENSIVE INCOME BY COMPONENT</w:t>
      </w:r>
    </w:p>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tables set forth the changes in the Company's accumulated other comprehensive income by component (net of tax of $0) for the three and six month periods ended May 4, 2014 and April 28,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8"/>
                <w:szCs w:val="18"/>
                <w:b w:val="1"/>
                <w:bCs w:val="1"/>
                <w:color w:val="auto"/>
                <w:w w:val="92"/>
              </w:rPr>
              <w:t>Three Months Ended May 4, 2014</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8"/>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Flow Hedge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3, 2014</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4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allocated to noncontrolling interests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3"/>
              </w:rPr>
              <w:t>Less: other comprehensive income attributable to noncontrolling interests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May 4, 2014</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20" w:type="dxa"/>
            <w:vAlign w:val="bottom"/>
          </w:tcPr>
          <w:p>
            <w:pPr>
              <w:jc w:val="right"/>
              <w:ind w:right="39"/>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0"/>
          </w:tcPr>
          <w:p>
            <w:pPr>
              <w:jc w:val="right"/>
              <w:ind w:right="120"/>
              <w:spacing w:after="0"/>
              <w:rPr>
                <w:sz w:val="20"/>
                <w:szCs w:val="20"/>
                <w:color w:val="auto"/>
              </w:rPr>
            </w:pPr>
            <w:r>
              <w:rPr>
                <w:rFonts w:ascii="Arial" w:cs="Arial" w:eastAsia="Arial" w:hAnsi="Arial"/>
                <w:sz w:val="18"/>
                <w:szCs w:val="18"/>
                <w:b w:val="1"/>
                <w:bCs w:val="1"/>
                <w:color w:val="auto"/>
              </w:rPr>
              <w:t>Three Months Ended April 28, 2013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5"/>
              </w:rPr>
              <w:t>Foreign Currency</w:t>
            </w:r>
          </w:p>
        </w:tc>
        <w:tc>
          <w:tcPr>
            <w:tcW w:w="120" w:type="dxa"/>
            <w:vAlign w:val="bottom"/>
          </w:tcPr>
          <w:p>
            <w:pPr>
              <w:spacing w:after="0"/>
              <w:rPr>
                <w:sz w:val="17"/>
                <w:szCs w:val="17"/>
                <w:color w:val="auto"/>
              </w:rPr>
            </w:pPr>
          </w:p>
        </w:tc>
        <w:tc>
          <w:tcPr>
            <w:tcW w:w="126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Translation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of Cash</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Flow Hedge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28, 2013</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4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Less: other comprehensive loss attributable to noncontrolling interests</w:t>
            </w: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4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Balance at April 28, 2013</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12,710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(626)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(668)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8"/>
                <w:szCs w:val="18"/>
                <w:b w:val="1"/>
                <w:bCs w:val="1"/>
                <w:color w:val="auto"/>
                <w:w w:val="92"/>
              </w:rPr>
              <w:t>Six Months Ended May 4, 2014</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5"/>
              </w:rPr>
              <w:t>Foreign Currency</w:t>
            </w:r>
          </w:p>
        </w:tc>
        <w:tc>
          <w:tcPr>
            <w:tcW w:w="120" w:type="dxa"/>
            <w:vAlign w:val="bottom"/>
          </w:tcPr>
          <w:p>
            <w:pPr>
              <w:spacing w:after="0"/>
              <w:rPr>
                <w:sz w:val="17"/>
                <w:szCs w:val="17"/>
                <w:color w:val="auto"/>
              </w:rPr>
            </w:pPr>
          </w:p>
        </w:tc>
        <w:tc>
          <w:tcPr>
            <w:tcW w:w="126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Translation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Cash</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Flow Hedge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November 4, 2013</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Other comprehensive income before reclassifications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Less: other comprehensive income attributable to noncontrolling interests</w:t>
            </w: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Other comprehensive income allocated to noncontrolling interests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Redemption of common stock by subsidiary</w:t>
            </w: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Balance at May 4, 2014</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30,928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40" w:type="dxa"/>
            <w:vAlign w:val="bottom"/>
            <w:vMerge w:val="restart"/>
          </w:tcPr>
          <w:p>
            <w:pPr>
              <w:ind w:left="160"/>
              <w:spacing w:after="0"/>
              <w:rPr>
                <w:sz w:val="20"/>
                <w:szCs w:val="20"/>
                <w:color w:val="auto"/>
              </w:rPr>
            </w:pPr>
            <w:r>
              <w:rPr>
                <w:rFonts w:ascii="Arial" w:cs="Arial" w:eastAsia="Arial" w:hAnsi="Arial"/>
                <w:sz w:val="14"/>
                <w:szCs w:val="14"/>
                <w:color w:val="auto"/>
              </w:rPr>
              <w:t>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8"/>
                <w:szCs w:val="18"/>
                <w:b w:val="1"/>
                <w:bCs w:val="1"/>
                <w:color w:val="auto"/>
                <w:w w:val="93"/>
              </w:rPr>
              <w:t>Six Months Ended April 28, 2013</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8"/>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Flow Hedge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29, 2012</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17,241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4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Less: other comprehensive loss attributable to noncontrolling interests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Repurchase of common stock by subsidiary</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April 28, 2013</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The amortization of the cash flow hedge is included in cost of sales in the condensed consolidated statements of income for all periods presented.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GEOGRAPHIC INFORMATION</w:t>
      </w:r>
    </w:p>
    <w:p>
      <w:pPr>
        <w:spacing w:after="0" w:line="256"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Company operates as a single operating segment as a manufacturer of photomasks, which are high precision quartz plates containing microscopic images of electronic circuits for use in the fabrication of ICs and FPDs. Geographic net sales are based primarily on where the Company's manufacturing facility is located.</w:t>
      </w:r>
    </w:p>
    <w:p>
      <w:pPr>
        <w:spacing w:after="0" w:line="20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Company's net sales by geographic area and for ICs and FPDs for the three and six month periods ended May 4, 2014 and April 28, 2013, and its long-lived assets by geographic area as of May 4, 2014 and November 3, 2013, are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ind w:left="36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60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98"/>
              </w:rPr>
              <w:t>May 4,</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5"/>
              </w:rPr>
              <w:t>April 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4"/>
              </w:rPr>
              <w:t>May 4,</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28,</w:t>
            </w:r>
          </w:p>
        </w:tc>
        <w:tc>
          <w:tcPr>
            <w:tcW w:w="80" w:type="dxa"/>
            <w:vAlign w:val="bottom"/>
          </w:tcPr>
          <w:p>
            <w:pPr>
              <w:spacing w:after="0"/>
              <w:rPr>
                <w:sz w:val="17"/>
                <w:szCs w:val="17"/>
                <w:color w:val="auto"/>
              </w:rPr>
            </w:pPr>
          </w:p>
        </w:tc>
      </w:tr>
      <w:tr>
        <w:trPr>
          <w:trHeight w:val="241"/>
        </w:trPr>
        <w:tc>
          <w:tcPr>
            <w:tcW w:w="6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27,425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64,941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55,819</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Korea</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32,790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32,332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69,607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66,304</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25,555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65,265</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10,241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20,117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17,988</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1,143</w:t>
            </w:r>
          </w:p>
        </w:tc>
      </w:tr>
      <w:tr>
        <w:trPr>
          <w:trHeight w:val="27"/>
        </w:trPr>
        <w:tc>
          <w:tcPr>
            <w:tcW w:w="60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60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104,882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106,680</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206,424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206,519</w:t>
            </w:r>
          </w:p>
        </w:tc>
      </w:tr>
      <w:tr>
        <w:trPr>
          <w:trHeight w:val="21"/>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IC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76,547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82,164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152,760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156,588</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FPD</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49,931</w:t>
            </w:r>
          </w:p>
        </w:tc>
      </w:tr>
      <w:tr>
        <w:trPr>
          <w:trHeight w:val="27"/>
        </w:trPr>
        <w:tc>
          <w:tcPr>
            <w:tcW w:w="60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60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104,882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106,680</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206,424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206,519</w:t>
            </w:r>
          </w:p>
        </w:tc>
      </w:tr>
      <w:tr>
        <w:trPr>
          <w:trHeight w:val="21"/>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6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6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98"/>
              </w:rPr>
              <w:t>May 4,</w:t>
            </w: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November 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6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Korea</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172,030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153,878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0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534,065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422,740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Company is typically impacted during its first fiscal quarter by the North American and European holiday periods, as some customers reduce their effective workdays and orders during these periods. Additionally, the Company can be impacted during its first or second quarter by the Asian New Year holiday period, which may also reduce customer orders.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w:t>
      </w:r>
    </w:p>
    <w:p>
      <w:pPr>
        <w:spacing w:after="0" w:line="256"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securities; Level 2, defined as inputs other than Level 1 that are observable, either directly or indirectly; and Level 3, defined as unobservable inputs that are not corroborated by market data.</w:t>
      </w:r>
    </w:p>
    <w:p>
      <w:pPr>
        <w:spacing w:after="0" w:line="198"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The Company did not have any assets or liabilities measured at fair value on a recurring basis at May 4, 2014 or November 3, 2013. During the three month period ended May 4, 2014, the Company measured and recorded the net assets it acquired in its subsidiary’s acquisition of DNP Photomask Technology Taiwan Co., Ltd. at fair value. See Note 2 for further information.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52" w:lineRule="exact"/>
        <w:rPr>
          <w:sz w:val="20"/>
          <w:szCs w:val="20"/>
          <w:color w:val="auto"/>
        </w:rPr>
      </w:pPr>
    </w:p>
    <w:p>
      <w:pPr>
        <w:ind w:right="340" w:firstLine="324"/>
        <w:spacing w:after="0" w:line="302" w:lineRule="auto"/>
        <w:rPr>
          <w:sz w:val="20"/>
          <w:szCs w:val="20"/>
          <w:color w:val="auto"/>
        </w:rPr>
      </w:pPr>
      <w:r>
        <w:rPr>
          <w:rFonts w:ascii="Arial" w:cs="Arial" w:eastAsia="Arial" w:hAnsi="Arial"/>
          <w:sz w:val="16"/>
          <w:szCs w:val="16"/>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variable rate term loan that was repaid in December 2013 is a Level 2 measurement and approximates its carrying value due to the variable nature of the underlying interest rates. The fair value of the Company's convertible senior notes is a Level 2 measurement that is determined using recent bid prices.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fair and carrying values of the Company's convertible senior notes at May 4, 2014 and November 3,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3"/>
          </w:tcPr>
          <w:p>
            <w:pPr>
              <w:ind w:left="660"/>
              <w:spacing w:after="0"/>
              <w:rPr>
                <w:sz w:val="20"/>
                <w:szCs w:val="20"/>
                <w:color w:val="auto"/>
              </w:rPr>
            </w:pPr>
            <w:r>
              <w:rPr>
                <w:rFonts w:ascii="Arial" w:cs="Arial" w:eastAsia="Arial" w:hAnsi="Arial"/>
                <w:sz w:val="18"/>
                <w:szCs w:val="18"/>
                <w:b w:val="1"/>
                <w:bCs w:val="1"/>
                <w:color w:val="auto"/>
              </w:rPr>
              <w:t>May 4, 2014</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ind w:left="440"/>
              <w:spacing w:after="0"/>
              <w:rPr>
                <w:sz w:val="20"/>
                <w:szCs w:val="20"/>
                <w:color w:val="auto"/>
              </w:rPr>
            </w:pPr>
            <w:r>
              <w:rPr>
                <w:rFonts w:ascii="Arial" w:cs="Arial" w:eastAsia="Arial" w:hAnsi="Arial"/>
                <w:sz w:val="18"/>
                <w:szCs w:val="18"/>
                <w:b w:val="1"/>
                <w:bCs w:val="1"/>
                <w:color w:val="auto"/>
              </w:rPr>
              <w:t>November 3, 2013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20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127,719</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130,330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5.5% convertible senior notes</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38,810</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22,054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37,567</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SUBSIDIARY SHARE REPURCHASE AND TENDER OFFER</w:t>
      </w:r>
    </w:p>
    <w:p>
      <w:pPr>
        <w:spacing w:after="0" w:line="256"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Since the second quarter of fiscal 2011, the board of directors of PSMC, a subsidiary of the Company based in Taiwan, has authorized several share repurchase programs for PSMC to purchase for retirement shares of its outstanding common stock. The last of these repurchase programs concluded in the first fiscal quarter of 2013 in which PSMC purchased 9.2 million shares at a cost of $4.2 million. These repurchase programs increased the Company's ownership in PSMC from 72.09% at October 28, 2012, to 75.11% at January 27, 2013. During fiscal 2013 the Company increased its ownership interest in PSMC, primarily through a tender offer, to 98.63% by purchasing 51.4 million shares at a cost of $28.1 million. In January 2014 the Company increased its ownership percentage in PSMC to 100% at a cost of $1.7 million for the then remaining 3.0 million shares that were not owned by the Company.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April 2014 DPTT merged into PSMC. See Note 2 for further discussion relating to the DPTT Acquisition.</w:t>
      </w:r>
    </w:p>
    <w:p>
      <w:pPr>
        <w:spacing w:after="0" w:line="25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table below presents the effect of the change in the Company’s ownership interest in PDMC on the Company's equity for the three and six month periods ended May 4, 2014, (3.0 million shares of common stock acquired and 112.9 million shares of common stock issued, respectively) and the six month period ended April 28, 2013 (9.2 million shares of PSMC common stock acquired).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4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May 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28,</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8"/>
              </w:rPr>
              <w:t>May 4,</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17,533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Photronics, Inc.'s additional paid-in capital</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accumulated other comprehensive income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Change from net income attributable to Photronics, Inc. shareholders due to</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2"/>
              </w:rPr>
              <w:t>issuance of shares of PDMC and transfers to and from noncontrolling interest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9,733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11,750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7,739</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900" w:type="dxa"/>
            <w:vAlign w:val="bottom"/>
            <w:tcBorders>
              <w:top w:val="single" w:sz="8" w:color="CCEEFF"/>
            </w:tcBorders>
          </w:tcPr>
          <w:p>
            <w:pPr>
              <w:jc w:val="right"/>
              <w:ind w:right="53"/>
              <w:spacing w:after="0"/>
              <w:rPr>
                <w:sz w:val="20"/>
                <w:szCs w:val="20"/>
                <w:color w:val="auto"/>
              </w:rPr>
            </w:pPr>
            <w:r>
              <w:rPr>
                <w:rFonts w:ascii="Arial" w:cs="Arial" w:eastAsia="Arial" w:hAnsi="Arial"/>
                <w:sz w:val="14"/>
                <w:szCs w:val="14"/>
                <w:color w:val="auto"/>
              </w:rPr>
              <w:t>22</w:t>
            </w:r>
          </w:p>
        </w:tc>
        <w:tc>
          <w:tcPr>
            <w:tcW w:w="1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May 4, 2014, the Company had commitments outstanding for capital expenditures of approximately $74 million.</w:t>
      </w:r>
    </w:p>
    <w:p>
      <w:pPr>
        <w:spacing w:after="0" w:line="25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its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RECENT ACCOUNTING PRONOUNCEMENTS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There have been no recent accounting pronouncements whose adoption would affect the Company’s financial statements or related disclosures.</w:t>
      </w:r>
    </w:p>
    <w:p>
      <w:pPr>
        <w:spacing w:after="0" w:line="26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2013 year), that may cause actual results to materially differ from these expectations. On April 4, 2014, DNP Photomask Technology Taiwan Co., Ltd. (“DPTT”), a wholly owned subsidiary of Dai Nippon Printing Co., Ltd. (“DNP”), merged into Photronics Semiconductor Mask Corporation (“PSMC”), a wholly owned subsidiary of Photronics. All of the assets and liabilities of DPTT existing prior to the merger were assumed by the renamed surviving entity of the merger, Photronics DNP Mask Corporation (“PDMC”). Photronics and DNP own 50.01 percent and 49.99 percent of PDMC, respectively, and the results of DPTT are included in the condensed consolidated financial statements since the date of the acquisition. Throughout this report the merger of DPTT into PSMC is referred to as the “DPTT Acquisition.”</w:t>
      </w:r>
    </w:p>
    <w:p>
      <w:pPr>
        <w:spacing w:after="0" w:line="19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0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global semiconductor industry, including mobile displays,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 believes its ability to remain successful in these environments is dependent upon achieving its goals of being a service and technology leader and efficient solutions supplier, which it believes should enable it to continually reinvest in its global infrastructure.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May 4, 2014 and April 28, 2013</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selected operating information expressed as a percentage of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78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7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May 4,</w:t>
            </w:r>
          </w:p>
        </w:tc>
        <w:tc>
          <w:tcPr>
            <w:tcW w:w="112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28,</w:t>
            </w:r>
          </w:p>
        </w:tc>
        <w:tc>
          <w:tcPr>
            <w:tcW w:w="28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May 4,</w:t>
            </w:r>
          </w:p>
        </w:tc>
        <w:tc>
          <w:tcPr>
            <w:tcW w:w="114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28,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Cost of sales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(78.8)</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(76.8)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(78.2)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Gain on acquisition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Borders>
              <w:left w:val="single" w:sz="8" w:color="CCEEFF"/>
            </w:tcBorders>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income tax provision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tax provision</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Note: All of the following tabular comparisons, unless otherwise indicated, are for the three months ended May 4, 2014 (Q2-14) and April 28, 2013 (Q2-13) and for the six months ended May 4, 2014 (YTD-14) and April 28, 2013 (YTD-13), in millions of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ind w:left="840"/>
              <w:spacing w:after="0"/>
              <w:rPr>
                <w:sz w:val="20"/>
                <w:szCs w:val="20"/>
                <w:color w:val="auto"/>
              </w:rPr>
            </w:pPr>
            <w:r>
              <w:rPr>
                <w:rFonts w:ascii="Arial" w:cs="Arial" w:eastAsia="Arial" w:hAnsi="Arial"/>
                <w:sz w:val="18"/>
                <w:szCs w:val="18"/>
                <w:b w:val="1"/>
                <w:bCs w:val="1"/>
                <w:color w:val="auto"/>
                <w:w w:val="97"/>
              </w:rPr>
              <w:t>Three Months Ended</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3"/>
              </w:rPr>
              <w:t>Six Months Ended</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ind w:left="10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Q2-14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Q2-13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YTD-13</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FPD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49.9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net sales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106.7</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(1.7)%</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206.4</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206.5</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Net sales for Q2-14 decreased 1.7% to $104.9 million as compared to $106.7 million for Q2-13. The decrease was primarily a result of reduced high-end IC sales, which was offset in part by increased high-end FPD sales. Total mainstream sales increased slightly in Q2-14 as compared to Q2-13. Revenues attributable to high-end products decreased by $2.1 million to $37.8 million in Q2-14 as compared to $39.9 million in Q2-13. High-end photomask applications include mask sets for 45 nanometer and below for IC products, and G8 and above and active matrix organic light-emitting diode (AMOLED) display screen technologies for FPD products. By geographic area, net sales in Q2-14 as compared to Q2-13 increased (decreased) by $0.5 million or 1.4% in Korea, $(11.5) million or (31.0)% in the United States, $8.3 million or 30.4% in Taiwan and $0.9 million or 9.1% in Europe. The increase in sales in Taiwan was due in part to the acquisition of DPTT as discussed in Note 2 to the condensed consolidated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Net sales for YTD-14 decreased slightly to $206.4 million as compared to $206.5 million for YTD-13. Revenues attributable to high-end products decreased by $5.1 million to $70.0 million in YTD-14 as compared to $75.1 million in YTD-13, as reduced high-end IC sales were offset in part by increased high-end FPD sales.</w:t>
      </w:r>
    </w:p>
    <w:p>
      <w:pPr>
        <w:spacing w:after="0" w:line="20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Company’s quarterly revenues can be affected by the seasonal purchasing of its customers. Demand for the Company's products is typically negatively impacted during the first six months of its fiscal year by the North American, European and Asian holiday periods, as some customers reduce their effective workdays and orders during this period.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Three Months Ended</w:t>
            </w:r>
          </w:p>
        </w:tc>
        <w:tc>
          <w:tcPr>
            <w:tcW w:w="9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0"/>
              </w:rPr>
              <w:t>Six Months Ended</w:t>
            </w: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Q2-14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Q2-13</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YTD-14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YTD-13</w:t>
            </w:r>
          </w:p>
        </w:tc>
        <w:tc>
          <w:tcPr>
            <w:tcW w:w="26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5"/>
              </w:rPr>
              <w:t>22.2</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  $</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45.1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45.9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20" w:type="dxa"/>
            <w:vAlign w:val="bottom"/>
          </w:tcPr>
          <w:p>
            <w:pPr>
              <w:spacing w:after="0"/>
              <w:rPr>
                <w:sz w:val="20"/>
                <w:szCs w:val="20"/>
                <w:color w:val="auto"/>
              </w:rPr>
            </w:pPr>
          </w:p>
        </w:tc>
        <w:tc>
          <w:tcPr>
            <w:tcW w:w="1140" w:type="dxa"/>
            <w:vAlign w:val="bottom"/>
            <w:gridSpan w:val="3"/>
          </w:tcPr>
          <w:p>
            <w:pPr>
              <w:ind w:left="560"/>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20"/>
                <w:szCs w:val="20"/>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ind w:left="620"/>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20"/>
                <w:szCs w:val="20"/>
                <w:color w:val="auto"/>
              </w:rPr>
            </w:pP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22.2%</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Gross margin percentage decreased to 21.2% in Q2-14 from 23.2% in Q2-13 as a result of decreased sales in Q2-14 as compared to Q2-13, and increased manufacturing costs associated with the acquisition of DPTT as discussed in Note 2 to the condensed consolidated financial statements. Gross margin decreased slightly in YTD-14 as compared to YTD-13. The Company operates in a high fixed cost environment and, to the extent that the Company's revenues and utilization increase or decrease, gross margin will generally be positively or negatively impacted.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8"/>
              </w:rPr>
              <w:t>Three Months Ended</w:t>
            </w:r>
          </w:p>
        </w:tc>
        <w:tc>
          <w:tcPr>
            <w:tcW w:w="9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Six Months Ended</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ind w:left="26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Q2-14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ind w:left="140"/>
              <w:spacing w:after="0"/>
              <w:rPr>
                <w:sz w:val="20"/>
                <w:szCs w:val="20"/>
                <w:color w:val="auto"/>
              </w:rPr>
            </w:pPr>
            <w:r>
              <w:rPr>
                <w:rFonts w:ascii="Arial" w:cs="Arial" w:eastAsia="Arial" w:hAnsi="Arial"/>
                <w:sz w:val="18"/>
                <w:szCs w:val="18"/>
                <w:b w:val="1"/>
                <w:bCs w:val="1"/>
                <w:color w:val="auto"/>
              </w:rPr>
              <w:t>Q2-13</w:t>
            </w:r>
          </w:p>
        </w:tc>
        <w:tc>
          <w:tcPr>
            <w:tcW w:w="1420" w:type="dxa"/>
            <w:vAlign w:val="bottom"/>
            <w:gridSpan w:val="3"/>
          </w:tcPr>
          <w:p>
            <w:pPr>
              <w:ind w:left="120"/>
              <w:spacing w:after="0"/>
              <w:rPr>
                <w:sz w:val="20"/>
                <w:szCs w:val="20"/>
                <w:color w:val="auto"/>
              </w:rPr>
            </w:pPr>
            <w:r>
              <w:rPr>
                <w:rFonts w:ascii="Arial" w:cs="Arial" w:eastAsia="Arial" w:hAnsi="Arial"/>
                <w:sz w:val="18"/>
                <w:szCs w:val="18"/>
                <w:b w:val="1"/>
                <w:bCs w:val="1"/>
                <w:color w:val="auto"/>
              </w:rPr>
              <w:t>Change</w:t>
            </w: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YTD-14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YTD-13</w:t>
            </w: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5"/>
              </w:rPr>
              <w:t>13.4</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10.4%  $</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25.7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23.2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40" w:type="dxa"/>
            <w:vAlign w:val="bottom"/>
          </w:tcPr>
          <w:p>
            <w:pPr>
              <w:spacing w:after="0"/>
              <w:rPr>
                <w:sz w:val="20"/>
                <w:szCs w:val="20"/>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20"/>
                <w:szCs w:val="20"/>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ind w:left="64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11.2%</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Selling, general and administrative expenses were $13.4 million in Q2-14 and $12.2 million in Q2-13, and were $25.7 million in YTD-14 and $23.2 million in YTD-13. These increases were primarily the result of expenses related to the acquisition of DPTT of $2.0 million in Q2-14 and $2.5 million in YTD-14, as discussed in Note 2 to the condensed consolidated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8"/>
              </w:rPr>
              <w:t>Three Months Ended</w:t>
            </w:r>
          </w:p>
        </w:tc>
        <w:tc>
          <w:tcPr>
            <w:tcW w:w="9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Six Months Ended</w:t>
            </w: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ind w:left="26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Q2-14</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Q2-13</w:t>
            </w:r>
          </w:p>
        </w:tc>
        <w:tc>
          <w:tcPr>
            <w:tcW w:w="2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YTD-13</w:t>
            </w:r>
          </w:p>
        </w:tc>
        <w:tc>
          <w:tcPr>
            <w:tcW w:w="28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spacing w:after="0"/>
              <w:rPr>
                <w:sz w:val="18"/>
                <w:szCs w:val="18"/>
                <w:color w:val="auto"/>
              </w:rPr>
            </w:pPr>
          </w:p>
        </w:tc>
        <w:tc>
          <w:tcPr>
            <w:tcW w:w="102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5.9</w:t>
            </w:r>
          </w:p>
        </w:tc>
        <w:tc>
          <w:tcPr>
            <w:tcW w:w="11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30.4%  $</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9.4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880" w:type="dxa"/>
            <w:vAlign w:val="bottom"/>
          </w:tcPr>
          <w:p>
            <w:pPr>
              <w:spacing w:after="0"/>
              <w:rPr>
                <w:sz w:val="20"/>
                <w:szCs w:val="20"/>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5.7%</w:t>
            </w:r>
          </w:p>
        </w:tc>
        <w:tc>
          <w:tcPr>
            <w:tcW w:w="86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0"/>
                <w:szCs w:val="20"/>
                <w:color w:val="auto"/>
              </w:rPr>
            </w:pP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4.6%</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Research and development expenses consist primarily of global development efforts related to high-end process technologies for advanced sub-wavelength reticle solutions for IC technologies. Research and development expenses increased by $1.3 million to $5.9 million in Q2-14, as compared to $4.6 million in Q2-13, and by $1.5 million to $10.9 million in YTD-14, as compared to $9.4 million in YTD-13. The increase in research and development expenses in Q2-14 and YTD-14 as compared to the same periods in the prior year was primarily due to increased activities at advanced nanometer technology nodes for IC photomasks.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49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9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Q2-14</w:t>
            </w: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Q2-13</w:t>
            </w: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acquisition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(1.9)</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(0.9)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April 2014 DNP Photomask Technology Taiwan Co., Ltd., a wholly owned subsidiary of Dai Nippon Printing Co., Ltd. (DNP), merged into PSMC and operates under the name of Photronics DNP Mask Corporation (PDMC). The acquisition resulted in the Company recording a gain of $16.4 million in the second quarter of fiscal 2014. See Note 2 of the condensed consolidated financial statements for more information.</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decreased slightly in Q2-14 as compared to Q2-13 primarily as a result of reduced outstanding borrowing balances.</w:t>
      </w:r>
    </w:p>
    <w:p>
      <w:pPr>
        <w:spacing w:after="0" w:line="252"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Interest and other income (expense), net decreased in Q2-14 as compared to Q2-13 by $0.4 million, and in YTD-14 as compared to YTD-13 by $0.6 million as a result of reduced interest income on lower cash balances and lower net foreign currency gains.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Q2-14</w:t>
            </w:r>
          </w:p>
        </w:tc>
        <w:tc>
          <w:tcPr>
            <w:tcW w:w="2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Q2-13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YTD-14</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effective income tax rate decreased in Q2-14 as compared to Q2-13, and in YTD-14 as compared to YTD-13, primarily due to the application of a zero tax rate on the gain recognized on the DPTT Acquisition, combined with higher income tax provisions recorded in jurisdictions in which the Company generated income before income taxes which, due to valuation allowances, were not significantly offset by income tax benefits recorded in jurisdictions in which the Company incurred losses before income taxes.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Net income attributable to noncontrolling interests decreased $0.2 million to $0.4 million in Q2-14, as compared to $0.6 million in Q2-13, and decreased $0.6 million to $0.5 million in YTD-14, as compared to $1.1 million in YTD-13, primarily as a result of changes in the ownership structure of the Company’s IC manufacturing facility located in Taiwan. During YTD-13, the Company reacquired shares held by noncontrolling interests of this subsidiary, while during Q2-14, the Company exchanged a 49.99% noncontrolling interest in this subsidiary in return for the net assets of an acquiree. See Notes 2 and 14 of the condensed consolidated financial statements for further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Company's working capital was $209.4 million at May 4, 2014, and $213.9 million at November 3, 2013. The decrease in working capital was primarily related to the repayment of a long-term loan discussed in Note 6 of the condensed consolidated financial statements. Cash and cash equivalents were $191.8 million at May 4, 2014, and $215.6 million at November 3, 2013. Net cash provided by operating activities was $39.9 million for the six month period ended May 4, 2014, as compared to $35.9 million for the six month period ended April 28, 2013, the increase primarily due to decreased accounts receivable, net of a non cash increase in accounts receivable in connection with the acquisition of DPTT, compared to the prior year. Net cash used in investing activities for the six month period ended May 4, 2014, was $38.8 million, which was comprised primarily of capital expenditure payments, offset in part by cash received from the acquisition of DPTT. Net cash used in financing activities of $25.1 million for the six month period ended May 4, 2014, was primarily comprised of repayments of long-term borrowings. The Company may use its cash available on hand for operations, capital expenditures, debt repayments, strategic opportunities, stock repurchases or other corporate uses, any of which may be material.</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As of May 4, 2014 and November 3, 2013, the Company’s total cash and cash equivalents include $118.0 million and $165.7 million, respectively, held by its foreign subsidiaries. The majority of earnings of the Company’s foreign subsidiaries are considered to be indefinitely reinvested. In a one-time distribution in connection with the acquisition of DPTT, $35.1 million in earnings of PSMC were remitted to the U.S. that were previously considered to be permanently reinvested (see Note 9 to the condensed consolidated financial statements for further discussion). The Company’s foreign subsidiaries continue to grow through the reinvestment of earnings in additional manufacturing capacity and capability, particularly in the high-end IC and FPD areas. A repatriation of these funds to the U.S. may be subject to U.S. federal income taxes and local country withholding tax in certain jurisdictions.</w:t>
      </w:r>
    </w:p>
    <w:p>
      <w:pPr>
        <w:spacing w:after="0" w:line="192"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In April 2014 the Company closed the DPTT Acquisition, which was a noncash transaction that resulted in the Company owning 50.01% and DNP owning 49.99% of PDMC, whose financial results are included in the Company’s consolidated financial statements. PDMC is expected to generate sufficient cash flows to fund its operating and capital requirements. See Note 2 of the condensed consolidated financial statements for more information.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December 2013 the Company amended its credit facility, increasing its limit to $50 million with an expansion capacity to $75 million and extending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its term to December 2018. Simultaneously, the Company repaid its $21.3 million term loan. The credit facility is secured by substantially all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Company's assets located in the United States, as well as common stock the Company owns in certain of its foreign subsidiaries, and is subject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following financial covenants: minimum interest coverage, total leverage ratio and minimum unrestricted cash balance. As of May 4, 2014, the Company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compliance with the covenants of the credit facility, had no outstanding borrowings under the credit facility and $50 million was available for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borrowing. The credit facility bears interest (1.94 percent at May 4, 2014) based on the Company’s total leverage ratio, at LIBOR plus a spread, as defined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credit facility.</w:t>
      </w:r>
    </w:p>
    <w:p>
      <w:pPr>
        <w:spacing w:after="0" w:line="23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June 2013 the Company completed a tender offer for shares of PSMC. A total of 50.3 million shares were tendered at the offering price of 16.30 NTD, equivalent to a total of $27.4 million. In September 2013 the Company purchased an additional 1.1 million shares of PSMC for $0.7 million, and in January 2014 the Company acquired all of the 3.0 million shares that were then held by noncontrolling interests at a cost of $1.7 million.</w:t>
      </w:r>
    </w:p>
    <w:p>
      <w:pPr>
        <w:spacing w:after="0" w:line="166"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PSMC, through a series of repurchase programs which commenced in 2011 and ended in 2013, repurchased shares of its outstanding common stock. These repurchase programs resulted in 9.2 million shares being purchased for $4.2 million in 2013, 35.9 million shares being purchased for $15.6 million in 2012 and 21.6 million shares being purchased for $9.9 million in 2011.</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August 2013 a $26.4 million principal amount, five year capital lease to fund the purchase of a high-end lithography tool commenced. Payments under the lease, which bears interest at 2.77 percent, are $0.5 million per month through July 2018. Under the terms of the lease agreement, the Company must maintain the equipment in good working order, and the lease is subject to a cross default with a cross acceleration provision related to certain nonfinancial covenants incorporated in its credit facility. As of May 4, 2014, the total amount payable through the end of the lease term was $24.4 million, of which $23.0 million represented principal and $1.4 million represented interest.</w:t>
      </w:r>
    </w:p>
    <w:p>
      <w:pPr>
        <w:spacing w:after="0" w:line="18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February 2012, the Company amended its credit facility to include the addition of a $25 million term loan that was to mature in March 2017, with minimum quarterly principal payments of $0.6 million. In the first quarter of fiscal 2014 the Company repaid the $21.3 million balance of this term loan that was outstanding at November 3, 2013.</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May 4, 2014, the Company had capital equipment commitments outstanding of approximately $74 million. The Company believes that its currently available resources, together with its capacity for growth, and its access to equity and other financing sources, will be sufficient to satisfy its currently planned capital expenditures, as well as its anticipated working capital requirements for the next twelve months.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21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Under the MP Mask joint venture operating agreement, in order to maintain its 49.99% ownership interest, the Company may be required to make additional capital contributions to the joint venture up to the maximum amount specified in the operating agreement. Cumulatively through May 4, 2014, the Company has made additional contributions of $32.5 million to the joint venture, and has received distributions from the joint venture totaling $10.0 million.</w:t>
      </w:r>
    </w:p>
    <w:p>
      <w:pPr>
        <w:spacing w:after="0" w:line="174"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Under the PDMC operating agreement the shareholders of PDMC may be requested to make additional contributions to PDMC. In the event that PDMC requests additional capital from its shareholders, the Company may be required to make additional capital contributions to PDMC in order to maintain its</w:t>
      </w:r>
    </w:p>
    <w:p>
      <w:pPr>
        <w:ind w:right="140"/>
        <w:spacing w:after="0" w:line="261" w:lineRule="auto"/>
        <w:rPr>
          <w:sz w:val="20"/>
          <w:szCs w:val="20"/>
          <w:color w:val="auto"/>
        </w:rPr>
      </w:pPr>
      <w:r>
        <w:rPr>
          <w:rFonts w:ascii="Arial" w:cs="Arial" w:eastAsia="Arial" w:hAnsi="Arial"/>
          <w:sz w:val="18"/>
          <w:szCs w:val="18"/>
          <w:color w:val="auto"/>
        </w:rPr>
        <w:t>50.01% ownership. The PDMC operating agreement limits the amount of contributions that may be requested during both the first four years of PDMC and during any individual year within those first four years.</w:t>
      </w:r>
    </w:p>
    <w:p>
      <w:pPr>
        <w:spacing w:after="0" w:line="211"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expects to continue to benefit from advanced technology it may utilize under its technology license with Micron.</w:t>
      </w:r>
    </w:p>
    <w:p>
      <w:pPr>
        <w:spacing w:after="0" w:line="208"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There have been no recent accounting pronouncements whose adoption would affect the Company’s condensed consolidated financial statements or related disclosures.</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Company conducts business in several major international currencies through its worldwide operations and its financial position, financial performance and cash flows may be affected by fluctuations in the exchange rates of these currencies. Changes in exchange rates can positively or negatively affect the Company's sales, operating margins, assets, liabilities, and equity. The functional currencies of the Company's Asian subsidiaries are the Korean won, the New Taiwan dollar, and the Singapore dollar. The functional currencies of the Company's European subsidiaries are the British pound and the euro.</w:t>
      </w:r>
    </w:p>
    <w:p>
      <w:pPr>
        <w:spacing w:after="0" w:line="18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currencies against the U.S. dollar.</w:t>
      </w:r>
    </w:p>
    <w:p>
      <w:pPr>
        <w:spacing w:after="0" w:line="18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Company's primary net foreign currency exposures as of May 4, 2014, included the Korean won, the Japanese yen, the New Taiwan dollar, the Singapore dollar, the British pound, and the euro. As of May 4, 2014, a 10% adverse movement in the value of these currencies against the U.S. dollar would have resulted in a net unrealized pre-tax loss of $4.0 million. The Company does not believe that a 10% change in the exchange rates of other non-U.S. dollar currencies would have a material effect on its consolidated financial position, results of operations, or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At May 4, 2014, the Company did not have any variable rate borrowings. A 10% change in interest rates would not have had a material effect on the Company's consolidated financial position, results of operations, or cash flows in the three and six month periods ended May 4, 2014.</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has established and currently maintains disclosure controls and procedures, as such term is defined in Rules 13a-15(e) and 15d-15(e) of the Securities Exchange Act of 1934, as amended (the "Exchange Act"), designed to ensure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1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There was no change in the Company's internal control over financial reporting during the Company's second quarter of fiscal 2014 that has materially affected, or is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The Company is involved from time to time in legal proceedings relating to claims that arise in the ordinary course of business and are regarded as common in our business, including administrative or judicial proceedings seeking remediation under environmental laws, such as Superfund, products liability, breach of contract liability and premises liability litigation. The Company does not believe that such claims, individually or in the aggregate, will have a material effect on the business of the Company. Where appropriate, the Company may establish financial reserves as estimated by its general counsel for such proceedings. The Company also maintains insurance to mitigate certain of such risks.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DPTT Acquisition</w:t>
      </w:r>
    </w:p>
    <w:p>
      <w:pPr>
        <w:spacing w:after="0" w:line="256"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accounting for the DPTT Acquisition, the Company was required to estimate the fair values of assets acquired and liabilities assumed and such estimates are inherently subject to uncertainty. In addition, the DPTT Acquisition may subject the Company to various risks which could adversely affect its future earnings and cash flows. These include the risks that: the cost of combining operations may exceed the Company’s estimates; the unanticipated loss of sales due to an overlap of customers served by both PSMC and DPTT prior to the DPTT Acquisition; and that greater than anticipated charges to maintain duplicate preacquisition activities and eliminate duplicative activities are experienced. These and other unforeseen factors may adversely affect the Company’s financial performance and could also result in the Company needing to utilize its cash reserves or incur additional debt.</w:t>
      </w:r>
    </w:p>
    <w:p>
      <w:pPr>
        <w:spacing w:after="0" w:line="19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There have been no other material changes to risks relating to the Company's business as disclosed in Part 1, Item 1A of the Company's Form 10-K for the year ended November 3, 2013</w:t>
      </w:r>
      <w:r>
        <w:rPr>
          <w:rFonts w:ascii="Arial" w:cs="Arial" w:eastAsia="Arial" w:hAnsi="Arial"/>
          <w:sz w:val="18"/>
          <w:szCs w:val="18"/>
          <w:b w:val="1"/>
          <w:bCs w:val="1"/>
          <w:color w:val="auto"/>
        </w:rPr>
        <w: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56" w:lineRule="exact"/>
        <w:rPr>
          <w:sz w:val="20"/>
          <w:szCs w:val="20"/>
          <w:color w:val="auto"/>
        </w:rPr>
      </w:pPr>
    </w:p>
    <w:p>
      <w:pPr>
        <w:ind w:left="1460" w:hanging="642"/>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spacing w:after="0" w:line="27"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Number</w:t>
      </w:r>
      <w:r>
        <w:rPr>
          <w:rFonts w:ascii="Arial" w:cs="Arial" w:eastAsia="Arial" w:hAnsi="Arial"/>
          <w:sz w:val="16"/>
          <w:szCs w:val="16"/>
          <w:b w:val="1"/>
          <w:bCs w:val="1"/>
          <w:u w:val="single" w:color="auto"/>
          <w:color w:val="auto"/>
        </w:rPr>
        <w:t>Description</w:t>
      </w:r>
    </w:p>
    <w:p>
      <w:pPr>
        <w:spacing w:after="0" w:line="194"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Certification of Chief Executive Officer pursuant to Rule 13a-14(a)/15d-14(a) of the Securities Exchange Act of 1934,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90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90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2"/>
              </w:rPr>
              <w:t>Certification of Chief Financial Officer pursuant to Rule 13a-14(a)/15d-14(a) of the Securities Exchange Act of 1934,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90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90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90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90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4"/>
              </w:rPr>
              <w:t>Certification of Chief Financial Officer pursuant to 18 U.S.C. Section 1350 as adopted pursuant to Section 906 of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90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9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20" w:type="dxa"/>
            <w:vAlign w:val="bottom"/>
          </w:tcPr>
          <w:p>
            <w:pPr>
              <w:ind w:left="2740"/>
              <w:spacing w:after="0"/>
              <w:rPr>
                <w:sz w:val="20"/>
                <w:szCs w:val="20"/>
                <w:color w:val="auto"/>
              </w:rPr>
            </w:pPr>
            <w:r>
              <w:rPr>
                <w:rFonts w:ascii="Arial" w:cs="Arial" w:eastAsia="Arial" w:hAnsi="Arial"/>
                <w:sz w:val="18"/>
                <w:szCs w:val="18"/>
                <w:b w:val="1"/>
                <w:bCs w:val="1"/>
                <w:color w:val="auto"/>
              </w:rPr>
              <w:t>SIGNATURES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right="650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jc w:val="center"/>
        <w:ind w:right="65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387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7" w:lineRule="exact"/>
        <w:rPr>
          <w:sz w:val="20"/>
          <w:szCs w:val="20"/>
          <w:color w:val="auto"/>
        </w:rPr>
      </w:pPr>
    </w:p>
    <w:p>
      <w:pPr>
        <w:jc w:val="center"/>
        <w:ind w:right="6500"/>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jc w:val="center"/>
        <w:ind w:right="65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right="6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6500"/>
        <w:spacing w:after="0"/>
        <w:rPr>
          <w:sz w:val="20"/>
          <w:szCs w:val="20"/>
          <w:color w:val="auto"/>
        </w:rPr>
      </w:pPr>
      <w:r>
        <w:rPr>
          <w:rFonts w:ascii="Arial" w:cs="Arial" w:eastAsia="Arial" w:hAnsi="Arial"/>
          <w:sz w:val="18"/>
          <w:szCs w:val="18"/>
          <w:color w:val="auto"/>
        </w:rPr>
        <w:t>(Duly Authorized Officer and</w:t>
      </w:r>
    </w:p>
    <w:p>
      <w:pPr>
        <w:spacing w:after="0" w:line="9" w:lineRule="exact"/>
        <w:rPr>
          <w:sz w:val="20"/>
          <w:szCs w:val="20"/>
          <w:color w:val="auto"/>
        </w:rPr>
      </w:pPr>
    </w:p>
    <w:p>
      <w:pPr>
        <w:jc w:val="center"/>
        <w:ind w:right="650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June 6, 2014</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Constantine S. Macricostas, certify that:</w:t>
      </w:r>
    </w:p>
    <w:p>
      <w:pPr>
        <w:spacing w:after="0" w:line="25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80" w:hanging="644"/>
        <w:spacing w:after="0" w:line="34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240" w:top="31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5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80" w:hanging="644"/>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240" w:top="31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 Constantine S. Macricostas, Chief Executive Officer of Photronics, Inc. (the "Company"), certify, to my knowledge, pursuant to Section 906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w:t>
      </w:r>
    </w:p>
    <w:p>
      <w:pPr>
        <w:spacing w:after="0" w:line="238" w:lineRule="exact"/>
        <w:rPr>
          <w:sz w:val="20"/>
          <w:szCs w:val="20"/>
          <w:color w:val="auto"/>
        </w:rPr>
      </w:pPr>
    </w:p>
    <w:p>
      <w:pPr>
        <w:ind w:left="660" w:right="38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May 4, 2014,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10"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 Sean T. Smith, Chief Financial Officer of Photronics, Inc. (the "Company"), certify, to my knowledge, pursuant to Section 906 of the Sarbanes-Oxley Act of 2002, 18 U.S.C. Section 1350, that:</w:t>
      </w:r>
    </w:p>
    <w:p>
      <w:pPr>
        <w:spacing w:after="0" w:line="197" w:lineRule="exact"/>
        <w:rPr>
          <w:sz w:val="20"/>
          <w:szCs w:val="20"/>
          <w:color w:val="auto"/>
        </w:rPr>
      </w:pPr>
    </w:p>
    <w:p>
      <w:pPr>
        <w:ind w:left="660" w:right="38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May 4, 2014,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80"/>
      </w:cols>
      <w:pgMar w:left="240" w:top="31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2019-12-05T23:03:33Z</dcterms:created>
  <dcterms:modified xsi:type="dcterms:W3CDTF">2019-12-05T23:03:33Z</dcterms:modified>
</cp:coreProperties>
</file>