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820" w:right="1880" w:hanging="3812"/>
        <w:spacing w:after="0" w:line="266"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30, 2022</w:t>
      </w:r>
    </w:p>
    <w:p>
      <w:pPr>
        <w:spacing w:after="0" w:line="180" w:lineRule="exact"/>
        <w:rPr>
          <w:sz w:val="24"/>
          <w:szCs w:val="24"/>
          <w:color w:val="auto"/>
        </w:rPr>
      </w:pPr>
    </w:p>
    <w:p>
      <w:pPr>
        <w:ind w:left="4100" w:right="1840" w:hanging="4092"/>
        <w:spacing w:after="0" w:line="500"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151765</wp:posOffset>
            </wp:positionV>
            <wp:extent cx="53149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46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Connecticut</w:t>
            </w: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6180" w:type="dxa"/>
            <w:vAlign w:val="bottom"/>
            <w:gridSpan w:val="3"/>
          </w:tcPr>
          <w:p>
            <w:pPr>
              <w:jc w:val="center"/>
              <w:ind w:right="5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5060" w:type="dxa"/>
            <w:vAlign w:val="bottom"/>
            <w:gridSpan w:val="2"/>
          </w:tcPr>
          <w:p>
            <w:pPr>
              <w:jc w:val="center"/>
              <w:ind w:right="3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618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50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6180" w:type="dxa"/>
            <w:vAlign w:val="bottom"/>
            <w:gridSpan w:val="3"/>
          </w:tcPr>
          <w:p>
            <w:pPr>
              <w:jc w:val="center"/>
              <w:ind w:right="5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38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6180" w:type="dxa"/>
            <w:vAlign w:val="bottom"/>
            <w:gridSpan w:val="3"/>
          </w:tcPr>
          <w:p>
            <w:pPr>
              <w:jc w:val="center"/>
              <w:ind w:right="570"/>
              <w:spacing w:after="0"/>
              <w:rPr>
                <w:sz w:val="20"/>
                <w:szCs w:val="20"/>
                <w:color w:val="auto"/>
              </w:rPr>
            </w:pPr>
            <w:r>
              <w:rPr>
                <w:rFonts w:ascii="Arial" w:cs="Arial" w:eastAsia="Arial" w:hAnsi="Arial"/>
                <w:sz w:val="18"/>
                <w:szCs w:val="18"/>
                <w:color w:val="auto"/>
                <w:w w:val="89"/>
              </w:rPr>
              <w:t>Registrant’s telephone number, including area code</w:t>
            </w:r>
          </w:p>
        </w:tc>
        <w:tc>
          <w:tcPr>
            <w:tcW w:w="50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(203) 775-9000</w:t>
            </w:r>
          </w:p>
        </w:tc>
      </w:tr>
      <w:tr>
        <w:trPr>
          <w:trHeight w:val="432"/>
        </w:trPr>
        <w:tc>
          <w:tcPr>
            <w:tcW w:w="3460" w:type="dxa"/>
            <w:vAlign w:val="bottom"/>
          </w:tcPr>
          <w:p>
            <w:pPr>
              <w:spacing w:after="0"/>
              <w:rPr>
                <w:sz w:val="24"/>
                <w:szCs w:val="24"/>
                <w:color w:val="auto"/>
              </w:rPr>
            </w:pPr>
          </w:p>
        </w:tc>
        <w:tc>
          <w:tcPr>
            <w:tcW w:w="7780" w:type="dxa"/>
            <w:vAlign w:val="bottom"/>
            <w:gridSpan w:val="4"/>
          </w:tcPr>
          <w:p>
            <w:pPr>
              <w:ind w:left="100"/>
              <w:spacing w:after="0"/>
              <w:rPr>
                <w:sz w:val="20"/>
                <w:szCs w:val="20"/>
                <w:color w:val="auto"/>
              </w:rPr>
            </w:pPr>
            <w:r>
              <w:rPr>
                <w:rFonts w:ascii="Arial" w:cs="Arial" w:eastAsia="Arial" w:hAnsi="Arial"/>
                <w:sz w:val="18"/>
                <w:szCs w:val="18"/>
                <w:color w:val="231F20"/>
              </w:rPr>
              <w:t>Securities registered pursuant to Section 12(b) of the Act:</w:t>
            </w:r>
          </w:p>
        </w:tc>
      </w:tr>
      <w:tr>
        <w:trPr>
          <w:trHeight w:val="223"/>
        </w:trPr>
        <w:tc>
          <w:tcPr>
            <w:tcW w:w="3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231F20"/>
              </w:rPr>
              <w:t>Title of each class</w:t>
            </w:r>
          </w:p>
        </w:tc>
        <w:tc>
          <w:tcPr>
            <w:tcW w:w="2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231F20"/>
              </w:rPr>
              <w:t>Trading Symbol(s)</w:t>
            </w:r>
          </w:p>
        </w:tc>
        <w:tc>
          <w:tcPr>
            <w:tcW w:w="13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31F20"/>
              </w:rPr>
              <w:t>Name of each exchange on which registered</w:t>
            </w:r>
          </w:p>
        </w:tc>
      </w:tr>
      <w:tr>
        <w:trPr>
          <w:trHeight w:val="223"/>
        </w:trPr>
        <w:tc>
          <w:tcPr>
            <w:tcW w:w="3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2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PLAB</w:t>
            </w:r>
          </w:p>
        </w:tc>
        <w:tc>
          <w:tcPr>
            <w:tcW w:w="13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NASDAQ Global Select Market</w:t>
            </w:r>
          </w:p>
        </w:tc>
      </w:tr>
      <w:tr>
        <w:trPr>
          <w:trHeight w:val="223"/>
        </w:trPr>
        <w:tc>
          <w:tcPr>
            <w:tcW w:w="3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5"/>
              </w:rPr>
              <w:t>PREFERRED STOCK PURCHASE RIGHTS</w:t>
            </w:r>
          </w:p>
        </w:tc>
        <w:tc>
          <w:tcPr>
            <w:tcW w:w="2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w:t>
            </w:r>
          </w:p>
        </w:tc>
      </w:tr>
    </w:tbl>
    <w:p>
      <w:pPr>
        <w:spacing w:after="0" w:line="202"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6" w:right="339" w:bottom="1440" w:gutter="0" w:footer="0" w:header="0"/>
        </w:sectPr>
      </w:pP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576"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61,729,440 shares of common stock outstanding as of 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rPr>
              <w:t>PHOTRONICS, INC.</w:t>
            </w:r>
          </w:p>
        </w:tc>
        <w:tc>
          <w:tcPr>
            <w:tcW w:w="19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gridSpan w:val="13"/>
          </w:tcPr>
          <w:p>
            <w:pPr>
              <w:jc w:val="center"/>
              <w:ind w:right="1140"/>
              <w:spacing w:after="0"/>
              <w:rPr>
                <w:sz w:val="20"/>
                <w:szCs w:val="20"/>
                <w:color w:val="auto"/>
              </w:rPr>
            </w:pPr>
            <w:r>
              <w:rPr>
                <w:rFonts w:ascii="Arial" w:cs="Arial" w:eastAsia="Arial" w:hAnsi="Arial"/>
                <w:sz w:val="18"/>
                <w:szCs w:val="18"/>
                <w:b w:val="1"/>
                <w:bCs w:val="1"/>
                <w:color w:val="auto"/>
                <w:w w:val="99"/>
              </w:rPr>
              <w:t>QUARTERLY REPORT ON FORM 10-Q</w:t>
            </w:r>
          </w:p>
        </w:tc>
        <w:tc>
          <w:tcPr>
            <w:tcW w:w="198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w w:val="91"/>
              </w:rPr>
              <w:t>January 30, 2022</w:t>
            </w:r>
          </w:p>
        </w:tc>
        <w:tc>
          <w:tcPr>
            <w:tcW w:w="1980" w:type="dxa"/>
            <w:vAlign w:val="bottom"/>
          </w:tcPr>
          <w:p>
            <w:pPr>
              <w:spacing w:after="0"/>
              <w:rPr>
                <w:sz w:val="20"/>
                <w:szCs w:val="20"/>
                <w:color w:val="auto"/>
              </w:rPr>
            </w:pPr>
          </w:p>
        </w:tc>
      </w:tr>
      <w:tr>
        <w:trPr>
          <w:trHeight w:val="392"/>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60" w:type="dxa"/>
            <w:vAlign w:val="bottom"/>
            <w:gridSpan w:val="12"/>
          </w:tcPr>
          <w:p>
            <w:pPr>
              <w:jc w:val="center"/>
              <w:ind w:right="232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r>
      <w:tr>
        <w:trPr>
          <w:trHeight w:val="236"/>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6"/>
        </w:trPr>
        <w:tc>
          <w:tcPr>
            <w:tcW w:w="24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Acronyms</w:t>
              </w:r>
            </w:hyperlink>
          </w:p>
        </w:tc>
        <w:tc>
          <w:tcPr>
            <w:tcW w:w="6820" w:type="dxa"/>
            <w:vAlign w:val="bottom"/>
            <w:tcBorders>
              <w:bottom w:val="single" w:sz="8" w:color="CCEEFF"/>
            </w:tcBorders>
            <w:gridSpan w:val="15"/>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ind w:left="1420"/>
              <w:spacing w:after="0" w:line="176" w:lineRule="exact"/>
              <w:rPr>
                <w:sz w:val="20"/>
                <w:szCs w:val="20"/>
                <w:color w:val="auto"/>
              </w:rPr>
            </w:pPr>
            <w:r>
              <w:rPr>
                <w:rFonts w:ascii="Arial" w:cs="Arial" w:eastAsia="Arial" w:hAnsi="Arial"/>
                <w:sz w:val="18"/>
                <w:szCs w:val="18"/>
                <w:color w:val="auto"/>
              </w:rPr>
              <w:t>3</w:t>
            </w:r>
          </w:p>
        </w:tc>
      </w:tr>
      <w:tr>
        <w:trPr>
          <w:trHeight w:val="175"/>
        </w:trPr>
        <w:tc>
          <w:tcPr>
            <w:tcW w:w="926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4</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90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19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90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5</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5</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7</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Equity</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8</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9</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900" w:type="dxa"/>
            <w:vAlign w:val="bottom"/>
            <w:gridSpan w:val="1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10</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7900" w:type="dxa"/>
            <w:vAlign w:val="bottom"/>
            <w:gridSpan w:val="18"/>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25</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790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790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90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19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90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790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32</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300" w:type="dxa"/>
            <w:vAlign w:val="bottom"/>
            <w:gridSpan w:val="17"/>
          </w:tcPr>
          <w:p>
            <w:pPr>
              <w:spacing w:after="0"/>
              <w:rPr>
                <w:sz w:val="15"/>
                <w:szCs w:val="15"/>
                <w:color w:val="auto"/>
              </w:rPr>
            </w:pPr>
          </w:p>
        </w:tc>
        <w:tc>
          <w:tcPr>
            <w:tcW w:w="1980" w:type="dxa"/>
            <w:vAlign w:val="bottom"/>
          </w:tcPr>
          <w:p>
            <w:pPr>
              <w:ind w:left="1420"/>
              <w:spacing w:after="0" w:line="176" w:lineRule="exact"/>
              <w:rPr>
                <w:sz w:val="20"/>
                <w:szCs w:val="20"/>
                <w:color w:val="auto"/>
              </w:rPr>
            </w:pPr>
            <w:r>
              <w:rPr>
                <w:rFonts w:ascii="Arial" w:cs="Arial" w:eastAsia="Arial" w:hAnsi="Arial"/>
                <w:sz w:val="18"/>
                <w:szCs w:val="18"/>
                <w:color w:val="auto"/>
              </w:rPr>
              <w:t>33</w:t>
            </w:r>
          </w:p>
        </w:tc>
      </w:tr>
      <w:tr>
        <w:trPr>
          <w:trHeight w:val="589"/>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13"/>
          </w:tcPr>
          <w:p>
            <w:pPr>
              <w:jc w:val="center"/>
              <w:ind w:left="4131"/>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8640" w:type="dxa"/>
            <w:vAlign w:val="bottom"/>
          </w:tcPr>
          <w:p>
            <w:pPr>
              <w:ind w:left="1740"/>
              <w:spacing w:after="0"/>
              <w:rPr>
                <w:sz w:val="20"/>
                <w:szCs w:val="20"/>
                <w:color w:val="auto"/>
              </w:rPr>
            </w:pPr>
            <w:r>
              <w:rPr>
                <w:rFonts w:ascii="Arial" w:cs="Arial" w:eastAsia="Arial" w:hAnsi="Arial"/>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may appear in this report are provided below.</w:t>
            </w:r>
          </w:p>
        </w:tc>
      </w:tr>
      <w:tr>
        <w:trPr>
          <w:trHeight w:val="216"/>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AMOLED</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ASC</w:t>
            </w:r>
          </w:p>
        </w:tc>
        <w:tc>
          <w:tcPr>
            <w:tcW w:w="8640" w:type="dxa"/>
            <w:vAlign w:val="bottom"/>
          </w:tcPr>
          <w:p>
            <w:pPr>
              <w:ind w:left="40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ASP</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Selling Price</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640" w:type="dxa"/>
            <w:vAlign w:val="bottom"/>
          </w:tcPr>
          <w:p>
            <w:pPr>
              <w:ind w:left="400"/>
              <w:spacing w:after="0"/>
              <w:rPr>
                <w:sz w:val="20"/>
                <w:szCs w:val="20"/>
                <w:color w:val="auto"/>
              </w:rPr>
            </w:pPr>
            <w:r>
              <w:rPr>
                <w:rFonts w:ascii="Arial" w:cs="Arial" w:eastAsia="Arial" w:hAnsi="Arial"/>
                <w:sz w:val="18"/>
                <w:szCs w:val="18"/>
                <w:color w:val="auto"/>
              </w:rPr>
              <w:t>Accounting Standards Update</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Chip stacking</w:t>
            </w: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Placement of a computer chip on top of another computer chip, resulting in the reduction of the distance between</w:t>
            </w:r>
          </w:p>
        </w:tc>
      </w:tr>
      <w:tr>
        <w:trPr>
          <w:trHeight w:val="230"/>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chips in a circuit board</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b w:val="1"/>
                <w:bCs w:val="1"/>
                <w:color w:val="auto"/>
              </w:rPr>
              <w:t>COVID-19</w:t>
            </w:r>
          </w:p>
        </w:tc>
        <w:tc>
          <w:tcPr>
            <w:tcW w:w="8640" w:type="dxa"/>
            <w:vAlign w:val="bottom"/>
          </w:tcPr>
          <w:p>
            <w:pPr>
              <w:ind w:left="400"/>
              <w:spacing w:after="0" w:line="201" w:lineRule="exact"/>
              <w:rPr>
                <w:sz w:val="20"/>
                <w:szCs w:val="20"/>
                <w:color w:val="auto"/>
              </w:rPr>
            </w:pPr>
            <w:r>
              <w:rPr>
                <w:rFonts w:ascii="Arial" w:cs="Arial" w:eastAsia="Arial" w:hAnsi="Arial"/>
                <w:sz w:val="18"/>
                <w:szCs w:val="18"/>
                <w:color w:val="auto"/>
                <w:w w:val="91"/>
              </w:rPr>
              <w:t>Covid virus 2019, an infectious disease that was declared a pandemic by the World Health Organization in March</w:t>
            </w:r>
          </w:p>
        </w:tc>
      </w:tr>
      <w:tr>
        <w:trPr>
          <w:trHeight w:val="230"/>
        </w:trPr>
        <w:tc>
          <w:tcPr>
            <w:tcW w:w="260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2020</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DNP</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Dai Nippon Printing Co., Ltd.</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b w:val="1"/>
                <w:bCs w:val="1"/>
                <w:color w:val="auto"/>
              </w:rPr>
              <w:t>EUV</w:t>
            </w:r>
          </w:p>
        </w:tc>
        <w:tc>
          <w:tcPr>
            <w:tcW w:w="8640" w:type="dxa"/>
            <w:vAlign w:val="bottom"/>
          </w:tcPr>
          <w:p>
            <w:pPr>
              <w:ind w:left="400"/>
              <w:spacing w:after="0" w:line="201" w:lineRule="exact"/>
              <w:rPr>
                <w:sz w:val="20"/>
                <w:szCs w:val="20"/>
                <w:color w:val="auto"/>
              </w:rPr>
            </w:pPr>
            <w:r>
              <w:rPr>
                <w:rFonts w:ascii="Arial" w:cs="Arial" w:eastAsia="Arial" w:hAnsi="Arial"/>
                <w:sz w:val="18"/>
                <w:szCs w:val="18"/>
                <w:color w:val="auto"/>
              </w:rPr>
              <w:t>A wafer lithography technology using the industry standard extreme ultraviolet (EUV) wavelength. EUV</w:t>
            </w:r>
          </w:p>
        </w:tc>
      </w:tr>
      <w:tr>
        <w:trPr>
          <w:trHeight w:val="216"/>
        </w:trPr>
        <w:tc>
          <w:tcPr>
            <w:tcW w:w="260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w w:val="95"/>
              </w:rPr>
              <w:t>photomasks function by selectively reflecting or blocking light, in contrast to conventional photomasks which</w:t>
            </w:r>
          </w:p>
        </w:tc>
      </w:tr>
      <w:tr>
        <w:trPr>
          <w:trHeight w:val="230"/>
        </w:trPr>
        <w:tc>
          <w:tcPr>
            <w:tcW w:w="260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function by selectively transmitting or blocking light</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 Act</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640" w:type="dxa"/>
            <w:vAlign w:val="bottom"/>
          </w:tcPr>
          <w:p>
            <w:pPr>
              <w:ind w:left="4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 10-K</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Annual Report on Form 10-K</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Form 10-Q</w:t>
            </w:r>
          </w:p>
        </w:tc>
        <w:tc>
          <w:tcPr>
            <w:tcW w:w="8640" w:type="dxa"/>
            <w:vAlign w:val="bottom"/>
          </w:tcPr>
          <w:p>
            <w:pPr>
              <w:ind w:left="40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FPDs</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Flat-panel displays, or “displays”</w:t>
            </w: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b w:val="1"/>
                <w:bCs w:val="1"/>
                <w:color w:val="auto"/>
              </w:rPr>
              <w:t>Generation</w:t>
            </w:r>
          </w:p>
        </w:tc>
        <w:tc>
          <w:tcPr>
            <w:tcW w:w="8640" w:type="dxa"/>
            <w:vAlign w:val="bottom"/>
          </w:tcPr>
          <w:p>
            <w:pPr>
              <w:ind w:left="400"/>
              <w:spacing w:after="0" w:line="201" w:lineRule="exact"/>
              <w:rPr>
                <w:sz w:val="20"/>
                <w:szCs w:val="20"/>
                <w:color w:val="auto"/>
              </w:rPr>
            </w:pPr>
            <w:r>
              <w:rPr>
                <w:rFonts w:ascii="Arial" w:cs="Arial" w:eastAsia="Arial" w:hAnsi="Arial"/>
                <w:sz w:val="18"/>
                <w:szCs w:val="18"/>
                <w:color w:val="auto"/>
                <w:w w:val="94"/>
              </w:rPr>
              <w:t>In reference to flat panel displays, refers to the size range of the underlying substrate to which a photomask is</w:t>
            </w:r>
          </w:p>
        </w:tc>
      </w:tr>
      <w:tr>
        <w:trPr>
          <w:trHeight w:val="230"/>
        </w:trPr>
        <w:tc>
          <w:tcPr>
            <w:tcW w:w="260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applied. Higher generation (or “G”) numbers represent larger substrates</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High-end (photomasks)</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ICs</w:t>
            </w:r>
          </w:p>
        </w:tc>
        <w:tc>
          <w:tcPr>
            <w:tcW w:w="8640" w:type="dxa"/>
            <w:vAlign w:val="bottom"/>
          </w:tcPr>
          <w:p>
            <w:pPr>
              <w:ind w:left="40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LIBOR</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LTM (free cash flow)</w:t>
            </w:r>
          </w:p>
        </w:tc>
        <w:tc>
          <w:tcPr>
            <w:tcW w:w="8640" w:type="dxa"/>
            <w:vAlign w:val="bottom"/>
          </w:tcPr>
          <w:p>
            <w:pPr>
              <w:ind w:left="400"/>
              <w:spacing w:after="0"/>
              <w:rPr>
                <w:sz w:val="20"/>
                <w:szCs w:val="20"/>
                <w:color w:val="auto"/>
              </w:rPr>
            </w:pPr>
            <w:r>
              <w:rPr>
                <w:rFonts w:ascii="Arial" w:cs="Arial" w:eastAsia="Arial" w:hAnsi="Arial"/>
                <w:sz w:val="18"/>
                <w:szCs w:val="18"/>
                <w:color w:val="auto"/>
              </w:rPr>
              <w:t>Last Twelve Months Free Cash Flow</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LTPS</w:t>
            </w: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Low-Temperature Poly Silicon, a polycrystalline silicon synthesized at relatively low temperatures;</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polycrystalline silicon in thin-film transistors (TFTs) are used in liquid-crystal display (LCD) flat panels and to</w:t>
            </w:r>
          </w:p>
        </w:tc>
      </w:tr>
      <w:tr>
        <w:trPr>
          <w:trHeight w:val="230"/>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drive organic light-emitting diode (OLED) displays</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MLA</w:t>
            </w:r>
          </w:p>
        </w:tc>
        <w:tc>
          <w:tcPr>
            <w:tcW w:w="8640" w:type="dxa"/>
            <w:vAlign w:val="bottom"/>
          </w:tcPr>
          <w:p>
            <w:pPr>
              <w:ind w:left="400"/>
              <w:spacing w:after="0"/>
              <w:rPr>
                <w:sz w:val="20"/>
                <w:szCs w:val="20"/>
                <w:color w:val="auto"/>
              </w:rPr>
            </w:pPr>
            <w:r>
              <w:rPr>
                <w:rFonts w:ascii="Arial" w:cs="Arial" w:eastAsia="Arial" w:hAnsi="Arial"/>
                <w:sz w:val="18"/>
                <w:szCs w:val="18"/>
                <w:color w:val="auto"/>
              </w:rPr>
              <w:t>Master Lease Agreement</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Optical proximity correction</w:t>
            </w: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 photolithography enhancement technique applied to compensate for the limitations of light to maintain the edge</w:t>
            </w:r>
          </w:p>
        </w:tc>
      </w:tr>
      <w:tr>
        <w:trPr>
          <w:trHeight w:val="230"/>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placement integrity of an original design, after processing, into the etched image on a silicon wafer</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PDMCX</w:t>
            </w:r>
          </w:p>
        </w:tc>
        <w:tc>
          <w:tcPr>
            <w:tcW w:w="8640" w:type="dxa"/>
            <w:vAlign w:val="bottom"/>
          </w:tcPr>
          <w:p>
            <w:pPr>
              <w:ind w:left="40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Phase-shift photomasks</w:t>
            </w: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89"/>
              </w:rPr>
              <w:t>Photomasks that take advantage of the interference generated by phase differences to improve image resolution in</w:t>
            </w:r>
          </w:p>
        </w:tc>
      </w:tr>
      <w:tr>
        <w:trPr>
          <w:trHeight w:val="230"/>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photolithography</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RMB</w:t>
            </w:r>
          </w:p>
        </w:tc>
        <w:tc>
          <w:tcPr>
            <w:tcW w:w="8640" w:type="dxa"/>
            <w:vAlign w:val="bottom"/>
          </w:tcPr>
          <w:p>
            <w:pPr>
              <w:ind w:left="400"/>
              <w:spacing w:after="0"/>
              <w:rPr>
                <w:sz w:val="20"/>
                <w:szCs w:val="20"/>
                <w:color w:val="auto"/>
              </w:rPr>
            </w:pPr>
            <w:r>
              <w:rPr>
                <w:rFonts w:ascii="Arial" w:cs="Arial" w:eastAsia="Arial" w:hAnsi="Arial"/>
                <w:sz w:val="18"/>
                <w:szCs w:val="18"/>
                <w:color w:val="auto"/>
              </w:rPr>
              <w:t>Chinese renminbi</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ROU (assets)</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Right-of-use asset</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4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Act</w:t>
            </w: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Securities Act of 1933 (as amended)</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8640" w:type="dxa"/>
            <w:vAlign w:val="bottom"/>
          </w:tcPr>
          <w:p>
            <w:pPr>
              <w:ind w:left="4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Wafer</w:t>
            </w: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A wafer, or silicon wafer, is a thin slice of semiconductor material that, in the fabrication of microelectronics,</w:t>
            </w:r>
          </w:p>
        </w:tc>
      </w:tr>
      <w:tr>
        <w:trPr>
          <w:trHeight w:val="230"/>
        </w:trPr>
        <w:tc>
          <w:tcPr>
            <w:tcW w:w="2600" w:type="dxa"/>
            <w:vAlign w:val="bottom"/>
            <w:shd w:val="clear" w:color="auto" w:fill="CCEEFF"/>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serves as the substrate for microelectronic devices built in and upon the wafer</w:t>
            </w:r>
          </w:p>
        </w:tc>
      </w:tr>
      <w:tr>
        <w:trPr>
          <w:trHeight w:val="568"/>
        </w:trPr>
        <w:tc>
          <w:tcPr>
            <w:tcW w:w="2600" w:type="dxa"/>
            <w:vAlign w:val="bottom"/>
          </w:tcPr>
          <w:p>
            <w:pPr>
              <w:spacing w:after="0"/>
              <w:rPr>
                <w:sz w:val="24"/>
                <w:szCs w:val="24"/>
                <w:color w:val="auto"/>
              </w:rPr>
            </w:pPr>
          </w:p>
        </w:tc>
        <w:tc>
          <w:tcPr>
            <w:tcW w:w="8640" w:type="dxa"/>
            <w:vAlign w:val="bottom"/>
          </w:tcPr>
          <w:p>
            <w:pPr>
              <w:ind w:left="2980"/>
              <w:spacing w:after="0"/>
              <w:rPr>
                <w:sz w:val="20"/>
                <w:szCs w:val="20"/>
                <w:color w:val="auto"/>
              </w:rPr>
            </w:pPr>
            <w:r>
              <w:rPr>
                <w:rFonts w:ascii="Arial" w:cs="Arial" w:eastAsia="Arial" w:hAnsi="Arial"/>
                <w:sz w:val="14"/>
                <w:szCs w:val="14"/>
                <w:color w:val="auto"/>
              </w:rPr>
              <w:t>3</w:t>
            </w:r>
          </w:p>
        </w:tc>
      </w:tr>
      <w:tr>
        <w:trPr>
          <w:trHeight w:val="46"/>
        </w:trPr>
        <w:tc>
          <w:tcPr>
            <w:tcW w:w="2600" w:type="dxa"/>
            <w:vAlign w:val="bottom"/>
            <w:tcBorders>
              <w:bottom w:val="single" w:sz="8" w:color="auto"/>
            </w:tcBorders>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6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Item 1A “Risk Factors” of our Form 10-K, as well as any additional risk factors we may provide in our Quarterly Reports on Form 10-Q.</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276,670</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 of allowance of $1,157 in 2022 and $1,218 in 2021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174,447</w:t>
            </w: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55,249</w:t>
            </w: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50,940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44,250</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550,616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692,289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696,553</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24,353</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20,733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22,680</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1,335,248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94,914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81,534</w:t>
            </w: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72,366</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176,148</w:t>
            </w: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89,446</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26,448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28,046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293,640</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Common stock, $0.01 par value, 150,000 shares authorized, 60,564 shares issued and outstanding at January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2022, and 60,024 shares issued and outstanding at October 31, 2021</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484,672</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317,849</w:t>
            </w: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20,571</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823,692</w:t>
            </w: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200,741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176,870</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1,039,166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1,000,562</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1,335,248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1,294,202</w:t>
            </w:r>
          </w:p>
        </w:tc>
      </w:tr>
      <w:tr>
        <w:trPr>
          <w:trHeight w:val="21"/>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152,067</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30,529</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14,053</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11,766</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Foreign currency transactions impact,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12,446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8,036</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62,475</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63,005</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7"/>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18,289</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27,797</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22,107</w:t>
            </w:r>
          </w:p>
        </w:tc>
      </w:tr>
      <w:tr>
        <w:trPr>
          <w:trHeight w:val="42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68"/>
        </w:trPr>
        <w:tc>
          <w:tcPr>
            <w:tcW w:w="8680" w:type="dxa"/>
            <w:vAlign w:val="bottom"/>
            <w:gridSpan w:val="2"/>
          </w:tcPr>
          <w:p>
            <w:pPr>
              <w:jc w:val="center"/>
              <w:ind w:left="2473"/>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gridSpan w:val="13"/>
          </w:tcPr>
          <w:p>
            <w:pPr>
              <w:jc w:val="center"/>
              <w:ind w:left="50"/>
              <w:spacing w:after="0"/>
              <w:rPr>
                <w:sz w:val="20"/>
                <w:szCs w:val="20"/>
                <w:color w:val="auto"/>
              </w:rPr>
            </w:pPr>
            <w:r>
              <w:rPr>
                <w:rFonts w:ascii="Arial" w:cs="Arial" w:eastAsia="Arial" w:hAnsi="Arial"/>
                <w:sz w:val="18"/>
                <w:szCs w:val="18"/>
                <w:b w:val="1"/>
                <w:bCs w:val="1"/>
                <w:color w:val="auto"/>
                <w:w w:val="88"/>
              </w:rPr>
              <w:t>Condensed Consolidated Statements of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2"/>
          </w:tcPr>
          <w:p>
            <w:pPr>
              <w:jc w:val="right"/>
              <w:ind w:right="880"/>
              <w:spacing w:after="0"/>
              <w:rPr>
                <w:sz w:val="20"/>
                <w:szCs w:val="20"/>
                <w:color w:val="auto"/>
              </w:rPr>
            </w:pPr>
            <w:r>
              <w:rPr>
                <w:rFonts w:ascii="Arial" w:cs="Arial" w:eastAsia="Arial" w:hAnsi="Arial"/>
                <w:sz w:val="18"/>
                <w:szCs w:val="18"/>
                <w:b w:val="1"/>
                <w:bCs w:val="1"/>
                <w:color w:val="auto"/>
              </w:rPr>
              <w:t>Three Months Ended January 30,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2021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60,024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1,000,562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31,726</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of treasury stock</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60,564</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487,342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339,912</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200,741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1,039,166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2"/>
          </w:tcPr>
          <w:p>
            <w:pPr>
              <w:jc w:val="right"/>
              <w:ind w:right="880"/>
              <w:spacing w:after="0"/>
              <w:rPr>
                <w:sz w:val="20"/>
                <w:szCs w:val="20"/>
                <w:color w:val="auto"/>
              </w:rPr>
            </w:pPr>
            <w:r>
              <w:rPr>
                <w:rFonts w:ascii="Arial" w:cs="Arial" w:eastAsia="Arial" w:hAnsi="Arial"/>
                <w:sz w:val="18"/>
                <w:szCs w:val="18"/>
                <w:b w:val="1"/>
                <w:bCs w:val="1"/>
                <w:color w:val="auto"/>
              </w:rPr>
              <w:t>Three Months Ended January 31, 2021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18,288</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287,073</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7"/>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9,509</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23,724</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r>
      <w:tr>
        <w:trPr>
          <w:trHeight w:val="223"/>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(7,507)</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26,287</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(19,175)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(17,532)</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23"/>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(19,218)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(17,196)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(13,209)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 from noncontrolling interest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6,205</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23"/>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Net settlements of restricted stock awards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5,195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279,680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Ending restricted cash</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314,195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278,539</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30"/>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Accruals for property, plant and equipment purchased during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7,092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4,938</w:t>
            </w: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9"/>
        </w:trPr>
        <w:tc>
          <w:tcPr>
            <w:tcW w:w="8680" w:type="dxa"/>
            <w:vAlign w:val="bottom"/>
            <w:gridSpan w:val="2"/>
          </w:tcPr>
          <w:p>
            <w:pPr>
              <w:jc w:val="center"/>
              <w:ind w:left="2471"/>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2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or “displays”), and are used as masters to transfer circuit patterns onto semiconductor wafers and FPD substrates during the fabrication of integrated circuits (“ICs” or “semiconductors”), a variety of FPDs and, to a lesser extent, other types of electrical and optical components. We currently have eleven manufacturing facilities, which are located in Taiwan (3), Korea, China (2), the United States (3), and Europe (2).</w:t>
      </w:r>
    </w:p>
    <w:p>
      <w:pPr>
        <w:spacing w:after="0" w:line="19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2021, where we discuss and provide additional information about our accounting policies and the methods and assumptions used in our estimates.</w:t>
      </w:r>
    </w:p>
    <w:p>
      <w:pPr>
        <w:spacing w:after="0" w:line="178"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15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 are not necessarily indicative of the results that may be expected for the fiscal year ending October 31, 2022. For further information, refer to the consolidated financial statements, and notes thereto, included in our Annual Report on Form 10-K for the year ended October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3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54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54,019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r>
      <w:tr>
        <w:trPr>
          <w:trHeight w:val="22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336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360" w:type="dxa"/>
            <w:vAlign w:val="bottom"/>
            <w:shd w:val="clear" w:color="auto" w:fill="CCEEFF"/>
          </w:tcPr>
          <w:p>
            <w:pPr>
              <w:spacing w:after="0"/>
              <w:rPr>
                <w:sz w:val="22"/>
                <w:szCs w:val="22"/>
                <w:color w:val="auto"/>
              </w:rPr>
            </w:pPr>
          </w:p>
        </w:tc>
        <w:tc>
          <w:tcPr>
            <w:tcW w:w="5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55,249</w:t>
            </w:r>
          </w:p>
        </w:tc>
      </w:tr>
      <w:tr>
        <w:trPr>
          <w:trHeight w:val="562"/>
        </w:trPr>
        <w:tc>
          <w:tcPr>
            <w:tcW w:w="3360" w:type="dxa"/>
            <w:vAlign w:val="bottom"/>
            <w:tcBorders>
              <w:top w:val="single" w:sz="8" w:color="CCEEFF"/>
            </w:tcBorders>
          </w:tcPr>
          <w:p>
            <w:pPr>
              <w:spacing w:after="0"/>
              <w:rPr>
                <w:sz w:val="24"/>
                <w:szCs w:val="24"/>
                <w:color w:val="auto"/>
              </w:rPr>
            </w:pPr>
          </w:p>
        </w:tc>
        <w:tc>
          <w:tcPr>
            <w:tcW w:w="5320" w:type="dxa"/>
            <w:vAlign w:val="bottom"/>
            <w:tcBorders>
              <w:top w:val="single" w:sz="8" w:color="CCEEFF"/>
            </w:tcBorders>
          </w:tcPr>
          <w:p>
            <w:pPr>
              <w:jc w:val="right"/>
              <w:ind w:right="2896"/>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36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3 - PROPERTY, PLANT AND EQUIPMENT, NET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consists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181,922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1,961,474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21,751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15,534</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47,008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2,228,523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2,228,132</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(1,536,234)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(1,531,579)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1020" w:type="dxa"/>
            <w:vAlign w:val="bottom"/>
            <w:shd w:val="clear" w:color="auto" w:fill="CCEEFF"/>
          </w:tcPr>
          <w:p>
            <w:pPr>
              <w:spacing w:after="0"/>
              <w:rPr>
                <w:sz w:val="22"/>
                <w:szCs w:val="22"/>
                <w:color w:val="auto"/>
              </w:rPr>
            </w:pPr>
          </w:p>
        </w:tc>
        <w:tc>
          <w:tcPr>
            <w:tcW w:w="76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692,289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696,553</w:t>
            </w:r>
          </w:p>
        </w:tc>
      </w:tr>
      <w:tr>
        <w:trPr>
          <w:trHeight w:val="426"/>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ROU assets resulting from finance leases are included in the table above as follows: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(1,933)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40,116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40,827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Depreciation and amortization expense for property, plant and equipment (including amortization expense for ROU assets) was $20.7 million and $22.6 million for the three-month periods ended January 30, 2022, and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In 2020, in combination with local financing obtained by PDMCX, Photronics and DNP fulfilled their investment obligations under the PDMCX operating agreement (“the Agreement”). As discussed in Note 5, liens were granted to the local financing entity on property, plant and equipment with a January 30, 2022, total carrying value of $88.4 million, as collateral for the loans.</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6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recorded net income from the operations of PDMCX of $1.9 million during the three-month period ended January 30, 2022, and a loss of $0.1 million during the three-month period ended January 31, 2021, respectively. General creditors of PDMCX do not have recourse to the assets of Photronics (other than the net assets of PDMCX), and our maximum exposure to loss from PDMCX at January 30, 2022, was $81.3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8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January 30,</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Photronics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Noncurrent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143,353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71,690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137,799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68,913</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224,306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112,175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197,544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98,792</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28,209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14,107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13,282</w:t>
            </w: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33,542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42,917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21,463</w:t>
            </w:r>
          </w:p>
        </w:tc>
      </w:tr>
      <w:tr>
        <w:trPr>
          <w:trHeight w:val="216"/>
        </w:trPr>
        <w:tc>
          <w:tcPr>
            <w:tcW w:w="35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61,751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69,476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34,745</w:t>
            </w:r>
          </w:p>
        </w:tc>
      </w:tr>
      <w:tr>
        <w:trPr>
          <w:trHeight w:val="216"/>
        </w:trPr>
        <w:tc>
          <w:tcPr>
            <w:tcW w:w="35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162,555</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64,047</w:t>
            </w:r>
          </w:p>
        </w:tc>
      </w:tr>
      <w:tr>
        <w:trPr>
          <w:trHeight w:val="562"/>
        </w:trPr>
        <w:tc>
          <w:tcPr>
            <w:tcW w:w="35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79"/>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5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provide information on our long-term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Xiamen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Hefei</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Xiamen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Working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0"/>
              <w:spacing w:after="0"/>
              <w:rPr>
                <w:sz w:val="20"/>
                <w:szCs w:val="20"/>
                <w:color w:val="auto"/>
              </w:rPr>
            </w:pPr>
            <w:r>
              <w:rPr>
                <w:rFonts w:ascii="Arial" w:cs="Arial" w:eastAsia="Arial" w:hAnsi="Arial"/>
                <w:sz w:val="18"/>
                <w:szCs w:val="18"/>
                <w:b w:val="1"/>
                <w:bCs w:val="1"/>
                <w:color w:val="auto"/>
              </w:rPr>
              <w:t>As of January 30, 2022</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9"/>
              </w:rPr>
              <w:t>Project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 Loans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Loan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1"/>
              </w:rPr>
              <w:t>Leases</w:t>
            </w: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18,307</w:t>
            </w: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9,277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4,717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6,537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24,054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20,308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2,620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17,667</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29,465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78,540</w:t>
            </w: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34,640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4,529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21,337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36,341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96,847</w:t>
            </w:r>
          </w:p>
        </w:tc>
      </w:tr>
      <w:tr>
        <w:trPr>
          <w:trHeight w:val="21"/>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6"/>
          <w:szCs w:val="16"/>
          <w:color w:val="auto"/>
        </w:rPr>
        <w:t>Interest rate at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162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right"/>
              <w:ind w:right="138"/>
              <w:spacing w:after="0"/>
              <w:rPr>
                <w:sz w:val="20"/>
                <w:szCs w:val="20"/>
                <w:color w:val="auto"/>
              </w:rPr>
            </w:pPr>
            <w:r>
              <w:rPr>
                <w:rFonts w:ascii="Arial" w:cs="Arial" w:eastAsia="Arial" w:hAnsi="Arial"/>
                <w:sz w:val="18"/>
                <w:szCs w:val="18"/>
                <w:color w:val="auto"/>
              </w:rPr>
              <w:t>0.00</w:t>
            </w:r>
          </w:p>
        </w:tc>
        <w:tc>
          <w:tcPr>
            <w:tcW w:w="1620" w:type="dxa"/>
            <w:vAlign w:val="bottom"/>
          </w:tcPr>
          <w:p>
            <w:pPr>
              <w:jc w:val="right"/>
              <w:ind w:right="138"/>
              <w:spacing w:after="0"/>
              <w:rPr>
                <w:sz w:val="20"/>
                <w:szCs w:val="20"/>
                <w:color w:val="auto"/>
              </w:rPr>
            </w:pPr>
            <w:r>
              <w:rPr>
                <w:rFonts w:ascii="Arial" w:cs="Arial" w:eastAsia="Arial" w:hAnsi="Arial"/>
                <w:sz w:val="18"/>
                <w:szCs w:val="18"/>
                <w:color w:val="auto"/>
              </w:rPr>
              <w:t>76.00</w:t>
            </w:r>
          </w:p>
        </w:tc>
        <w:tc>
          <w:tcPr>
            <w:tcW w:w="18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1080" w:type="dxa"/>
            <w:vAlign w:val="bottom"/>
          </w:tcPr>
          <w:p>
            <w:pPr>
              <w:jc w:val="right"/>
              <w:ind w:right="8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Arial" w:cs="Arial" w:eastAsia="Arial" w:hAnsi="Arial"/>
                <w:sz w:val="18"/>
                <w:szCs w:val="18"/>
                <w:color w:val="auto"/>
                <w:w w:val="91"/>
              </w:rPr>
              <w:t>Quarterly</w:t>
            </w:r>
          </w:p>
        </w:tc>
        <w:tc>
          <w:tcPr>
            <w:tcW w:w="1620" w:type="dxa"/>
            <w:vAlign w:val="bottom"/>
          </w:tcPr>
          <w:p>
            <w:pPr>
              <w:jc w:val="center"/>
              <w:ind w:right="78"/>
              <w:spacing w:after="0"/>
              <w:rPr>
                <w:sz w:val="20"/>
                <w:szCs w:val="20"/>
                <w:color w:val="auto"/>
              </w:rPr>
            </w:pPr>
            <w:r>
              <w:rPr>
                <w:rFonts w:ascii="Arial" w:cs="Arial" w:eastAsia="Arial" w:hAnsi="Arial"/>
                <w:sz w:val="18"/>
                <w:szCs w:val="18"/>
                <w:color w:val="auto"/>
                <w:w w:val="97"/>
              </w:rPr>
              <w:t>Monthly/Annually</w:t>
            </w:r>
          </w:p>
        </w:tc>
        <w:tc>
          <w:tcPr>
            <w:tcW w:w="180" w:type="dxa"/>
            <w:vAlign w:val="bottom"/>
          </w:tcPr>
          <w:p>
            <w:pPr>
              <w:spacing w:after="0"/>
              <w:rPr>
                <w:sz w:val="18"/>
                <w:szCs w:val="18"/>
                <w:color w:val="auto"/>
              </w:rPr>
            </w:pPr>
          </w:p>
        </w:tc>
        <w:tc>
          <w:tcPr>
            <w:tcW w:w="1200" w:type="dxa"/>
            <w:vAlign w:val="bottom"/>
          </w:tcPr>
          <w:p>
            <w:pPr>
              <w:jc w:val="center"/>
              <w:ind w:right="260"/>
              <w:spacing w:after="0"/>
              <w:rPr>
                <w:sz w:val="20"/>
                <w:szCs w:val="20"/>
                <w:color w:val="auto"/>
              </w:rPr>
            </w:pPr>
            <w:r>
              <w:rPr>
                <w:rFonts w:ascii="Arial" w:cs="Arial" w:eastAsia="Arial" w:hAnsi="Arial"/>
                <w:sz w:val="18"/>
                <w:szCs w:val="18"/>
                <w:color w:val="auto"/>
                <w:w w:val="95"/>
              </w:rPr>
              <w:t>Annually</w:t>
            </w:r>
          </w:p>
        </w:tc>
        <w:tc>
          <w:tcPr>
            <w:tcW w:w="220" w:type="dxa"/>
            <w:vAlign w:val="bottom"/>
          </w:tcPr>
          <w:p>
            <w:pPr>
              <w:spacing w:after="0"/>
              <w:rPr>
                <w:sz w:val="18"/>
                <w:szCs w:val="18"/>
                <w:color w:val="auto"/>
              </w:rPr>
            </w:pPr>
          </w:p>
        </w:tc>
        <w:tc>
          <w:tcPr>
            <w:tcW w:w="1080" w:type="dxa"/>
            <w:vAlign w:val="bottom"/>
          </w:tcPr>
          <w:p>
            <w:pPr>
              <w:jc w:val="right"/>
              <w:ind w:right="8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Arial" w:cs="Arial" w:eastAsia="Arial" w:hAnsi="Arial"/>
                <w:sz w:val="18"/>
                <w:szCs w:val="18"/>
                <w:color w:val="auto"/>
                <w:w w:val="89"/>
              </w:rPr>
              <w:t>December</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60"/>
              <w:spacing w:after="0"/>
              <w:rPr>
                <w:sz w:val="20"/>
                <w:szCs w:val="20"/>
                <w:color w:val="auto"/>
              </w:rPr>
            </w:pPr>
            <w:r>
              <w:rPr>
                <w:rFonts w:ascii="Arial" w:cs="Arial" w:eastAsia="Arial" w:hAnsi="Arial"/>
                <w:sz w:val="18"/>
                <w:szCs w:val="18"/>
                <w:color w:val="auto"/>
                <w:w w:val="88"/>
              </w:rPr>
              <w:t>September</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Arial" w:cs="Arial" w:eastAsia="Arial" w:hAnsi="Arial"/>
                <w:sz w:val="18"/>
                <w:szCs w:val="18"/>
                <w:color w:val="auto"/>
                <w:w w:val="89"/>
              </w:rPr>
              <w:t>2025</w:t>
            </w:r>
          </w:p>
        </w:tc>
        <w:tc>
          <w:tcPr>
            <w:tcW w:w="1620" w:type="dxa"/>
            <w:vAlign w:val="bottom"/>
          </w:tcPr>
          <w:p>
            <w:pPr>
              <w:jc w:val="center"/>
              <w:ind w:right="78"/>
              <w:spacing w:after="0"/>
              <w:rPr>
                <w:sz w:val="20"/>
                <w:szCs w:val="20"/>
                <w:color w:val="auto"/>
              </w:rPr>
            </w:pPr>
            <w:r>
              <w:rPr>
                <w:rFonts w:ascii="Arial" w:cs="Arial" w:eastAsia="Arial" w:hAnsi="Arial"/>
                <w:sz w:val="18"/>
                <w:szCs w:val="18"/>
                <w:color w:val="auto"/>
                <w:w w:val="90"/>
              </w:rPr>
              <w:t>July 2023</w:t>
            </w:r>
          </w:p>
        </w:tc>
        <w:tc>
          <w:tcPr>
            <w:tcW w:w="180" w:type="dxa"/>
            <w:vAlign w:val="bottom"/>
          </w:tcPr>
          <w:p>
            <w:pPr>
              <w:spacing w:after="0"/>
              <w:rPr>
                <w:sz w:val="18"/>
                <w:szCs w:val="18"/>
                <w:color w:val="auto"/>
              </w:rPr>
            </w:pPr>
          </w:p>
        </w:tc>
        <w:tc>
          <w:tcPr>
            <w:tcW w:w="1200" w:type="dxa"/>
            <w:vAlign w:val="bottom"/>
          </w:tcPr>
          <w:p>
            <w:pPr>
              <w:jc w:val="center"/>
              <w:ind w:right="240"/>
              <w:spacing w:after="0"/>
              <w:rPr>
                <w:sz w:val="20"/>
                <w:szCs w:val="20"/>
                <w:color w:val="auto"/>
              </w:rPr>
            </w:pPr>
            <w:r>
              <w:rPr>
                <w:rFonts w:ascii="Arial" w:cs="Arial" w:eastAsia="Arial" w:hAnsi="Arial"/>
                <w:sz w:val="18"/>
                <w:szCs w:val="18"/>
                <w:color w:val="auto"/>
                <w:w w:val="89"/>
              </w:rPr>
              <w:t>2025</w:t>
            </w: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8"/>
              <w:spacing w:after="0"/>
              <w:rPr>
                <w:sz w:val="20"/>
                <w:szCs w:val="20"/>
                <w:color w:val="auto"/>
              </w:rPr>
            </w:pPr>
            <w:r>
              <w:rPr>
                <w:rFonts w:ascii="Arial" w:cs="Arial" w:eastAsia="Arial" w:hAnsi="Arial"/>
                <w:sz w:val="18"/>
                <w:szCs w:val="18"/>
                <w:color w:val="auto"/>
                <w:w w:val="87"/>
              </w:rPr>
              <w:t>Varies as loans</w:t>
            </w:r>
          </w:p>
        </w:tc>
        <w:tc>
          <w:tcPr>
            <w:tcW w:w="1620" w:type="dxa"/>
            <w:vAlign w:val="bottom"/>
          </w:tcPr>
          <w:p>
            <w:pPr>
              <w:jc w:val="center"/>
              <w:ind w:right="78"/>
              <w:spacing w:after="0"/>
              <w:rPr>
                <w:sz w:val="20"/>
                <w:szCs w:val="20"/>
                <w:color w:val="auto"/>
              </w:rPr>
            </w:pPr>
            <w:r>
              <w:rPr>
                <w:rFonts w:ascii="Arial" w:cs="Arial" w:eastAsia="Arial" w:hAnsi="Arial"/>
                <w:sz w:val="18"/>
                <w:szCs w:val="18"/>
                <w:color w:val="auto"/>
                <w:w w:val="86"/>
              </w:rPr>
              <w:t>Increases as loans</w:t>
            </w:r>
          </w:p>
        </w:tc>
        <w:tc>
          <w:tcPr>
            <w:tcW w:w="180" w:type="dxa"/>
            <w:vAlign w:val="bottom"/>
          </w:tcPr>
          <w:p>
            <w:pPr>
              <w:spacing w:after="0"/>
              <w:rPr>
                <w:sz w:val="18"/>
                <w:szCs w:val="18"/>
                <w:color w:val="auto"/>
              </w:rPr>
            </w:pPr>
          </w:p>
        </w:tc>
        <w:tc>
          <w:tcPr>
            <w:tcW w:w="1200" w:type="dxa"/>
            <w:vAlign w:val="bottom"/>
            <w:vMerge w:val="restart"/>
          </w:tcPr>
          <w:p>
            <w:pPr>
              <w:jc w:val="center"/>
              <w:ind w:right="260"/>
              <w:spacing w:after="0"/>
              <w:rPr>
                <w:sz w:val="20"/>
                <w:szCs w:val="20"/>
                <w:color w:val="auto"/>
              </w:rPr>
            </w:pPr>
            <w:r>
              <w:rPr>
                <w:rFonts w:ascii="Arial" w:cs="Arial" w:eastAsia="Arial" w:hAnsi="Arial"/>
                <w:sz w:val="18"/>
                <w:szCs w:val="18"/>
                <w:color w:val="auto"/>
                <w:w w:val="82"/>
              </w:rPr>
              <w:t xml:space="preserve">Varies </w:t>
            </w:r>
            <w:r>
              <w:rPr>
                <w:rFonts w:ascii="Arial" w:cs="Arial" w:eastAsia="Arial" w:hAnsi="Arial"/>
                <w:sz w:val="29"/>
                <w:szCs w:val="29"/>
                <w:color w:val="auto"/>
                <w:w w:val="82"/>
                <w:vertAlign w:val="superscript"/>
              </w:rPr>
              <w:t>(1)</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Arial" w:cs="Arial" w:eastAsia="Arial" w:hAnsi="Arial"/>
                <w:sz w:val="18"/>
                <w:szCs w:val="18"/>
                <w:color w:val="auto"/>
                <w:w w:val="89"/>
              </w:rPr>
              <w:t>mature</w:t>
            </w:r>
          </w:p>
        </w:tc>
        <w:tc>
          <w:tcPr>
            <w:tcW w:w="1620" w:type="dxa"/>
            <w:vAlign w:val="bottom"/>
          </w:tcPr>
          <w:p>
            <w:pPr>
              <w:jc w:val="center"/>
              <w:ind w:right="78"/>
              <w:spacing w:after="0"/>
              <w:rPr>
                <w:sz w:val="20"/>
                <w:szCs w:val="20"/>
                <w:color w:val="auto"/>
              </w:rPr>
            </w:pPr>
            <w:r>
              <w:rPr>
                <w:rFonts w:ascii="Arial" w:cs="Arial" w:eastAsia="Arial" w:hAnsi="Arial"/>
                <w:sz w:val="18"/>
                <w:szCs w:val="18"/>
                <w:color w:val="auto"/>
                <w:w w:val="89"/>
              </w:rPr>
              <w:t>mature</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8"/>
              <w:spacing w:after="0"/>
              <w:rPr>
                <w:sz w:val="20"/>
                <w:szCs w:val="20"/>
                <w:color w:val="auto"/>
              </w:rPr>
            </w:pPr>
            <w:r>
              <w:rPr>
                <w:rFonts w:ascii="Arial" w:cs="Arial" w:eastAsia="Arial" w:hAnsi="Arial"/>
                <w:sz w:val="18"/>
                <w:szCs w:val="18"/>
                <w:color w:val="auto"/>
                <w:w w:val="87"/>
              </w:rPr>
              <w:t>Semiannual,</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8"/>
              <w:spacing w:after="0"/>
              <w:rPr>
                <w:sz w:val="20"/>
                <w:szCs w:val="20"/>
                <w:color w:val="auto"/>
              </w:rPr>
            </w:pPr>
            <w:r>
              <w:rPr>
                <w:rFonts w:ascii="Arial" w:cs="Arial" w:eastAsia="Arial" w:hAnsi="Arial"/>
                <w:sz w:val="18"/>
                <w:szCs w:val="18"/>
                <w:color w:val="auto"/>
                <w:w w:val="95"/>
              </w:rPr>
              <w:t>on individual</w:t>
            </w:r>
          </w:p>
        </w:tc>
        <w:tc>
          <w:tcPr>
            <w:tcW w:w="1620" w:type="dxa"/>
            <w:vAlign w:val="bottom"/>
          </w:tcPr>
          <w:p>
            <w:pPr>
              <w:jc w:val="center"/>
              <w:ind w:right="58"/>
              <w:spacing w:after="0"/>
              <w:rPr>
                <w:sz w:val="20"/>
                <w:szCs w:val="20"/>
                <w:color w:val="auto"/>
              </w:rPr>
            </w:pPr>
            <w:r>
              <w:rPr>
                <w:rFonts w:ascii="Arial" w:cs="Arial" w:eastAsia="Arial" w:hAnsi="Arial"/>
                <w:sz w:val="18"/>
                <w:szCs w:val="18"/>
                <w:color w:val="auto"/>
                <w:w w:val="89"/>
              </w:rPr>
              <w:t>Semiannual, on</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ind w:right="198"/>
              <w:spacing w:after="0"/>
              <w:rPr>
                <w:sz w:val="20"/>
                <w:szCs w:val="20"/>
                <w:color w:val="auto"/>
              </w:rPr>
            </w:pPr>
            <w:r>
              <w:rPr>
                <w:rFonts w:ascii="Arial" w:cs="Arial" w:eastAsia="Arial" w:hAnsi="Arial"/>
                <w:sz w:val="18"/>
                <w:szCs w:val="18"/>
                <w:color w:val="auto"/>
                <w:w w:val="88"/>
              </w:rPr>
              <w:t>loans</w:t>
            </w:r>
          </w:p>
        </w:tc>
        <w:tc>
          <w:tcPr>
            <w:tcW w:w="1620" w:type="dxa"/>
            <w:vAlign w:val="bottom"/>
          </w:tcPr>
          <w:p>
            <w:pPr>
              <w:jc w:val="center"/>
              <w:ind w:right="78"/>
              <w:spacing w:after="0"/>
              <w:rPr>
                <w:sz w:val="20"/>
                <w:szCs w:val="20"/>
                <w:color w:val="auto"/>
              </w:rPr>
            </w:pPr>
            <w:r>
              <w:rPr>
                <w:rFonts w:ascii="Arial" w:cs="Arial" w:eastAsia="Arial" w:hAnsi="Arial"/>
                <w:sz w:val="18"/>
                <w:szCs w:val="18"/>
                <w:color w:val="auto"/>
                <w:w w:val="92"/>
              </w:rPr>
              <w:t>individual loans</w:t>
            </w:r>
          </w:p>
        </w:tc>
        <w:tc>
          <w:tcPr>
            <w:tcW w:w="1380" w:type="dxa"/>
            <w:vAlign w:val="bottom"/>
            <w:gridSpan w:val="2"/>
            <w:vMerge w:val="continue"/>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7"/>
              <w:spacing w:after="0"/>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29"/>
        </w:trPr>
        <w:tc>
          <w:tcPr>
            <w:tcW w:w="80" w:type="dxa"/>
            <w:vAlign w:val="bottom"/>
            <w:vMerge w:val="continue"/>
          </w:tcPr>
          <w:p>
            <w:pPr>
              <w:spacing w:after="0"/>
              <w:rPr>
                <w:sz w:val="2"/>
                <w:szCs w:val="2"/>
                <w:color w:val="auto"/>
              </w:rPr>
            </w:pPr>
          </w:p>
        </w:tc>
        <w:tc>
          <w:tcPr>
            <w:tcW w:w="1220" w:type="dxa"/>
            <w:vAlign w:val="bottom"/>
          </w:tcPr>
          <w:p>
            <w:pPr>
              <w:jc w:val="right"/>
              <w:ind w:right="138"/>
              <w:spacing w:after="0" w:line="30" w:lineRule="exact"/>
              <w:rPr>
                <w:sz w:val="20"/>
                <w:szCs w:val="20"/>
                <w:color w:val="auto"/>
              </w:rPr>
            </w:pPr>
            <w:r>
              <w:rPr>
                <w:rFonts w:ascii="Arial" w:cs="Arial" w:eastAsia="Arial" w:hAnsi="Arial"/>
                <w:sz w:val="3"/>
                <w:szCs w:val="3"/>
                <w:color w:val="auto"/>
              </w:rPr>
              <w:t>88,356</w:t>
            </w:r>
          </w:p>
        </w:tc>
        <w:tc>
          <w:tcPr>
            <w:tcW w:w="1620" w:type="dxa"/>
            <w:vAlign w:val="bottom"/>
          </w:tcPr>
          <w:p>
            <w:pPr>
              <w:jc w:val="right"/>
              <w:ind w:right="138"/>
              <w:spacing w:after="0" w:line="30" w:lineRule="exact"/>
              <w:rPr>
                <w:sz w:val="20"/>
                <w:szCs w:val="20"/>
                <w:color w:val="auto"/>
              </w:rPr>
            </w:pPr>
            <w:r>
              <w:rPr>
                <w:rFonts w:ascii="Arial" w:cs="Arial" w:eastAsia="Arial" w:hAnsi="Arial"/>
                <w:sz w:val="3"/>
                <w:szCs w:val="3"/>
                <w:color w:val="auto"/>
              </w:rPr>
              <w:t>N/A</w:t>
            </w:r>
          </w:p>
        </w:tc>
        <w:tc>
          <w:tcPr>
            <w:tcW w:w="180" w:type="dxa"/>
            <w:vAlign w:val="bottom"/>
          </w:tcPr>
          <w:p>
            <w:pPr>
              <w:jc w:val="right"/>
              <w:spacing w:after="0" w:line="30" w:lineRule="exact"/>
              <w:rPr>
                <w:sz w:val="20"/>
                <w:szCs w:val="20"/>
                <w:color w:val="auto"/>
              </w:rPr>
            </w:pPr>
            <w:r>
              <w:rPr>
                <w:rFonts w:ascii="Arial" w:cs="Arial" w:eastAsia="Arial" w:hAnsi="Arial"/>
                <w:sz w:val="3"/>
                <w:szCs w:val="3"/>
                <w:color w:val="auto"/>
              </w:rPr>
              <w:t>$</w:t>
            </w:r>
          </w:p>
        </w:tc>
        <w:tc>
          <w:tcPr>
            <w:tcW w:w="1200" w:type="dxa"/>
            <w:vAlign w:val="bottom"/>
          </w:tcPr>
          <w:p>
            <w:pPr>
              <w:jc w:val="right"/>
              <w:ind w:right="140"/>
              <w:spacing w:after="0" w:line="30" w:lineRule="exact"/>
              <w:rPr>
                <w:sz w:val="20"/>
                <w:szCs w:val="20"/>
                <w:color w:val="auto"/>
              </w:rPr>
            </w:pPr>
            <w:r>
              <w:rPr>
                <w:rFonts w:ascii="Arial" w:cs="Arial" w:eastAsia="Arial" w:hAnsi="Arial"/>
                <w:sz w:val="3"/>
                <w:szCs w:val="3"/>
                <w:color w:val="auto"/>
              </w:rPr>
              <w:t>85,558</w:t>
            </w:r>
          </w:p>
        </w:tc>
        <w:tc>
          <w:tcPr>
            <w:tcW w:w="220" w:type="dxa"/>
            <w:vAlign w:val="bottom"/>
            <w:vMerge w:val="continue"/>
          </w:tcPr>
          <w:p>
            <w:pPr>
              <w:spacing w:after="0"/>
              <w:rPr>
                <w:sz w:val="2"/>
                <w:szCs w:val="2"/>
                <w:color w:val="auto"/>
              </w:rPr>
            </w:pPr>
          </w:p>
        </w:tc>
        <w:tc>
          <w:tcPr>
            <w:tcW w:w="1080" w:type="dxa"/>
            <w:vAlign w:val="bottom"/>
          </w:tcPr>
          <w:p>
            <w:pPr>
              <w:jc w:val="right"/>
              <w:ind w:right="87"/>
              <w:spacing w:after="0" w:line="30" w:lineRule="exact"/>
              <w:rPr>
                <w:sz w:val="20"/>
                <w:szCs w:val="20"/>
                <w:color w:val="auto"/>
              </w:rPr>
            </w:pPr>
            <w:r>
              <w:rPr>
                <w:rFonts w:ascii="Arial" w:cs="Arial" w:eastAsia="Arial" w:hAnsi="Arial"/>
                <w:sz w:val="3"/>
                <w:szCs w:val="3"/>
                <w:color w:val="auto"/>
              </w:rPr>
              <w:t>40,116</w:t>
            </w:r>
          </w:p>
        </w:tc>
        <w:tc>
          <w:tcPr>
            <w:tcW w:w="0" w:type="dxa"/>
            <w:vAlign w:val="bottom"/>
          </w:tcPr>
          <w:p>
            <w:pPr>
              <w:spacing w:after="0" w:line="20" w:lineRule="exact"/>
              <w:rPr>
                <w:sz w:val="1"/>
                <w:szCs w:val="1"/>
                <w:color w:val="auto"/>
              </w:rPr>
            </w:pPr>
          </w:p>
        </w:tc>
      </w:tr>
      <w:tr>
        <w:trPr>
          <w:trHeight w:val="190"/>
        </w:trPr>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-1363345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-1089025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-540385</wp:posOffset>
            </wp:positionV>
            <wp:extent cx="71323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2" w:right="339" w:bottom="1440" w:gutter="0" w:footer="0" w:header="0"/>
          <w:type w:val="continuous"/>
        </w:sectPr>
      </w:pPr>
    </w:p>
    <w:p>
      <w:pPr>
        <w:spacing w:after="0" w:line="54" w:lineRule="exact"/>
        <w:rPr>
          <w:sz w:val="20"/>
          <w:szCs w:val="20"/>
          <w:color w:val="auto"/>
        </w:rPr>
      </w:pPr>
    </w:p>
    <w:p>
      <w:pPr>
        <w:ind w:left="340" w:right="140" w:hanging="8"/>
        <w:spacing w:after="0" w:line="216" w:lineRule="auto"/>
        <w:tabs>
          <w:tab w:leader="none" w:pos="552"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Arial" w:cs="Arial" w:eastAsia="Arial" w:hAnsi="Arial"/>
          <w:sz w:val="27"/>
          <w:szCs w:val="27"/>
          <w:color w:val="auto"/>
          <w:vertAlign w:val="superscript"/>
        </w:rPr>
      </w:pPr>
    </w:p>
    <w:p>
      <w:pPr>
        <w:ind w:left="540" w:hanging="208"/>
        <w:spacing w:after="0" w:line="214"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Semiannual repayments commence in March 2022.</w:t>
      </w:r>
    </w:p>
    <w:p>
      <w:pPr>
        <w:spacing w:after="0" w:line="42" w:lineRule="exact"/>
        <w:rPr>
          <w:rFonts w:ascii="Arial" w:cs="Arial" w:eastAsia="Arial" w:hAnsi="Arial"/>
          <w:sz w:val="25"/>
          <w:szCs w:val="25"/>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See Note 7 for periodic payment amounts.</w:t>
      </w:r>
    </w:p>
    <w:p>
      <w:pPr>
        <w:spacing w:after="0" w:line="42" w:lineRule="exact"/>
        <w:rPr>
          <w:rFonts w:ascii="Arial" w:cs="Arial" w:eastAsia="Arial" w:hAnsi="Arial"/>
          <w:sz w:val="23"/>
          <w:szCs w:val="23"/>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Amount represents the carrying amount of the related right-of-use asset, in which the lessors have a secured interest.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Xiamen</w:t>
            </w:r>
          </w:p>
        </w:tc>
        <w:tc>
          <w:tcPr>
            <w:tcW w:w="14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Hefei</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Xiamen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Working</w:t>
            </w: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Equipment</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Finance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Arial" w:cs="Arial" w:eastAsia="Arial" w:hAnsi="Arial"/>
                <w:sz w:val="18"/>
                <w:szCs w:val="18"/>
                <w:b w:val="1"/>
                <w:bCs w:val="1"/>
                <w:color w:val="auto"/>
              </w:rPr>
              <w:t>As of October 31, 2021</w:t>
            </w: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0"/>
              </w:rPr>
              <w:t>Project Loans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 Loans</w:t>
            </w:r>
          </w:p>
        </w:tc>
        <w:tc>
          <w:tcPr>
            <w:tcW w:w="14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Loan</w:t>
            </w:r>
          </w:p>
        </w:tc>
        <w:tc>
          <w:tcPr>
            <w:tcW w:w="18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Leases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7,289</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22,248</w:t>
            </w:r>
          </w:p>
        </w:tc>
      </w:tr>
      <w:tr>
        <w:trPr>
          <w:trHeight w:val="27"/>
        </w:trPr>
        <w:tc>
          <w:tcPr>
            <w:tcW w:w="10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4,693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6,512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25,281</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5,585</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17,961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33,448</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7,572</w:t>
            </w: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37,823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16,535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31,083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89,446</w:t>
            </w:r>
          </w:p>
        </w:tc>
      </w:tr>
      <w:tr>
        <w:trPr>
          <w:trHeight w:val="257"/>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38,372</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59" w:lineRule="exact"/>
        <w:rPr>
          <w:sz w:val="20"/>
          <w:szCs w:val="20"/>
          <w:color w:val="auto"/>
        </w:rPr>
      </w:pPr>
    </w:p>
    <w:p>
      <w:pPr>
        <w:ind w:right="1240"/>
        <w:spacing w:after="0" w:line="277" w:lineRule="auto"/>
        <w:rPr>
          <w:sz w:val="20"/>
          <w:szCs w:val="20"/>
          <w:color w:val="auto"/>
        </w:rPr>
      </w:pPr>
      <w:r>
        <w:rPr>
          <w:rFonts w:ascii="Arial" w:cs="Arial" w:eastAsia="Arial" w:hAnsi="Arial"/>
          <w:sz w:val="18"/>
          <w:szCs w:val="18"/>
          <w:color w:val="auto"/>
        </w:rPr>
        <w:t>Basis spread on interest rates Interest rate reset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4.65%</w:t>
            </w:r>
          </w:p>
        </w:tc>
        <w:tc>
          <w:tcPr>
            <w:tcW w:w="1720" w:type="dxa"/>
            <w:vAlign w:val="bottom"/>
          </w:tcPr>
          <w:p>
            <w:pPr>
              <w:jc w:val="right"/>
              <w:spacing w:after="0"/>
              <w:rPr>
                <w:sz w:val="20"/>
                <w:szCs w:val="20"/>
                <w:color w:val="auto"/>
              </w:rPr>
            </w:pPr>
            <w:r>
              <w:rPr>
                <w:rFonts w:ascii="Arial" w:cs="Arial" w:eastAsia="Arial" w:hAnsi="Arial"/>
                <w:sz w:val="18"/>
                <w:szCs w:val="18"/>
                <w:color w:val="auto"/>
              </w:rPr>
              <w:t>4.53% - 4.61%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178"/>
              <w:spacing w:after="0"/>
              <w:rPr>
                <w:sz w:val="20"/>
                <w:szCs w:val="20"/>
                <w:color w:val="auto"/>
              </w:rPr>
            </w:pPr>
            <w:r>
              <w:rPr>
                <w:rFonts w:ascii="Arial" w:cs="Arial" w:eastAsia="Arial" w:hAnsi="Arial"/>
                <w:sz w:val="18"/>
                <w:szCs w:val="18"/>
                <w:color w:val="auto"/>
              </w:rPr>
              <w:t>0.00</w:t>
            </w:r>
          </w:p>
        </w:tc>
        <w:tc>
          <w:tcPr>
            <w:tcW w:w="1720" w:type="dxa"/>
            <w:vAlign w:val="bottom"/>
          </w:tcPr>
          <w:p>
            <w:pPr>
              <w:jc w:val="right"/>
              <w:ind w:right="138"/>
              <w:spacing w:after="0"/>
              <w:rPr>
                <w:sz w:val="20"/>
                <w:szCs w:val="20"/>
                <w:color w:val="auto"/>
              </w:rPr>
            </w:pPr>
            <w:r>
              <w:rPr>
                <w:rFonts w:ascii="Arial" w:cs="Arial" w:eastAsia="Arial" w:hAnsi="Arial"/>
                <w:sz w:val="18"/>
                <w:szCs w:val="18"/>
                <w:color w:val="auto"/>
              </w:rPr>
              <w:t>67.75 - 76.00</w:t>
            </w:r>
          </w:p>
        </w:tc>
        <w:tc>
          <w:tcPr>
            <w:tcW w:w="240" w:type="dxa"/>
            <w:vAlign w:val="bottom"/>
          </w:tcPr>
          <w:p>
            <w:pPr>
              <w:spacing w:after="0"/>
              <w:rPr>
                <w:sz w:val="18"/>
                <w:szCs w:val="18"/>
                <w:color w:val="auto"/>
              </w:rPr>
            </w:pPr>
          </w:p>
        </w:tc>
        <w:tc>
          <w:tcPr>
            <w:tcW w:w="1200" w:type="dxa"/>
            <w:vAlign w:val="bottom"/>
          </w:tcPr>
          <w:p>
            <w:pPr>
              <w:jc w:val="right"/>
              <w:ind w:right="65"/>
              <w:spacing w:after="0"/>
              <w:rPr>
                <w:sz w:val="20"/>
                <w:szCs w:val="20"/>
                <w:color w:val="auto"/>
              </w:rPr>
            </w:pPr>
            <w:r>
              <w:rPr>
                <w:rFonts w:ascii="Arial" w:cs="Arial" w:eastAsia="Arial" w:hAnsi="Arial"/>
                <w:sz w:val="18"/>
                <w:szCs w:val="18"/>
                <w:color w:val="auto"/>
              </w:rPr>
              <w:t>(45.00)</w:t>
            </w:r>
          </w:p>
        </w:tc>
        <w:tc>
          <w:tcPr>
            <w:tcW w:w="400" w:type="dxa"/>
            <w:vAlign w:val="bottom"/>
          </w:tcPr>
          <w:p>
            <w:pPr>
              <w:spacing w:after="0"/>
              <w:rPr>
                <w:sz w:val="18"/>
                <w:szCs w:val="18"/>
                <w:color w:val="auto"/>
              </w:rPr>
            </w:pPr>
          </w:p>
        </w:tc>
        <w:tc>
          <w:tcPr>
            <w:tcW w:w="920" w:type="dxa"/>
            <w:vAlign w:val="bottom"/>
          </w:tcPr>
          <w:p>
            <w:pPr>
              <w:jc w:val="right"/>
              <w:ind w:right="10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358"/>
              <w:spacing w:after="0"/>
              <w:rPr>
                <w:sz w:val="20"/>
                <w:szCs w:val="20"/>
                <w:color w:val="auto"/>
              </w:rPr>
            </w:pPr>
            <w:r>
              <w:rPr>
                <w:rFonts w:ascii="Arial" w:cs="Arial" w:eastAsia="Arial" w:hAnsi="Arial"/>
                <w:sz w:val="18"/>
                <w:szCs w:val="18"/>
                <w:color w:val="auto"/>
              </w:rPr>
              <w:t>Quarterly</w:t>
            </w:r>
          </w:p>
        </w:tc>
        <w:tc>
          <w:tcPr>
            <w:tcW w:w="1720" w:type="dxa"/>
            <w:vAlign w:val="bottom"/>
          </w:tcPr>
          <w:p>
            <w:pPr>
              <w:jc w:val="right"/>
              <w:ind w:right="178"/>
              <w:spacing w:after="0"/>
              <w:rPr>
                <w:sz w:val="20"/>
                <w:szCs w:val="20"/>
                <w:color w:val="auto"/>
              </w:rPr>
            </w:pPr>
            <w:r>
              <w:rPr>
                <w:rFonts w:ascii="Arial" w:cs="Arial" w:eastAsia="Arial" w:hAnsi="Arial"/>
                <w:sz w:val="18"/>
                <w:szCs w:val="18"/>
                <w:color w:val="auto"/>
              </w:rPr>
              <w:t>Monthly/Annually</w:t>
            </w:r>
          </w:p>
        </w:tc>
        <w:tc>
          <w:tcPr>
            <w:tcW w:w="240" w:type="dxa"/>
            <w:vAlign w:val="bottom"/>
          </w:tcPr>
          <w:p>
            <w:pPr>
              <w:spacing w:after="0"/>
              <w:rPr>
                <w:sz w:val="18"/>
                <w:szCs w:val="18"/>
                <w:color w:val="auto"/>
              </w:rPr>
            </w:pPr>
          </w:p>
        </w:tc>
        <w:tc>
          <w:tcPr>
            <w:tcW w:w="1200" w:type="dxa"/>
            <w:vAlign w:val="bottom"/>
          </w:tcPr>
          <w:p>
            <w:pPr>
              <w:jc w:val="right"/>
              <w:ind w:right="345"/>
              <w:spacing w:after="0"/>
              <w:rPr>
                <w:sz w:val="20"/>
                <w:szCs w:val="20"/>
                <w:color w:val="auto"/>
              </w:rPr>
            </w:pPr>
            <w:r>
              <w:rPr>
                <w:rFonts w:ascii="Arial" w:cs="Arial" w:eastAsia="Arial" w:hAnsi="Arial"/>
                <w:sz w:val="18"/>
                <w:szCs w:val="18"/>
                <w:color w:val="auto"/>
              </w:rPr>
              <w:t>Annually</w:t>
            </w:r>
          </w:p>
        </w:tc>
        <w:tc>
          <w:tcPr>
            <w:tcW w:w="400" w:type="dxa"/>
            <w:vAlign w:val="bottom"/>
          </w:tcPr>
          <w:p>
            <w:pPr>
              <w:spacing w:after="0"/>
              <w:rPr>
                <w:sz w:val="18"/>
                <w:szCs w:val="18"/>
                <w:color w:val="auto"/>
              </w:rPr>
            </w:pPr>
          </w:p>
        </w:tc>
        <w:tc>
          <w:tcPr>
            <w:tcW w:w="920" w:type="dxa"/>
            <w:vAlign w:val="bottom"/>
          </w:tcPr>
          <w:p>
            <w:pPr>
              <w:jc w:val="right"/>
              <w:ind w:right="10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Arial" w:cs="Arial" w:eastAsia="Arial" w:hAnsi="Arial"/>
                <w:sz w:val="18"/>
                <w:szCs w:val="18"/>
                <w:color w:val="auto"/>
                <w:w w:val="89"/>
              </w:rPr>
              <w:t>December</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98"/>
              <w:spacing w:after="0"/>
              <w:rPr>
                <w:sz w:val="20"/>
                <w:szCs w:val="20"/>
                <w:color w:val="auto"/>
              </w:rPr>
            </w:pPr>
            <w:r>
              <w:rPr>
                <w:rFonts w:ascii="Arial" w:cs="Arial" w:eastAsia="Arial" w:hAnsi="Arial"/>
                <w:sz w:val="18"/>
                <w:szCs w:val="18"/>
                <w:color w:val="auto"/>
                <w:w w:val="89"/>
              </w:rPr>
              <w:t>2025</w:t>
            </w:r>
          </w:p>
        </w:tc>
        <w:tc>
          <w:tcPr>
            <w:tcW w:w="1720" w:type="dxa"/>
            <w:vAlign w:val="bottom"/>
          </w:tcPr>
          <w:p>
            <w:pPr>
              <w:jc w:val="center"/>
              <w:ind w:right="138"/>
              <w:spacing w:after="0"/>
              <w:rPr>
                <w:sz w:val="20"/>
                <w:szCs w:val="20"/>
                <w:color w:val="auto"/>
              </w:rPr>
            </w:pPr>
            <w:r>
              <w:rPr>
                <w:rFonts w:ascii="Arial" w:cs="Arial" w:eastAsia="Arial" w:hAnsi="Arial"/>
                <w:sz w:val="18"/>
                <w:szCs w:val="18"/>
                <w:color w:val="auto"/>
                <w:w w:val="90"/>
              </w:rPr>
              <w:t>July 2023</w:t>
            </w:r>
          </w:p>
        </w:tc>
        <w:tc>
          <w:tcPr>
            <w:tcW w:w="1440" w:type="dxa"/>
            <w:vAlign w:val="bottom"/>
            <w:gridSpan w:val="2"/>
          </w:tcPr>
          <w:p>
            <w:pPr>
              <w:jc w:val="center"/>
              <w:ind w:right="65"/>
              <w:spacing w:after="0"/>
              <w:rPr>
                <w:sz w:val="20"/>
                <w:szCs w:val="20"/>
                <w:color w:val="auto"/>
              </w:rPr>
            </w:pPr>
            <w:r>
              <w:rPr>
                <w:rFonts w:ascii="Arial" w:cs="Arial" w:eastAsia="Arial" w:hAnsi="Arial"/>
                <w:sz w:val="18"/>
                <w:szCs w:val="18"/>
                <w:color w:val="auto"/>
                <w:w w:val="88"/>
              </w:rPr>
              <w:t>September 2025</w:t>
            </w: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78"/>
              <w:spacing w:after="0"/>
              <w:rPr>
                <w:sz w:val="20"/>
                <w:szCs w:val="20"/>
                <w:color w:val="auto"/>
              </w:rPr>
            </w:pPr>
            <w:r>
              <w:rPr>
                <w:rFonts w:ascii="Arial" w:cs="Arial" w:eastAsia="Arial" w:hAnsi="Arial"/>
                <w:sz w:val="18"/>
                <w:szCs w:val="18"/>
                <w:color w:val="auto"/>
                <w:w w:val="86"/>
              </w:rPr>
              <w:t>Varies as loans</w:t>
            </w:r>
          </w:p>
        </w:tc>
        <w:tc>
          <w:tcPr>
            <w:tcW w:w="1720" w:type="dxa"/>
            <w:vAlign w:val="bottom"/>
          </w:tcPr>
          <w:p>
            <w:pPr>
              <w:jc w:val="center"/>
              <w:ind w:right="138"/>
              <w:spacing w:after="0"/>
              <w:rPr>
                <w:sz w:val="20"/>
                <w:szCs w:val="20"/>
                <w:color w:val="auto"/>
              </w:rPr>
            </w:pPr>
            <w:r>
              <w:rPr>
                <w:rFonts w:ascii="Arial" w:cs="Arial" w:eastAsia="Arial" w:hAnsi="Arial"/>
                <w:sz w:val="18"/>
                <w:szCs w:val="18"/>
                <w:color w:val="auto"/>
                <w:w w:val="86"/>
              </w:rPr>
              <w:t>Increases as loans</w:t>
            </w:r>
          </w:p>
        </w:tc>
        <w:tc>
          <w:tcPr>
            <w:tcW w:w="240" w:type="dxa"/>
            <w:vAlign w:val="bottom"/>
          </w:tcPr>
          <w:p>
            <w:pPr>
              <w:spacing w:after="0"/>
              <w:rPr>
                <w:sz w:val="18"/>
                <w:szCs w:val="18"/>
                <w:color w:val="auto"/>
              </w:rPr>
            </w:pPr>
          </w:p>
        </w:tc>
        <w:tc>
          <w:tcPr>
            <w:tcW w:w="1200" w:type="dxa"/>
            <w:vAlign w:val="bottom"/>
            <w:vMerge w:val="restart"/>
          </w:tcPr>
          <w:p>
            <w:pPr>
              <w:jc w:val="center"/>
              <w:ind w:right="305"/>
              <w:spacing w:after="0"/>
              <w:rPr>
                <w:sz w:val="20"/>
                <w:szCs w:val="20"/>
                <w:color w:val="auto"/>
              </w:rPr>
            </w:pPr>
            <w:r>
              <w:rPr>
                <w:rFonts w:ascii="Arial" w:cs="Arial" w:eastAsia="Arial" w:hAnsi="Arial"/>
                <w:sz w:val="18"/>
                <w:szCs w:val="18"/>
                <w:color w:val="auto"/>
                <w:w w:val="83"/>
              </w:rPr>
              <w:t>Varies</w:t>
            </w:r>
            <w:r>
              <w:rPr>
                <w:rFonts w:ascii="Arial" w:cs="Arial" w:eastAsia="Arial" w:hAnsi="Arial"/>
                <w:sz w:val="29"/>
                <w:szCs w:val="29"/>
                <w:color w:val="auto"/>
                <w:w w:val="83"/>
                <w:vertAlign w:val="superscript"/>
              </w:rPr>
              <w:t>(1)</w:t>
            </w: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Arial" w:cs="Arial" w:eastAsia="Arial" w:hAnsi="Arial"/>
                <w:sz w:val="18"/>
                <w:szCs w:val="18"/>
                <w:color w:val="auto"/>
                <w:w w:val="89"/>
              </w:rPr>
              <w:t>mature</w:t>
            </w:r>
          </w:p>
        </w:tc>
        <w:tc>
          <w:tcPr>
            <w:tcW w:w="1720" w:type="dxa"/>
            <w:vAlign w:val="bottom"/>
          </w:tcPr>
          <w:p>
            <w:pPr>
              <w:jc w:val="center"/>
              <w:ind w:right="138"/>
              <w:spacing w:after="0"/>
              <w:rPr>
                <w:sz w:val="20"/>
                <w:szCs w:val="20"/>
                <w:color w:val="auto"/>
              </w:rPr>
            </w:pPr>
            <w:r>
              <w:rPr>
                <w:rFonts w:ascii="Arial" w:cs="Arial" w:eastAsia="Arial" w:hAnsi="Arial"/>
                <w:sz w:val="18"/>
                <w:szCs w:val="18"/>
                <w:color w:val="auto"/>
                <w:w w:val="89"/>
              </w:rPr>
              <w:t>mature</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8"/>
              <w:spacing w:after="0"/>
              <w:rPr>
                <w:sz w:val="20"/>
                <w:szCs w:val="20"/>
                <w:color w:val="auto"/>
              </w:rPr>
            </w:pPr>
            <w:r>
              <w:rPr>
                <w:rFonts w:ascii="Arial" w:cs="Arial" w:eastAsia="Arial" w:hAnsi="Arial"/>
                <w:sz w:val="18"/>
                <w:szCs w:val="18"/>
                <w:color w:val="auto"/>
                <w:w w:val="89"/>
              </w:rPr>
              <w:t>Semiannual,</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98"/>
              <w:spacing w:after="0"/>
              <w:rPr>
                <w:sz w:val="20"/>
                <w:szCs w:val="20"/>
                <w:color w:val="auto"/>
              </w:rPr>
            </w:pPr>
            <w:r>
              <w:rPr>
                <w:rFonts w:ascii="Arial" w:cs="Arial" w:eastAsia="Arial" w:hAnsi="Arial"/>
                <w:sz w:val="18"/>
                <w:szCs w:val="18"/>
                <w:color w:val="auto"/>
                <w:w w:val="95"/>
              </w:rPr>
              <w:t>on individual</w:t>
            </w:r>
          </w:p>
        </w:tc>
        <w:tc>
          <w:tcPr>
            <w:tcW w:w="1720" w:type="dxa"/>
            <w:vAlign w:val="bottom"/>
          </w:tcPr>
          <w:p>
            <w:pPr>
              <w:jc w:val="center"/>
              <w:ind w:right="118"/>
              <w:spacing w:after="0"/>
              <w:rPr>
                <w:sz w:val="20"/>
                <w:szCs w:val="20"/>
                <w:color w:val="auto"/>
              </w:rPr>
            </w:pPr>
            <w:r>
              <w:rPr>
                <w:rFonts w:ascii="Arial" w:cs="Arial" w:eastAsia="Arial" w:hAnsi="Arial"/>
                <w:sz w:val="18"/>
                <w:szCs w:val="18"/>
                <w:color w:val="auto"/>
                <w:w w:val="89"/>
              </w:rPr>
              <w:t>Semiannual, on</w:t>
            </w:r>
          </w:p>
        </w:tc>
        <w:tc>
          <w:tcPr>
            <w:tcW w:w="1440" w:type="dxa"/>
            <w:vAlign w:val="bottom"/>
            <w:gridSpan w:val="2"/>
            <w:vMerge w:val="restart"/>
          </w:tcPr>
          <w:p>
            <w:pPr>
              <w:jc w:val="center"/>
              <w:ind w:right="65"/>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center"/>
              <w:ind w:right="278"/>
              <w:spacing w:after="0"/>
              <w:rPr>
                <w:sz w:val="20"/>
                <w:szCs w:val="20"/>
                <w:color w:val="auto"/>
              </w:rPr>
            </w:pPr>
            <w:r>
              <w:rPr>
                <w:rFonts w:ascii="Arial" w:cs="Arial" w:eastAsia="Arial" w:hAnsi="Arial"/>
                <w:sz w:val="18"/>
                <w:szCs w:val="18"/>
                <w:color w:val="auto"/>
                <w:w w:val="88"/>
              </w:rPr>
              <w:t>loans</w:t>
            </w:r>
          </w:p>
        </w:tc>
        <w:tc>
          <w:tcPr>
            <w:tcW w:w="1720" w:type="dxa"/>
            <w:vAlign w:val="bottom"/>
          </w:tcPr>
          <w:p>
            <w:pPr>
              <w:jc w:val="center"/>
              <w:ind w:right="138"/>
              <w:spacing w:after="0"/>
              <w:rPr>
                <w:sz w:val="20"/>
                <w:szCs w:val="20"/>
                <w:color w:val="auto"/>
              </w:rPr>
            </w:pPr>
            <w:r>
              <w:rPr>
                <w:rFonts w:ascii="Arial" w:cs="Arial" w:eastAsia="Arial" w:hAnsi="Arial"/>
                <w:sz w:val="18"/>
                <w:szCs w:val="18"/>
                <w:color w:val="auto"/>
                <w:w w:val="92"/>
              </w:rPr>
              <w:t>individual loans</w:t>
            </w:r>
          </w:p>
        </w:tc>
        <w:tc>
          <w:tcPr>
            <w:tcW w:w="1440" w:type="dxa"/>
            <w:vAlign w:val="bottom"/>
            <w:gridSpan w:val="2"/>
            <w:vMerge w:val="continue"/>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29"/>
        </w:trPr>
        <w:tc>
          <w:tcPr>
            <w:tcW w:w="100" w:type="dxa"/>
            <w:vAlign w:val="bottom"/>
            <w:vMerge w:val="continue"/>
          </w:tcPr>
          <w:p>
            <w:pPr>
              <w:spacing w:after="0"/>
              <w:rPr>
                <w:sz w:val="2"/>
                <w:szCs w:val="2"/>
                <w:color w:val="auto"/>
              </w:rPr>
            </w:pPr>
          </w:p>
        </w:tc>
        <w:tc>
          <w:tcPr>
            <w:tcW w:w="1260" w:type="dxa"/>
            <w:vAlign w:val="bottom"/>
          </w:tcPr>
          <w:p>
            <w:pPr>
              <w:jc w:val="right"/>
              <w:ind w:right="178"/>
              <w:spacing w:after="0" w:line="30" w:lineRule="exact"/>
              <w:rPr>
                <w:sz w:val="20"/>
                <w:szCs w:val="20"/>
                <w:color w:val="auto"/>
              </w:rPr>
            </w:pPr>
            <w:r>
              <w:rPr>
                <w:rFonts w:ascii="Arial" w:cs="Arial" w:eastAsia="Arial" w:hAnsi="Arial"/>
                <w:sz w:val="3"/>
                <w:szCs w:val="3"/>
                <w:color w:val="auto"/>
              </w:rPr>
              <w:t>90,096</w:t>
            </w:r>
          </w:p>
        </w:tc>
        <w:tc>
          <w:tcPr>
            <w:tcW w:w="1720" w:type="dxa"/>
            <w:vAlign w:val="bottom"/>
          </w:tcPr>
          <w:p>
            <w:pPr>
              <w:jc w:val="right"/>
              <w:ind w:right="138"/>
              <w:spacing w:after="0" w:line="30" w:lineRule="exact"/>
              <w:rPr>
                <w:sz w:val="20"/>
                <w:szCs w:val="20"/>
                <w:color w:val="auto"/>
              </w:rPr>
            </w:pPr>
            <w:r>
              <w:rPr>
                <w:rFonts w:ascii="Arial" w:cs="Arial" w:eastAsia="Arial" w:hAnsi="Arial"/>
                <w:sz w:val="3"/>
                <w:szCs w:val="3"/>
                <w:color w:val="auto"/>
              </w:rPr>
              <w:t>N/A</w:t>
            </w:r>
          </w:p>
        </w:tc>
        <w:tc>
          <w:tcPr>
            <w:tcW w:w="240" w:type="dxa"/>
            <w:vAlign w:val="bottom"/>
          </w:tcPr>
          <w:p>
            <w:pPr>
              <w:jc w:val="right"/>
              <w:ind w:right="34"/>
              <w:spacing w:after="0" w:line="30" w:lineRule="exact"/>
              <w:rPr>
                <w:sz w:val="20"/>
                <w:szCs w:val="20"/>
                <w:color w:val="auto"/>
              </w:rPr>
            </w:pPr>
            <w:r>
              <w:rPr>
                <w:rFonts w:ascii="Arial" w:cs="Arial" w:eastAsia="Arial" w:hAnsi="Arial"/>
                <w:sz w:val="3"/>
                <w:szCs w:val="3"/>
                <w:color w:val="auto"/>
              </w:rPr>
              <w:t>$</w:t>
            </w:r>
          </w:p>
        </w:tc>
        <w:tc>
          <w:tcPr>
            <w:tcW w:w="1200" w:type="dxa"/>
            <w:vAlign w:val="bottom"/>
          </w:tcPr>
          <w:p>
            <w:pPr>
              <w:jc w:val="right"/>
              <w:ind w:right="125"/>
              <w:spacing w:after="0" w:line="30" w:lineRule="exact"/>
              <w:rPr>
                <w:sz w:val="20"/>
                <w:szCs w:val="20"/>
                <w:color w:val="auto"/>
              </w:rPr>
            </w:pPr>
            <w:r>
              <w:rPr>
                <w:rFonts w:ascii="Arial" w:cs="Arial" w:eastAsia="Arial" w:hAnsi="Arial"/>
                <w:sz w:val="3"/>
                <w:szCs w:val="3"/>
                <w:color w:val="auto"/>
              </w:rPr>
              <w:t>86,487</w:t>
            </w:r>
          </w:p>
        </w:tc>
        <w:tc>
          <w:tcPr>
            <w:tcW w:w="400" w:type="dxa"/>
            <w:vAlign w:val="bottom"/>
          </w:tcPr>
          <w:p>
            <w:pPr>
              <w:ind w:left="60"/>
              <w:spacing w:after="0" w:line="30" w:lineRule="exact"/>
              <w:rPr>
                <w:sz w:val="20"/>
                <w:szCs w:val="20"/>
                <w:color w:val="auto"/>
              </w:rPr>
            </w:pPr>
            <w:r>
              <w:rPr>
                <w:rFonts w:ascii="Arial" w:cs="Arial" w:eastAsia="Arial" w:hAnsi="Arial"/>
                <w:sz w:val="3"/>
                <w:szCs w:val="3"/>
                <w:color w:val="auto"/>
              </w:rPr>
              <w:t>$</w:t>
            </w:r>
          </w:p>
        </w:tc>
        <w:tc>
          <w:tcPr>
            <w:tcW w:w="920" w:type="dxa"/>
            <w:vAlign w:val="bottom"/>
          </w:tcPr>
          <w:p>
            <w:pPr>
              <w:jc w:val="right"/>
              <w:ind w:right="109"/>
              <w:spacing w:after="0" w:line="30" w:lineRule="exact"/>
              <w:rPr>
                <w:sz w:val="20"/>
                <w:szCs w:val="20"/>
                <w:color w:val="auto"/>
              </w:rPr>
            </w:pPr>
            <w:r>
              <w:rPr>
                <w:rFonts w:ascii="Arial" w:cs="Arial" w:eastAsia="Arial" w:hAnsi="Arial"/>
                <w:sz w:val="3"/>
                <w:szCs w:val="3"/>
                <w:color w:val="auto"/>
              </w:rPr>
              <w:t>40,826</w:t>
            </w: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-1526540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-1226820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-814705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-128905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80"/>
          </w:cols>
          <w:pgMar w:left="320" w:top="114" w:right="339" w:bottom="1440" w:gutter="0" w:footer="0" w:header="0"/>
          <w:type w:val="continuous"/>
        </w:sectPr>
      </w:pPr>
    </w:p>
    <w:p>
      <w:pPr>
        <w:spacing w:after="0" w:line="54" w:lineRule="exact"/>
        <w:rPr>
          <w:sz w:val="20"/>
          <w:szCs w:val="20"/>
          <w:color w:val="auto"/>
        </w:rPr>
      </w:pPr>
    </w:p>
    <w:p>
      <w:pPr>
        <w:ind w:left="340" w:right="140" w:hanging="8"/>
        <w:spacing w:after="0" w:line="216" w:lineRule="auto"/>
        <w:tabs>
          <w:tab w:leader="none" w:pos="552"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approved loan principal.</w:t>
      </w:r>
    </w:p>
    <w:p>
      <w:pPr>
        <w:spacing w:after="0" w:line="1" w:lineRule="exact"/>
        <w:rPr>
          <w:rFonts w:ascii="Arial" w:cs="Arial" w:eastAsia="Arial" w:hAnsi="Arial"/>
          <w:sz w:val="27"/>
          <w:szCs w:val="27"/>
          <w:color w:val="auto"/>
          <w:vertAlign w:val="superscript"/>
        </w:rPr>
      </w:pPr>
    </w:p>
    <w:p>
      <w:pPr>
        <w:ind w:left="560" w:hanging="228"/>
        <w:spacing w:after="0" w:line="198" w:lineRule="auto"/>
        <w:tabs>
          <w:tab w:leader="none" w:pos="56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Semiannual repayments commence in March 2022.</w:t>
      </w:r>
    </w:p>
    <w:p>
      <w:pPr>
        <w:spacing w:after="0" w:line="42" w:lineRule="exact"/>
        <w:rPr>
          <w:rFonts w:ascii="Arial" w:cs="Arial" w:eastAsia="Arial" w:hAnsi="Arial"/>
          <w:sz w:val="27"/>
          <w:szCs w:val="27"/>
          <w:color w:val="auto"/>
          <w:vertAlign w:val="superscript"/>
        </w:rPr>
      </w:pPr>
    </w:p>
    <w:p>
      <w:pPr>
        <w:ind w:left="560" w:hanging="228"/>
        <w:spacing w:after="0" w:line="194" w:lineRule="auto"/>
        <w:tabs>
          <w:tab w:leader="none" w:pos="56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See Note 7 for interest rates on lease liabilities, maturity dates, and periodic payment amounts.</w:t>
      </w:r>
    </w:p>
    <w:p>
      <w:pPr>
        <w:spacing w:after="0" w:line="42" w:lineRule="exact"/>
        <w:rPr>
          <w:rFonts w:ascii="Arial" w:cs="Arial" w:eastAsia="Arial" w:hAnsi="Arial"/>
          <w:sz w:val="23"/>
          <w:szCs w:val="23"/>
          <w:color w:val="auto"/>
          <w:vertAlign w:val="superscript"/>
        </w:rPr>
      </w:pPr>
    </w:p>
    <w:p>
      <w:pPr>
        <w:ind w:left="560" w:hanging="228"/>
        <w:spacing w:after="0" w:line="194" w:lineRule="auto"/>
        <w:tabs>
          <w:tab w:leader="none" w:pos="56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November 2018, PDMCX obtained approval to borrow 345.0 million RMB from the Industrial and Commercial Bank of China. From November 2018 through July 2020, PDMCX entered into separate loan agreements (the “Project Loans”) for the entire approved amount and, as of January 30, 2022, 220.3 million RMB ($34.6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is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at January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 Unless extended, this facility will expire in October 2022. As of January 30, 2022, PDMCX had 28.8 million RMB ($4.5 million) outstanding against the approval. The interest rates are variable, based on the RMB Loan Prime Rate of the National Interbank Funding Center. Interest incurred on the loans is eligible for reimbursement through incentives provided by the Xiamen Torch Hi-Tech Industrial Development Zone, which provide for such reimbursements up to a prescribed limit and duration.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October 2020, our Hefei, China, facility was approved to borrow 200 million RMB (approximately $31.4 million, at the balance sheet date) from the China Construction Bank Corporation. This credit facility is subject to annual reviews and extension, with the most recent extension set to expire in August 2022. The loan proceeds were used to fund the purchase of two lithography tools at the Hefei facility. As of January 30, 2022, we had borrowed 135.7 million RMB ($21.3 million) against this approval (all of which was then outstanding), and 64.3 million RMB ($10.1 million) remained available to borrow. The interest rate on the loan is variable and based on the RMB Loan Prime Rate of the National Interbank Funding Center. The borrowings are secured by the Hefei facility, its related land use right, and certain manufacturing equipment. The Hefei Equipment Loan is subject to covenants and provisions, certain of which relate to the assets pledged as security for the loan, including covenants for the ratio of total liabilities to total assets and the ratio of current assets to current liabilities, all of which we were in compliance with at January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and, in December 2020, we entered into a $35.5 million lease for a high-end lithography tool. See Note 7 for additional information on these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January 30, 2022), and limits the amount of cash dividends, distributions, and redemptions we can pay on our common stock to an aggregate annual amount of $50 million. We had no outstanding borrowings against the Credit Agreement at January 30, 2022. The interest rate on the Credit Agreement (1.11% at January 30, 2022) is based on our total leverage ratio at 1-month LIBOR plus a spread, as defined in the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$11.8 million are included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and contract liabilities of $19.5 million and $5.2 million are included in </w:t>
      </w:r>
      <w:r>
        <w:rPr>
          <w:rFonts w:ascii="Arial" w:cs="Arial" w:eastAsia="Arial" w:hAnsi="Arial"/>
          <w:sz w:val="16"/>
          <w:szCs w:val="16"/>
          <w:i w:val="1"/>
          <w:iCs w:val="1"/>
          <w:color w:val="auto"/>
        </w:rPr>
        <w:t>Accrued liabilities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respectively, in our January 30, 2022, condensed consolidated balance sheet. Our October 31, 2021, condensed consolidated balance sheet includes contract assets of $9.9 million, included in </w:t>
      </w:r>
      <w:r>
        <w:rPr>
          <w:rFonts w:ascii="Arial" w:cs="Arial" w:eastAsia="Arial" w:hAnsi="Arial"/>
          <w:sz w:val="16"/>
          <w:szCs w:val="16"/>
          <w:i w:val="1"/>
          <w:iCs w:val="1"/>
          <w:color w:val="auto"/>
        </w:rPr>
        <w:t>Other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and contract liabilities of $14.7 million and $5.2 million are included in</w:t>
      </w:r>
      <w:r>
        <w:rPr>
          <w:rFonts w:ascii="Arial" w:cs="Arial" w:eastAsia="Arial" w:hAnsi="Arial"/>
          <w:sz w:val="16"/>
          <w:szCs w:val="16"/>
          <w:i w:val="1"/>
          <w:iCs w:val="1"/>
          <w:color w:val="auto"/>
        </w:rPr>
        <w:t xml:space="preserve"> Accrued liabilities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liabilities, </w:t>
      </w:r>
      <w:r>
        <w:rPr>
          <w:rFonts w:ascii="Arial" w:cs="Arial" w:eastAsia="Arial" w:hAnsi="Arial"/>
          <w:sz w:val="16"/>
          <w:szCs w:val="16"/>
          <w:color w:val="auto"/>
        </w:rPr>
        <w:t>respectively. We did not impair 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assets during the three-month periods ended January 30, 2022, or January 31, 2021. We recognized $4.2 million of revenue from the settlement of contract liabilities that existed at the beginning of the three-month period ended January 30, 2022, and recognized $2.5 million of revenue in the respective prior year period, that related to the settlement of contract liabilities that existed at the beginning of that period.</w:t>
      </w:r>
    </w:p>
    <w:p>
      <w:pPr>
        <w:sectPr>
          <w:pgSz w:w="11900" w:h="16838" w:orient="portrait"/>
          <w:cols w:equalWidth="0" w:num="1">
            <w:col w:w="11240"/>
          </w:cols>
          <w:pgMar w:left="320" w:top="122"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three-month periods ended January 30, 2022, or January 31, 2021.</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tables present our revenue for the three-month periods ended January 30, 2022, and January 31, 2021, disaggregated by product type, geographic origin, and timing of recognition.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175"/>
        </w:trPr>
        <w:tc>
          <w:tcPr>
            <w:tcW w:w="3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Revenue by Product Type</w:t>
            </w: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IC</w:t>
            </w:r>
          </w:p>
        </w:tc>
        <w:tc>
          <w:tcPr>
            <w:tcW w:w="17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36,780</w:t>
            </w:r>
          </w:p>
        </w:tc>
      </w:tr>
      <w:tr>
        <w:trPr>
          <w:trHeight w:val="223"/>
        </w:trPr>
        <w:tc>
          <w:tcPr>
            <w:tcW w:w="3760" w:type="dxa"/>
            <w:vAlign w:val="bottom"/>
            <w:gridSpan w:val="4"/>
          </w:tcPr>
          <w:p>
            <w:pPr>
              <w:ind w:left="140"/>
              <w:spacing w:after="0"/>
              <w:rPr>
                <w:sz w:val="20"/>
                <w:szCs w:val="20"/>
                <w:color w:val="auto"/>
              </w:rPr>
            </w:pPr>
            <w:r>
              <w:rPr>
                <w:rFonts w:ascii="Arial" w:cs="Arial" w:eastAsia="Arial" w:hAnsi="Arial"/>
                <w:sz w:val="18"/>
                <w:szCs w:val="18"/>
                <w:color w:val="auto"/>
              </w:rPr>
              <w:t>Mainstream</w:t>
            </w: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83,227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68,176</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Total IC</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129,761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104,956</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4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760" w:type="dxa"/>
            <w:vAlign w:val="bottom"/>
            <w:gridSpan w:val="4"/>
          </w:tcPr>
          <w:p>
            <w:pPr>
              <w:ind w:left="140"/>
              <w:spacing w:after="0"/>
              <w:rPr>
                <w:sz w:val="20"/>
                <w:szCs w:val="20"/>
                <w:color w:val="auto"/>
              </w:rPr>
            </w:pPr>
            <w:r>
              <w:rPr>
                <w:rFonts w:ascii="Arial" w:cs="Arial" w:eastAsia="Arial" w:hAnsi="Arial"/>
                <w:sz w:val="18"/>
                <w:szCs w:val="18"/>
                <w:color w:val="auto"/>
              </w:rPr>
              <w:t>High-end</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46,276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34,645</w:t>
            </w:r>
          </w:p>
        </w:tc>
      </w:tr>
      <w:tr>
        <w:trPr>
          <w:trHeight w:val="223"/>
        </w:trPr>
        <w:tc>
          <w:tcPr>
            <w:tcW w:w="3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Mainstream</w:t>
            </w:r>
          </w:p>
        </w:tc>
        <w:tc>
          <w:tcPr>
            <w:tcW w:w="4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12,466</w:t>
            </w:r>
          </w:p>
        </w:tc>
      </w:tr>
      <w:tr>
        <w:trPr>
          <w:trHeight w:val="216"/>
        </w:trPr>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180" w:type="dxa"/>
            <w:vAlign w:val="bottom"/>
            <w:shd w:val="clear" w:color="auto" w:fill="CCEEFF"/>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FPD</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47,111</w:t>
            </w:r>
          </w:p>
        </w:tc>
      </w:tr>
      <w:tr>
        <w:trPr>
          <w:trHeight w:val="216"/>
        </w:trPr>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152,067</w:t>
            </w:r>
          </w:p>
        </w:tc>
      </w:tr>
      <w:tr>
        <w:trPr>
          <w:trHeight w:val="562"/>
        </w:trPr>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4920" w:type="dxa"/>
            <w:vAlign w:val="bottom"/>
            <w:tcBorders>
              <w:top w:val="single" w:sz="8" w:color="CCEEFF"/>
            </w:tcBorders>
          </w:tcPr>
          <w:p>
            <w:pPr>
              <w:jc w:val="right"/>
              <w:ind w:right="2893"/>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120" w:type="dxa"/>
            <w:vAlign w:val="bottom"/>
            <w:tcBorders>
              <w:top w:val="single" w:sz="8" w:color="auto"/>
            </w:tcBorders>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Revenue by Geographic Origin*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56,590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45,953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20,997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38,783</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27,176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189,827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152,067</w:t>
            </w:r>
          </w:p>
        </w:tc>
        <w:tc>
          <w:tcPr>
            <w:tcW w:w="0" w:type="dxa"/>
            <w:vAlign w:val="bottom"/>
          </w:tcPr>
          <w:p>
            <w:pPr>
              <w:spacing w:after="0"/>
              <w:rPr>
                <w:sz w:val="1"/>
                <w:szCs w:val="1"/>
                <w:color w:val="auto"/>
              </w:rPr>
            </w:pPr>
          </w:p>
        </w:tc>
      </w:tr>
      <w:tr>
        <w:trPr>
          <w:trHeight w:val="20"/>
        </w:trPr>
        <w:tc>
          <w:tcPr>
            <w:tcW w:w="8680" w:type="dxa"/>
            <w:vAlign w:val="bottom"/>
            <w:gridSpan w:val="4"/>
            <w:vMerge w:val="restart"/>
          </w:tcPr>
          <w:p>
            <w:pPr>
              <w:spacing w:after="0"/>
              <w:rPr>
                <w:sz w:val="20"/>
                <w:szCs w:val="20"/>
                <w:color w:val="auto"/>
              </w:rPr>
            </w:pPr>
            <w:r>
              <w:rPr>
                <w:rFonts w:ascii="Arial" w:cs="Arial" w:eastAsia="Arial" w:hAnsi="Arial"/>
                <w:sz w:val="18"/>
                <w:szCs w:val="18"/>
                <w:color w:val="auto"/>
              </w:rPr>
              <w:t>* This table disaggregates revenue by the location in which it was earned.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120" w:type="dxa"/>
            <w:vAlign w:val="bottom"/>
            <w:tcBorders>
              <w:top w:val="single" w:sz="8" w:color="auto"/>
            </w:tcBorders>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6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Revenue by Timing of Recognition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Over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141,284</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At a point in time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10,783</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we are typically required to fulfill customer orders within a short period of time, our backlog of orders has historically been two to three weeks for FPD photomasks and one to two weeks of backlog for IC photomasks. However, the demand for some IC photomasks has expanded beyond the industry’s capacity to supply them within the traditional time period, thus the backlog in some cases can expand to as long as 2 to 3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(at our option) any photomasks that fail to do so. The warranties do not represent separate performance obligations in our revenue contracts. Historically, customer claims under warranties have been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earlier of the date of the agreement or the date on which we commit to entering the agreement. Our evaluation considers whether the agreement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recognize leases on our consolidated balance sheet when a lessor makes an asset underlying a lease having a term in excess of twelve months available for our use. As allowed under ASC Topic 842 – “Leases” (“Topic 842”), we have elected not to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ROU assets and their related lease liabilities. We measure finance lease liabilities using the rates implicit in the leases; operating lease liabilities are measured using our incremental borrowing rates, for collateralized loans, at the commencement date. Variable lease payments, other than those that are dependent on an index or on a rate, are not included in the measurement of ROU assets and their related lease liabilities. Lease terms include extension periods if the lease agreement includes an option to extend the lease that we are reasonably certain to exercise. As allowed under Topic 842, we have elected, for all classes of assets, the practical expedient to not separate lease components of a contract from nonlease components of a contract.</w:t>
      </w:r>
    </w:p>
    <w:p>
      <w:pPr>
        <w:spacing w:after="0" w:line="166" w:lineRule="exact"/>
        <w:rPr>
          <w:sz w:val="20"/>
          <w:szCs w:val="20"/>
          <w:color w:val="auto"/>
        </w:rPr>
      </w:pPr>
    </w:p>
    <w:p>
      <w:pPr>
        <w:ind w:firstLine="369"/>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9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to be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5, and includes a cross-default provision for any agreement or instrument with an outstanding, committed balance greater than $5.0 million in which we are the indebted party.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on operating and finance leases included in our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194"/>
        </w:trPr>
        <w:tc>
          <w:tcPr>
            <w:tcW w:w="410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100" w:type="dxa"/>
            <w:vAlign w:val="bottom"/>
            <w:gridSpan w:val="6"/>
            <w:vMerge w:val="restart"/>
          </w:tcPr>
          <w:p>
            <w:pPr>
              <w:spacing w:after="0"/>
              <w:rPr>
                <w:sz w:val="20"/>
                <w:szCs w:val="20"/>
                <w:color w:val="auto"/>
              </w:rPr>
            </w:pPr>
            <w:r>
              <w:rPr>
                <w:rFonts w:ascii="Arial" w:cs="Arial" w:eastAsia="Arial" w:hAnsi="Arial"/>
                <w:sz w:val="18"/>
                <w:szCs w:val="18"/>
                <w:color w:val="auto"/>
              </w:rPr>
              <w:t>ROU Assets – Operating Leases</w:t>
            </w:r>
          </w:p>
        </w:tc>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4100" w:type="dxa"/>
            <w:vAlign w:val="bottom"/>
            <w:gridSpan w:val="6"/>
            <w:vMerge w:val="continue"/>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ROU Assets – Finance Leases</w:t>
            </w:r>
          </w:p>
        </w:tc>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40,116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gridSpan w:val="6"/>
          </w:tcPr>
          <w:p>
            <w:pPr>
              <w:spacing w:after="0" w:line="176" w:lineRule="exact"/>
              <w:rPr>
                <w:sz w:val="20"/>
                <w:szCs w:val="20"/>
                <w:color w:val="auto"/>
              </w:rPr>
            </w:pPr>
            <w:r>
              <w:rPr>
                <w:rFonts w:ascii="Arial" w:cs="Arial" w:eastAsia="Arial" w:hAnsi="Arial"/>
                <w:sz w:val="18"/>
                <w:szCs w:val="18"/>
                <w:color w:val="auto"/>
              </w:rPr>
              <w:t>Lease Liabilities – Operating Leases</w:t>
            </w: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23"/>
        </w:trPr>
        <w:tc>
          <w:tcPr>
            <w:tcW w:w="410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57"/>
        </w:trPr>
        <w:tc>
          <w:tcPr>
            <w:tcW w:w="10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Lease Liabilities – Finance Leases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4"/>
              </w:rPr>
              <w:t>Current portion of long-term debt</w:t>
            </w:r>
          </w:p>
        </w:tc>
        <w:tc>
          <w:tcPr>
            <w:tcW w:w="1620" w:type="dxa"/>
            <w:vAlign w:val="bottom"/>
            <w:tcBorders>
              <w:top w:val="single" w:sz="8" w:color="CCEEFF"/>
            </w:tcBorders>
            <w:gridSpan w:val="2"/>
          </w:tcPr>
          <w:p>
            <w:pPr>
              <w:spacing w:after="0"/>
              <w:rPr>
                <w:sz w:val="18"/>
                <w:szCs w:val="18"/>
                <w:color w:val="auto"/>
              </w:rPr>
            </w:pPr>
          </w:p>
        </w:tc>
        <w:tc>
          <w:tcPr>
            <w:tcW w:w="4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6,876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31,083</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38,372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80" w:type="dxa"/>
            <w:vAlign w:val="bottom"/>
            <w:vMerge w:val="restart"/>
          </w:tcPr>
          <w:p>
            <w:pPr>
              <w:jc w:val="right"/>
              <w:ind w:right="2893"/>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700" w:firstLine="323"/>
        <w:spacing w:after="0" w:line="277" w:lineRule="auto"/>
        <w:rPr>
          <w:sz w:val="20"/>
          <w:szCs w:val="20"/>
          <w:color w:val="auto"/>
        </w:rPr>
      </w:pPr>
      <w:r>
        <w:rPr>
          <w:rFonts w:ascii="Arial" w:cs="Arial" w:eastAsia="Arial" w:hAnsi="Arial"/>
          <w:sz w:val="18"/>
          <w:szCs w:val="18"/>
          <w:color w:val="auto"/>
        </w:rPr>
        <w:t>The following table presents future lease payments under noncancelable operating and finance leases as of January 30, 2022. Imputed interest represents the difference between undiscounted cash flows and discounted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Finance Lease</w:t>
            </w: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Leases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year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Imputed interest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tcPr>
          <w:p>
            <w:pPr>
              <w:ind w:left="340"/>
              <w:spacing w:after="0"/>
              <w:rPr>
                <w:sz w:val="20"/>
                <w:szCs w:val="20"/>
                <w:color w:val="auto"/>
              </w:rPr>
            </w:pPr>
            <w:r>
              <w:rPr>
                <w:rFonts w:ascii="Arial" w:cs="Arial" w:eastAsia="Arial" w:hAnsi="Arial"/>
                <w:sz w:val="18"/>
                <w:szCs w:val="18"/>
                <w:color w:val="auto"/>
                <w:w w:val="89"/>
              </w:rPr>
              <w:t>The following table presents lease costs for the three month periods ended January 30, 2022, and January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lease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ROU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statistical information related to our operating and finance leases. The information presented is as of the balance sheet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7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January 30,</w:t>
            </w:r>
          </w:p>
        </w:tc>
        <w:tc>
          <w:tcPr>
            <w:tcW w:w="2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10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lease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lease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term (in</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term (in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194"/>
        </w:trPr>
        <w:tc>
          <w:tcPr>
            <w:tcW w:w="5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34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years)</w:t>
            </w:r>
          </w:p>
        </w:tc>
        <w:tc>
          <w:tcPr>
            <w:tcW w:w="13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8"/>
              </w:rPr>
              <w:t>discount rate</w:t>
            </w:r>
          </w:p>
        </w:tc>
        <w:tc>
          <w:tcPr>
            <w:tcW w:w="134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years)</w:t>
            </w:r>
          </w:p>
        </w:tc>
        <w:tc>
          <w:tcPr>
            <w:tcW w:w="126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88"/>
              </w:rPr>
              <w:t>discount rate</w:t>
            </w:r>
          </w:p>
        </w:tc>
      </w:tr>
      <w:tr>
        <w:trPr>
          <w:trHeight w:val="28"/>
        </w:trPr>
        <w:tc>
          <w:tcPr>
            <w:tcW w:w="104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effects on our condensed consolidated statements of cash flows, and provides leases-related non-cash information for the periods presented.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5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5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cash flows used for finance leases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 used for finance leases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ROU assets obtained in exchange for operating lease obligations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finance lease obligations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35,560</w:t>
            </w:r>
          </w:p>
        </w:tc>
      </w:tr>
      <w:tr>
        <w:trPr>
          <w:trHeight w:val="569"/>
        </w:trPr>
        <w:tc>
          <w:tcPr>
            <w:tcW w:w="5100" w:type="dxa"/>
            <w:vAlign w:val="bottom"/>
          </w:tcPr>
          <w:p>
            <w:pPr>
              <w:spacing w:after="0"/>
              <w:rPr>
                <w:sz w:val="24"/>
                <w:szCs w:val="24"/>
                <w:color w:val="auto"/>
              </w:rPr>
            </w:pPr>
          </w:p>
        </w:tc>
        <w:tc>
          <w:tcPr>
            <w:tcW w:w="3580" w:type="dxa"/>
            <w:vAlign w:val="bottom"/>
          </w:tcPr>
          <w:p>
            <w:pPr>
              <w:jc w:val="right"/>
              <w:ind w:right="2894"/>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1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three-month periods ended January 30, 2022, and January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7380" w:type="dxa"/>
            <w:vAlign w:val="bottom"/>
          </w:tcPr>
          <w:p>
            <w:pPr>
              <w:spacing w:after="0"/>
              <w:rPr>
                <w:sz w:val="17"/>
                <w:szCs w:val="17"/>
                <w:color w:val="auto"/>
              </w:rPr>
            </w:pPr>
          </w:p>
        </w:tc>
        <w:tc>
          <w:tcPr>
            <w:tcW w:w="2120" w:type="dxa"/>
            <w:vAlign w:val="bottom"/>
            <w:gridSpan w:val="3"/>
          </w:tcPr>
          <w:p>
            <w:pPr>
              <w:jc w:val="right"/>
              <w:ind w:right="820"/>
              <w:spacing w:after="0" w:line="198" w:lineRule="exact"/>
              <w:rPr>
                <w:sz w:val="20"/>
                <w:szCs w:val="20"/>
                <w:color w:val="auto"/>
              </w:rPr>
            </w:pPr>
            <w:r>
              <w:rPr>
                <w:rFonts w:ascii="Arial" w:cs="Arial" w:eastAsia="Arial" w:hAnsi="Arial"/>
                <w:sz w:val="18"/>
                <w:szCs w:val="18"/>
                <w:b w:val="1"/>
                <w:bCs w:val="1"/>
                <w:color w:val="auto"/>
              </w:rPr>
              <w:t>January 30,</w:t>
            </w:r>
          </w:p>
        </w:tc>
        <w:tc>
          <w:tcPr>
            <w:tcW w:w="1360" w:type="dxa"/>
            <w:vAlign w:val="bottom"/>
            <w:gridSpan w:val="2"/>
          </w:tcPr>
          <w:p>
            <w:pPr>
              <w:ind w:left="380"/>
              <w:spacing w:after="0" w:line="198" w:lineRule="exact"/>
              <w:rPr>
                <w:sz w:val="20"/>
                <w:szCs w:val="20"/>
                <w:color w:val="auto"/>
              </w:rPr>
            </w:pPr>
            <w:r>
              <w:rPr>
                <w:rFonts w:ascii="Arial" w:cs="Arial" w:eastAsia="Arial" w:hAnsi="Arial"/>
                <w:sz w:val="18"/>
                <w:szCs w:val="18"/>
                <w:b w:val="1"/>
                <w:bCs w:val="1"/>
                <w:color w:val="auto"/>
                <w:w w:val="96"/>
              </w:rPr>
              <w:t>January 31,</w:t>
            </w:r>
          </w:p>
        </w:tc>
        <w:tc>
          <w:tcPr>
            <w:tcW w:w="380" w:type="dxa"/>
            <w:vAlign w:val="bottom"/>
          </w:tcPr>
          <w:p>
            <w:pPr>
              <w:spacing w:after="0"/>
              <w:rPr>
                <w:sz w:val="17"/>
                <w:szCs w:val="17"/>
                <w:color w:val="auto"/>
              </w:rPr>
            </w:pPr>
          </w:p>
        </w:tc>
      </w:tr>
      <w:tr>
        <w:trPr>
          <w:trHeight w:val="241"/>
        </w:trPr>
        <w:tc>
          <w:tcPr>
            <w:tcW w:w="7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7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7380" w:type="dxa"/>
            <w:vAlign w:val="bottom"/>
          </w:tcPr>
          <w:p>
            <w:pPr>
              <w:ind w:left="340"/>
              <w:spacing w:after="0"/>
              <w:rPr>
                <w:sz w:val="20"/>
                <w:szCs w:val="20"/>
                <w:color w:val="auto"/>
              </w:rPr>
            </w:pPr>
            <w:r>
              <w:rPr>
                <w:rFonts w:ascii="Arial" w:cs="Arial" w:eastAsia="Arial" w:hAnsi="Arial"/>
                <w:sz w:val="18"/>
                <w:szCs w:val="18"/>
                <w:color w:val="auto"/>
              </w:rPr>
              <w:t>Expense reported in:</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Cost of goods sold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143</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1,180</w:t>
            </w:r>
          </w:p>
        </w:tc>
        <w:tc>
          <w:tcPr>
            <w:tcW w:w="9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1,097</w:t>
            </w:r>
          </w:p>
        </w:tc>
      </w:tr>
      <w:tr>
        <w:trPr>
          <w:trHeight w:val="223"/>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134</w:t>
            </w:r>
          </w:p>
        </w:tc>
        <w:tc>
          <w:tcPr>
            <w:tcW w:w="9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r>
      <w:tr>
        <w:trPr>
          <w:trHeight w:val="216"/>
        </w:trPr>
        <w:tc>
          <w:tcPr>
            <w:tcW w:w="73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57"/>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 incurred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1,457</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1,301</w:t>
            </w:r>
          </w:p>
        </w:tc>
      </w:tr>
      <w:tr>
        <w:trPr>
          <w:trHeight w:val="209"/>
        </w:trPr>
        <w:tc>
          <w:tcPr>
            <w:tcW w:w="73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16"/>
        </w:trPr>
        <w:tc>
          <w:tcPr>
            <w:tcW w:w="7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Expense by award type:</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Restricted stock awards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1,367</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1,171</w:t>
            </w: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38</w:t>
            </w:r>
          </w:p>
        </w:tc>
        <w:tc>
          <w:tcPr>
            <w:tcW w:w="9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r>
      <w:tr>
        <w:trPr>
          <w:trHeight w:val="223"/>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ESPP</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9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r>
      <w:tr>
        <w:trPr>
          <w:trHeight w:val="216"/>
        </w:trPr>
        <w:tc>
          <w:tcPr>
            <w:tcW w:w="73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5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 incurred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1,457</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1,301</w:t>
            </w:r>
          </w:p>
        </w:tc>
      </w:tr>
      <w:tr>
        <w:trPr>
          <w:trHeight w:val="210"/>
        </w:trPr>
        <w:tc>
          <w:tcPr>
            <w:tcW w:w="73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16"/>
        </w:trPr>
        <w:tc>
          <w:tcPr>
            <w:tcW w:w="7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Income tax benefits of share-based compensation (in millions)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cost capitalized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three-months ended January 30, 2022, and January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4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7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January 30,</w:t>
            </w: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380" w:type="dxa"/>
            <w:vAlign w:val="bottom"/>
          </w:tcPr>
          <w:p>
            <w:pPr>
              <w:spacing w:after="0"/>
              <w:rPr>
                <w:sz w:val="17"/>
                <w:szCs w:val="17"/>
                <w:color w:val="auto"/>
              </w:rPr>
            </w:pPr>
          </w:p>
        </w:tc>
      </w:tr>
      <w:tr>
        <w:trPr>
          <w:trHeight w:val="241"/>
        </w:trPr>
        <w:tc>
          <w:tcPr>
            <w:tcW w:w="7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r>
      <w:tr>
        <w:trPr>
          <w:trHeight w:val="216"/>
        </w:trPr>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shares granted in period</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535,400</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541,200</w:t>
            </w:r>
          </w:p>
        </w:tc>
        <w:tc>
          <w:tcPr>
            <w:tcW w:w="380" w:type="dxa"/>
            <w:vAlign w:val="bottom"/>
            <w:shd w:val="clear" w:color="auto" w:fill="CCEEFF"/>
          </w:tcPr>
          <w:p>
            <w:pPr>
              <w:spacing w:after="0"/>
              <w:rPr>
                <w:sz w:val="18"/>
                <w:szCs w:val="18"/>
                <w:color w:val="auto"/>
              </w:rPr>
            </w:pPr>
          </w:p>
        </w:tc>
      </w:tr>
      <w:tr>
        <w:trPr>
          <w:trHeight w:val="216"/>
        </w:trPr>
        <w:tc>
          <w:tcPr>
            <w:tcW w:w="7160" w:type="dxa"/>
            <w:vAlign w:val="bottom"/>
          </w:tcPr>
          <w:p>
            <w:pPr>
              <w:ind w:left="340"/>
              <w:spacing w:after="0"/>
              <w:rPr>
                <w:sz w:val="20"/>
                <w:szCs w:val="20"/>
                <w:color w:val="auto"/>
              </w:rPr>
            </w:pPr>
            <w:r>
              <w:rPr>
                <w:rFonts w:ascii="Arial" w:cs="Arial" w:eastAsia="Arial" w:hAnsi="Arial"/>
                <w:sz w:val="18"/>
                <w:szCs w:val="18"/>
                <w:color w:val="auto"/>
              </w:rPr>
              <w:t>Weighted-average grant-date fair value of awards (in dollars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19.28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11.13</w:t>
            </w:r>
          </w:p>
        </w:tc>
      </w:tr>
      <w:tr>
        <w:trPr>
          <w:trHeight w:val="216"/>
        </w:trPr>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cost not yet recognized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15,106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10,564</w:t>
            </w:r>
          </w:p>
        </w:tc>
      </w:tr>
      <w:tr>
        <w:trPr>
          <w:trHeight w:val="216"/>
        </w:trPr>
        <w:tc>
          <w:tcPr>
            <w:tcW w:w="7160" w:type="dxa"/>
            <w:vAlign w:val="bottom"/>
          </w:tcPr>
          <w:p>
            <w:pPr>
              <w:ind w:left="340"/>
              <w:spacing w:after="0"/>
              <w:rPr>
                <w:sz w:val="20"/>
                <w:szCs w:val="20"/>
                <w:color w:val="auto"/>
              </w:rPr>
            </w:pPr>
            <w:r>
              <w:rPr>
                <w:rFonts w:ascii="Arial" w:cs="Arial" w:eastAsia="Arial" w:hAnsi="Arial"/>
                <w:sz w:val="18"/>
                <w:szCs w:val="18"/>
                <w:color w:val="auto"/>
              </w:rPr>
              <w:t>Weighted-average amortization period for cost not yet recognized (in years)</w:t>
            </w:r>
          </w:p>
        </w:tc>
        <w:tc>
          <w:tcPr>
            <w:tcW w:w="44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r>
      <w:tr>
        <w:trPr>
          <w:trHeight w:val="216"/>
        </w:trPr>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 at balance sheet date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1,128,179</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1,059,001</w:t>
            </w:r>
          </w:p>
        </w:tc>
      </w:tr>
      <w:tr>
        <w:trPr>
          <w:trHeight w:val="569"/>
        </w:trPr>
        <w:tc>
          <w:tcPr>
            <w:tcW w:w="7160" w:type="dxa"/>
            <w:vAlign w:val="bottom"/>
          </w:tcPr>
          <w:p>
            <w:pPr>
              <w:ind w:left="5720"/>
              <w:spacing w:after="0"/>
              <w:rPr>
                <w:sz w:val="20"/>
                <w:szCs w:val="20"/>
                <w:color w:val="auto"/>
              </w:rPr>
            </w:pPr>
            <w:r>
              <w:rPr>
                <w:rFonts w:ascii="Arial" w:cs="Arial" w:eastAsia="Arial" w:hAnsi="Arial"/>
                <w:sz w:val="14"/>
                <w:szCs w:val="14"/>
                <w:color w:val="auto"/>
              </w:rPr>
              <w:t>20</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6"/>
        </w:trPr>
        <w:tc>
          <w:tcPr>
            <w:tcW w:w="7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ind w:left="3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three-months ended January 30, 2022, and January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7400" w:type="dxa"/>
            <w:vAlign w:val="bottom"/>
          </w:tcPr>
          <w:p>
            <w:pPr>
              <w:spacing w:after="0"/>
              <w:rPr>
                <w:sz w:val="17"/>
                <w:szCs w:val="17"/>
                <w:color w:val="auto"/>
              </w:rPr>
            </w:pPr>
          </w:p>
        </w:tc>
        <w:tc>
          <w:tcPr>
            <w:tcW w:w="2120" w:type="dxa"/>
            <w:vAlign w:val="bottom"/>
            <w:gridSpan w:val="3"/>
          </w:tcPr>
          <w:p>
            <w:pPr>
              <w:jc w:val="right"/>
              <w:ind w:right="820"/>
              <w:spacing w:after="0" w:line="198" w:lineRule="exact"/>
              <w:rPr>
                <w:sz w:val="20"/>
                <w:szCs w:val="20"/>
                <w:color w:val="auto"/>
              </w:rPr>
            </w:pPr>
            <w:r>
              <w:rPr>
                <w:rFonts w:ascii="Arial" w:cs="Arial" w:eastAsia="Arial" w:hAnsi="Arial"/>
                <w:sz w:val="18"/>
                <w:szCs w:val="18"/>
                <w:b w:val="1"/>
                <w:bCs w:val="1"/>
                <w:color w:val="auto"/>
              </w:rPr>
              <w:t>January 30,</w:t>
            </w:r>
          </w:p>
        </w:tc>
        <w:tc>
          <w:tcPr>
            <w:tcW w:w="13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January 31,</w:t>
            </w:r>
          </w:p>
        </w:tc>
        <w:tc>
          <w:tcPr>
            <w:tcW w:w="380" w:type="dxa"/>
            <w:vAlign w:val="bottom"/>
          </w:tcPr>
          <w:p>
            <w:pPr>
              <w:spacing w:after="0"/>
              <w:rPr>
                <w:sz w:val="17"/>
                <w:szCs w:val="17"/>
                <w:color w:val="auto"/>
              </w:rPr>
            </w:pPr>
          </w:p>
        </w:tc>
      </w:tr>
      <w:tr>
        <w:trPr>
          <w:trHeight w:val="241"/>
        </w:trPr>
        <w:tc>
          <w:tcPr>
            <w:tcW w:w="74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76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options granted in period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Cash received from option exercised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3,714</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658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cost not yet recognized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w:t>
            </w:r>
          </w:p>
        </w:tc>
        <w:tc>
          <w:tcPr>
            <w:tcW w:w="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Weighted-average amortization period for cost not yet recognized (in years)</w:t>
            </w:r>
          </w:p>
        </w:tc>
        <w:tc>
          <w:tcPr>
            <w:tcW w:w="460" w:type="dxa"/>
            <w:vAlign w:val="bottom"/>
          </w:tcPr>
          <w:p>
            <w:pPr>
              <w:spacing w:after="0"/>
              <w:rPr>
                <w:sz w:val="20"/>
                <w:szCs w:val="20"/>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0"/>
                <w:szCs w:val="20"/>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January 30,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35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30, 2022</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769,513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Exercisable at January 30, 2022</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745,287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5,613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7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effective tax rate of 26.1% differs from the U.S. statutory rate of 21.0% in the three-month period ended January 30, 2022, primarily due to the non-recognition of the tax benefit of losses that, in certain jurisdictions, have been offset by valuation allowances, non-U.S. pre-tax income being taxed at higher statutory rates in the non-U.S. jurisdictions, and the establishment of uncertain tax positions in non-U.S. jurisdiction.</w:t>
      </w:r>
    </w:p>
    <w:p>
      <w:pPr>
        <w:spacing w:after="0" w:line="16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effective tax rate of 23.6% in the three-month period ended January 31, 2021, differs from the U.S. statutory rate of 21.0% primarily due to the non-recognition of the tax benefit of losses that, in certain jurisdictions, have been offset by valuation allowances and non-U.S. pre-tax income being taxed at higher statutory rates in the non-U.S. jurisdictions that were partially offset by the benefits of investment credits in a foreign jurisdiction.</w:t>
      </w:r>
    </w:p>
    <w:p>
      <w:pPr>
        <w:spacing w:after="0" w:line="14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Although the timing of the expirations of statutes of limitations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and major foreign or state jurisdictions for years prior to fiscal year 2016. The table below presents information on our unrecognized tax benefits as of the balance sheet dates.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1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January 30,</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73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7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380" w:type="dxa"/>
            <w:vAlign w:val="bottom"/>
          </w:tcPr>
          <w:p>
            <w:pPr>
              <w:spacing w:after="0"/>
              <w:rPr>
                <w:sz w:val="20"/>
                <w:szCs w:val="20"/>
                <w:color w:val="auto"/>
              </w:rPr>
            </w:pPr>
          </w:p>
        </w:tc>
      </w:tr>
      <w:tr>
        <w:trPr>
          <w:trHeight w:val="216"/>
        </w:trPr>
        <w:tc>
          <w:tcPr>
            <w:tcW w:w="7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Unrecognized tax benefits that, if recognized, would impact the effective tax rate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3,854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3,758</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penalties related to uncertain tax positions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r>
      <w:tr>
        <w:trPr>
          <w:trHeight w:val="569"/>
        </w:trPr>
        <w:tc>
          <w:tcPr>
            <w:tcW w:w="7380" w:type="dxa"/>
            <w:vAlign w:val="bottom"/>
          </w:tcPr>
          <w:p>
            <w:pPr>
              <w:jc w:val="right"/>
              <w:ind w:right="1435"/>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6"/>
        </w:trPr>
        <w:tc>
          <w:tcPr>
            <w:tcW w:w="7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10 -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r>
      <w:tr>
        <w:trPr>
          <w:trHeight w:val="241"/>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r>
      <w:tr>
        <w:trPr>
          <w:trHeight w:val="223"/>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Earnings used for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8,036</w:t>
            </w: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62,475</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60,936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63,005</w:t>
            </w:r>
          </w:p>
        </w:tc>
      </w:tr>
      <w:tr>
        <w:trPr>
          <w:trHeight w:val="209"/>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January 30,</w:t>
            </w:r>
          </w:p>
        </w:tc>
        <w:tc>
          <w:tcPr>
            <w:tcW w:w="11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January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 COMMITMENTS AND CONTINGENCIES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January 30, 2022, the Company had commitments outstanding for capital expenditures of approximately $108.2 million, primarily for purchases of high-end equipment.</w:t>
      </w:r>
    </w:p>
    <w:p>
      <w:pPr>
        <w:spacing w:after="0" w:line="170"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INCOME BY COMPONENT</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three-month periods ended January 30, 2022 and January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99"/>
              </w:rPr>
              <w:t>Three Months Ended January 30, 2022</w:t>
            </w:r>
          </w:p>
        </w:tc>
      </w:tr>
      <w:tr>
        <w:trPr>
          <w:trHeight w:val="198"/>
        </w:trPr>
        <w:tc>
          <w:tcPr>
            <w:tcW w:w="7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(loss) income, net of tax of $0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(9,831)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(9,794)</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99"/>
              </w:rPr>
              <w:t>Three Months Ended January 31, 2021</w:t>
            </w:r>
          </w:p>
        </w:tc>
      </w:tr>
      <w:tr>
        <w:trPr>
          <w:trHeight w:val="198"/>
        </w:trPr>
        <w:tc>
          <w:tcPr>
            <w:tcW w:w="7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(loss) income, net of tax of $0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18,289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18,288</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r>
      <w:tr>
        <w:trPr>
          <w:trHeight w:val="216"/>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32,029</w:t>
            </w:r>
          </w:p>
        </w:tc>
      </w:tr>
      <w:tr>
        <w:trPr>
          <w:trHeight w:val="425"/>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13 - FAIR VALUE MEASUREMENTS</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5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January 30, 2022, or October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29"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were retired prior to that date. As of January 30, 2022, $31.7 million was available under this authorization for the purchase of additional shares. The table below presents information on this repurchase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4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January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January 31,</w:t>
            </w:r>
          </w:p>
        </w:tc>
      </w:tr>
      <w:tr>
        <w:trPr>
          <w:trHeight w:val="241"/>
        </w:trPr>
        <w:tc>
          <w:tcPr>
            <w:tcW w:w="4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 (in thousands)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13,209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w:t>
            </w:r>
          </w:p>
        </w:tc>
      </w:tr>
      <w:tr>
        <w:trPr>
          <w:trHeight w:val="569"/>
        </w:trPr>
        <w:tc>
          <w:tcPr>
            <w:tcW w:w="4420" w:type="dxa"/>
            <w:vAlign w:val="bottom"/>
          </w:tcPr>
          <w:p>
            <w:pPr>
              <w:spacing w:after="0"/>
              <w:rPr>
                <w:sz w:val="24"/>
                <w:szCs w:val="24"/>
                <w:color w:val="auto"/>
              </w:rPr>
            </w:pPr>
          </w:p>
        </w:tc>
        <w:tc>
          <w:tcPr>
            <w:tcW w:w="3940" w:type="dxa"/>
            <w:vAlign w:val="bottom"/>
          </w:tcPr>
          <w:p>
            <w:pPr>
              <w:jc w:val="right"/>
              <w:ind w:right="2576"/>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 part of its overall simplification initiative to reduce costs and complexity of applying accounting standards while maintaining or improving the usefulness of the information provided to users of financial statements. The FASB’s amendments primarily impact ASC 740, Income Taxes, and may impact both interim and annual reporting periods. We adopted ASU 2019-12 on November 1, 2021; the effect of the adoption was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9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may have on our consolidated financial statements.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Management’s discussion and analysis (“MD&amp;A”) of the Company’s financial condition and results of operations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Form 10-K for fiscal 2021), that may cause actual results to materially differ from these expectations.</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6" w:lineRule="exact"/>
        <w:rPr>
          <w:sz w:val="20"/>
          <w:szCs w:val="20"/>
          <w:color w:val="auto"/>
        </w:rPr>
      </w:pPr>
    </w:p>
    <w:p>
      <w:pPr>
        <w:jc w:val="both"/>
        <w:ind w:right="40" w:firstLine="243"/>
        <w:spacing w:after="0" w:line="311" w:lineRule="auto"/>
        <w:rPr>
          <w:sz w:val="20"/>
          <w:szCs w:val="20"/>
          <w:color w:val="auto"/>
        </w:rPr>
      </w:pPr>
      <w:r>
        <w:rPr>
          <w:rFonts w:ascii="Arial" w:cs="Arial" w:eastAsia="Arial" w:hAnsi="Arial"/>
          <w:sz w:val="16"/>
          <w:szCs w:val="16"/>
          <w:color w:val="auto"/>
        </w:rPr>
        <w:t>We are typically required to fulfill customer orders within a short period of time. This results in a minimal level of backlog, typically two to three weeks of backlog for FPD photomasks and one to two weeks of backlog for IC photomasks. However, the demand for some IC photomasks has expanded beyond the industry’s capacity to supply them within the traditional time period, thus the backlog in some cases can expand to as long as 2-3 months.</w:t>
      </w:r>
    </w:p>
    <w:p>
      <w:pPr>
        <w:spacing w:after="0" w:line="1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All of our facilities have continued to operate throughout the COVID-19 pandemic. The pandemic, particularly at its height, impacted our business in a number of ways including customer shut downs, which led to delays in new photomask design releases, and travel restrictions, which delayed tool installations and servicing. To date we have not experienced significant raw material shortages, however, supply chain disruptions could potentially delay or prevent us from fulfilling customer orders. While our business has continued to grow over the course of the pandemic, we cannot predict its future impact on our business with a high level of certainty.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Three-Months ended January 30, 2022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operating information expressed as a percentage of revenue. The columns may not foot due to rounding.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2"/>
              </w:rPr>
              <w:t>Three Months Ended</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6060" w:type="dxa"/>
            <w:vAlign w:val="bottom"/>
          </w:tcPr>
          <w:p>
            <w:pPr>
              <w:spacing w:after="0"/>
              <w:rPr>
                <w:sz w:val="17"/>
                <w:szCs w:val="17"/>
                <w:color w:val="auto"/>
              </w:rPr>
            </w:pPr>
          </w:p>
        </w:tc>
        <w:tc>
          <w:tcPr>
            <w:tcW w:w="1360" w:type="dxa"/>
            <w:vAlign w:val="bottom"/>
            <w:gridSpan w:val="2"/>
          </w:tcPr>
          <w:p>
            <w:pPr>
              <w:jc w:val="right"/>
              <w:ind w:right="250"/>
              <w:spacing w:after="0" w:line="198" w:lineRule="exact"/>
              <w:rPr>
                <w:sz w:val="20"/>
                <w:szCs w:val="20"/>
                <w:color w:val="auto"/>
              </w:rPr>
            </w:pPr>
            <w:r>
              <w:rPr>
                <w:rFonts w:ascii="Arial" w:cs="Arial" w:eastAsia="Arial" w:hAnsi="Arial"/>
                <w:sz w:val="18"/>
                <w:szCs w:val="18"/>
                <w:b w:val="1"/>
                <w:bCs w:val="1"/>
                <w:color w:val="auto"/>
              </w:rPr>
              <w:t>January 30,</w:t>
            </w:r>
          </w:p>
        </w:tc>
        <w:tc>
          <w:tcPr>
            <w:tcW w:w="14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January 31,</w:t>
            </w:r>
          </w:p>
        </w:tc>
        <w:tc>
          <w:tcPr>
            <w:tcW w:w="160" w:type="dxa"/>
            <w:vAlign w:val="bottom"/>
          </w:tcPr>
          <w:p>
            <w:pPr>
              <w:spacing w:after="0"/>
              <w:rPr>
                <w:sz w:val="17"/>
                <w:szCs w:val="17"/>
                <w:color w:val="auto"/>
              </w:rPr>
            </w:pPr>
          </w:p>
        </w:tc>
      </w:tr>
      <w:tr>
        <w:trPr>
          <w:trHeight w:val="241"/>
        </w:trPr>
        <w:tc>
          <w:tcPr>
            <w:tcW w:w="60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71.3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r>
      <w:tr>
        <w:trPr>
          <w:trHeight w:val="216"/>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Gross margin</w:t>
            </w: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28.7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three-months ended January 30, 2022 (Q1 FY22), October 31, 2021 (Q4 FY21), and January 31, 2021 (Q1 FY21). The columns may not foot due to rounding.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in disaggregated revenue in Q1 FY22 from revenue in prior reporting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5"/>
              </w:rPr>
              <w:t>Q1 FY22 from Q4 FY21</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Q1 FY22 from Q1 FY21</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center"/>
              <w:ind w:right="5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Increase</w:t>
            </w:r>
          </w:p>
        </w:tc>
        <w:tc>
          <w:tcPr>
            <w:tcW w:w="1160" w:type="dxa"/>
            <w:vAlign w:val="bottom"/>
            <w:tcBorders>
              <w:top w:val="single" w:sz="8" w:color="auto"/>
            </w:tcBorders>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Q1 FY22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(Decrease)</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r>
      <w:tr>
        <w:trPr>
          <w:trHeight w:val="391"/>
        </w:trPr>
        <w:tc>
          <w:tcPr>
            <w:tcW w:w="2320" w:type="dxa"/>
            <w:vAlign w:val="bottom"/>
            <w:gridSpan w:val="3"/>
          </w:tcPr>
          <w:p>
            <w:pPr>
              <w:spacing w:after="0"/>
              <w:rPr>
                <w:sz w:val="20"/>
                <w:szCs w:val="20"/>
                <w:color w:val="auto"/>
              </w:rPr>
            </w:pPr>
            <w:r>
              <w:rPr>
                <w:rFonts w:ascii="Arial" w:cs="Arial" w:eastAsia="Arial" w:hAnsi="Arial"/>
                <w:sz w:val="18"/>
                <w:szCs w:val="18"/>
                <w:color w:val="auto"/>
              </w:rPr>
              <w:t>IC</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r>
      <w:tr>
        <w:trPr>
          <w:trHeight w:val="223"/>
        </w:trPr>
        <w:tc>
          <w:tcPr>
            <w:tcW w:w="232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75"/>
        </w:trPr>
        <w:tc>
          <w:tcPr>
            <w:tcW w:w="232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23"/>
        </w:trPr>
        <w:tc>
          <w:tcPr>
            <w:tcW w:w="232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2320" w:type="dxa"/>
            <w:vAlign w:val="bottom"/>
            <w:gridSpan w:val="3"/>
          </w:tcPr>
          <w:p>
            <w:pPr>
              <w:ind w:left="18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85"/>
        </w:trPr>
        <w:tc>
          <w:tcPr>
            <w:tcW w:w="5060" w:type="dxa"/>
            <w:vAlign w:val="bottom"/>
            <w:gridSpan w:val="11"/>
          </w:tcPr>
          <w:p>
            <w:pPr>
              <w:spacing w:after="0"/>
              <w:rPr>
                <w:sz w:val="20"/>
                <w:szCs w:val="20"/>
                <w:color w:val="auto"/>
              </w:rPr>
            </w:pPr>
            <w:r>
              <w:rPr>
                <w:rFonts w:ascii="Arial" w:cs="Arial" w:eastAsia="Arial" w:hAnsi="Arial"/>
                <w:sz w:val="18"/>
                <w:szCs w:val="18"/>
                <w:i w:val="1"/>
                <w:iCs w:val="1"/>
                <w:color w:val="auto"/>
              </w:rPr>
              <w:t>Quarterly Changes in Revenue by Geographic Origin**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4"/>
              </w:rPr>
              <w:t>Q1 FY22 from Q4 FY21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Q1 FY22 from Q1 FY21</w:t>
            </w: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center"/>
              <w:ind w:right="520"/>
              <w:spacing w:after="0" w:line="198" w:lineRule="exact"/>
              <w:rPr>
                <w:sz w:val="20"/>
                <w:szCs w:val="20"/>
                <w:color w:val="auto"/>
              </w:rPr>
            </w:pPr>
            <w:r>
              <w:rPr>
                <w:rFonts w:ascii="Arial" w:cs="Arial" w:eastAsia="Arial" w:hAnsi="Arial"/>
                <w:sz w:val="18"/>
                <w:szCs w:val="18"/>
                <w:b w:val="1"/>
                <w:bCs w:val="1"/>
                <w:color w:val="auto"/>
                <w:w w:val="90"/>
              </w:rPr>
              <w:t>Increase</w:t>
            </w:r>
          </w:p>
        </w:tc>
        <w:tc>
          <w:tcPr>
            <w:tcW w:w="84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Increase</w:t>
            </w:r>
          </w:p>
        </w:tc>
        <w:tc>
          <w:tcPr>
            <w:tcW w:w="112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Q1 FY22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in Q1 FY22 of $189.8 million increased 4.7% compared with Q4 FY21 and 24.8% from Q1 FY21.</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IC revenue increased 3.4% and 23.6%, compared with Q4 FY21 and Q1 FY21, respectively. These increases were driven by strong demand for high-end logic photomasks in Asia and improved demand for mainstream photomasks used for computer chips needed for the production of internet-of-things products, 5G wireless technology applications, cryptocurrency mining, and consumer products. The strengthened demand for mainstream photomasks also allowed for better pricing.</w:t>
      </w:r>
    </w:p>
    <w:p>
      <w:pPr>
        <w:spacing w:after="0" w:line="187"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FPD revenue increased 7.6% in Q1 FY22, compared with Q4 FY21, and 27.5% compared with Q1 FY21. Improved demand for photomasks used in high-end mobile AMOLED and G10.5+ applications gave rise to these increases. Revenues from mainstream FPD products were up 10.6% from the prior year quarter but declined 7.2% consecutively due to capacity being dedicated to high-end production.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ind w:left="220"/>
              <w:spacing w:after="0" w:line="205" w:lineRule="exact"/>
              <w:rPr>
                <w:sz w:val="20"/>
                <w:szCs w:val="20"/>
                <w:color w:val="auto"/>
              </w:rPr>
            </w:pPr>
            <w:r>
              <w:rPr>
                <w:rFonts w:ascii="Arial" w:cs="Arial" w:eastAsia="Arial" w:hAnsi="Arial"/>
                <w:sz w:val="18"/>
                <w:szCs w:val="18"/>
                <w:b w:val="1"/>
                <w:bCs w:val="1"/>
                <w:color w:val="auto"/>
              </w:rPr>
              <w:t>Percent</w:t>
            </w: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Q1 FY22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Q4 FY21</w:t>
            </w:r>
          </w:p>
        </w:tc>
        <w:tc>
          <w:tcPr>
            <w:tcW w:w="280" w:type="dxa"/>
            <w:vAlign w:val="bottom"/>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Q1 FY21</w:t>
            </w:r>
          </w:p>
        </w:tc>
        <w:tc>
          <w:tcPr>
            <w:tcW w:w="280" w:type="dxa"/>
            <w:vAlign w:val="bottom"/>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16"/>
        </w:trPr>
        <w:tc>
          <w:tcPr>
            <w:tcW w:w="1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8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59.9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51.9</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  $</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30.5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w w:val="97"/>
              </w:rPr>
              <w:t>31.5%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28.7%</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20.1%</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Gross margin increased by 2.8 percentage points in Q1 FY22, from Q4 FY21, primarily as a result of the increase in revenue from the prior quarter. Material costs increased 2.4% from the prior quarter, but decreased, as a percentage of revenue, by 60 basis points. Labor costs increased 6.8% (20 basis points, as a percentage of revenue), primarily driven by higher labor costs in Asia. Equipment and other overhead costs decreased 3.3%, or 250 basis points as a percentage of revenue, primarily driven by increased tool utilization for customer qualifications, which also drove the increase in our research and development costs in the current quarter.</w:t>
      </w:r>
    </w:p>
    <w:p>
      <w:pPr>
        <w:spacing w:after="0" w:line="18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Gross margin increased by 11.4 percentage points in Q1 FY22, from Q1 FY21, primarily as a result of the increase in revenue from the prior year quarter. Material costs increased 10.4% from the prior year quarter, but decreased 360 basis points, as a percentage of revenue. Labor costs increased 9.3% from the prior year quarter, but fell 160 basis points as a percent of revenue; the increase was primarily the result of increased labor costs in Asia. Equipment and other overhead costs rose 3.1%, but fell 630 basis points, as a percentage of revenue. Increased outsourced manufacturing costs, which were partially offset by decreased depreciation expense, were the most significant contributors to the net increase in equipment and other overhead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Selling, general and administrative expenses were $15.7 million in Q1 FY22, compared with $14.3 million in Q4 FY21, and $14.1 million in Q1 FY21. The increase from Q4 FY21 was primarily the result of increased professional fees of $0.7 million and compensation and related expenses of $0.4 million, and the increase from the prior-year quarter was primarily the result of increased compensation and related expenses of $1.5 million.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Research and development expenses, which primarily consist of development and qualification efforts related to high-end process technologies for high-end IC and FPD applications, were $5.9 million in Q1 FY22, compared with $4.1 million in Q4 FY21; the increase was primarily caused by increased development activities in the U.S. Research and development expenses increased by $1.2 million in Q1 FY22, compared with $4.7 million in Q1 FY21, with increased development activities in the U.S. exceeding a decrease of activities at our Asia-based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Q1 FY22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Q4 FY21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Q1 FY21</w:t>
            </w:r>
          </w:p>
        </w:tc>
        <w:tc>
          <w:tcPr>
            <w:tcW w:w="120" w:type="dxa"/>
            <w:vAlign w:val="bottom"/>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1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currency</w:t>
            </w:r>
          </w:p>
        </w:tc>
        <w:tc>
          <w:tcPr>
            <w:tcW w:w="1160" w:type="dxa"/>
            <w:vAlign w:val="bottom"/>
            <w:gridSpan w:val="2"/>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w w:val="90"/>
              </w:rPr>
              <w:t>transactions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net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02"/>
        </w:trPr>
        <w:tc>
          <w:tcPr>
            <w:tcW w:w="29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Interest income and other income,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0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r>
      <w:tr>
        <w:trPr>
          <w:trHeight w:val="223"/>
        </w:trPr>
        <w:tc>
          <w:tcPr>
            <w:tcW w:w="1780" w:type="dxa"/>
            <w:vAlign w:val="bottom"/>
            <w:gridSpan w:val="2"/>
          </w:tcPr>
          <w:p>
            <w:pPr>
              <w:spacing w:after="0"/>
              <w:rPr>
                <w:sz w:val="19"/>
                <w:szCs w:val="19"/>
                <w:color w:val="auto"/>
              </w:rPr>
            </w:pPr>
          </w:p>
        </w:tc>
        <w:tc>
          <w:tcPr>
            <w:tcW w:w="116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57"/>
        </w:trPr>
        <w:tc>
          <w:tcPr>
            <w:tcW w:w="1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Other income (expense)</w:t>
            </w: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 w:firstLine="369"/>
        <w:spacing w:after="0" w:line="259" w:lineRule="auto"/>
        <w:rPr>
          <w:sz w:val="20"/>
          <w:szCs w:val="20"/>
          <w:color w:val="auto"/>
        </w:rPr>
      </w:pPr>
      <w:r>
        <w:rPr>
          <w:rFonts w:ascii="Arial" w:cs="Arial" w:eastAsia="Arial" w:hAnsi="Arial"/>
          <w:sz w:val="18"/>
          <w:szCs w:val="18"/>
          <w:color w:val="auto"/>
        </w:rPr>
        <w:t>Other income (expense) increased $0.9 million in Q1 QY22, compared with Q4 FY21, primarily due to favorable movements of the South Korean won against the U.S. dollar offsetting unfavorable movements of the RMB against the U.S. dollar. Other income (expense) increased $4.0 million in Q1 FY22, compared with Q1 FY21, primarily due to favorable movements of the South Korean won and the New Taiwan dollar against the U.S. dollar, which were partially offset by unfavorable movements of the RMB against the U.S. dollar.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9"/>
        </w:trPr>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Q1 FY22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Q4 FY21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Q1 FY21</w:t>
            </w:r>
          </w:p>
        </w:tc>
        <w:tc>
          <w:tcPr>
            <w:tcW w:w="20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r>
    </w:tbl>
    <w:p>
      <w:pPr>
        <w:spacing w:after="0" w:line="18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 where the tax benefit of the losses is not available.</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effective income tax rate increase in Q1 FY22, compared with Q4 FY21, is primarily due to a decrease in credits in a non-US jurisdiction and an increase of uncertain tax positions in non-U.S. jurisdictions in Q1 FY22.</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effective income tax rate increase in Q1 FY22, compared with Q1 FY21, is primarily due to a decrease in credits in a non-US jurisdiction and an increase of uncertain tax positions in non-U.S. jurisdictions in Q1 FY22.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Net income attributable to noncontrolling interests was $8.7 million in Q1 FY22, compared with $8.8 million in Q4 FY21, and $1.5 million in Q1 FY21. The decrease from the prior quarter was due to lower net income at our China-based IC facility, which was partially offset by increased net income at our Taiwan-based IC facility. The increase from the prior-year quarter resulted from increased net income at both of these majority-owned facilities in the current-year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Cash and cash equivalents totaled $314.2 million and $276.7 million as of January 30, 2022, and October 31, 2021, respectively. As of the most recent balance sheet date, total cash and cash equivalents included $255.1 million held by foreign subsidiaries. Net Cash, a non-GAAP financial measure as defined and discussed in the “Non-GAAP financial measures” section below, was $217.3 million and $165.0 million as of January 30, 2022 and October 31, 2021.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$30.6 million of borrowing capacity to support local operations. See Note 5 to the condensed consolidated financial statements for additional information.</w:t>
      </w:r>
    </w:p>
    <w:p>
      <w:pPr>
        <w:sectPr>
          <w:pgSz w:w="11900" w:h="16838" w:orient="portrait"/>
          <w:cols w:equalWidth="0" w:num="1">
            <w:col w:w="11180"/>
          </w:cols>
          <w:pgMar w:left="320" w:top="121" w:right="399"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(potentially) our borrowing capacity under our financing arrangements, we plan to continue to invest in our business, with our investments targeted to align with our customers’ technology road maps. In addition, we stand ready to invest in mergers, acquisitions, or strategic partnerships, should the right opportunity be available.</w:t>
      </w:r>
    </w:p>
    <w:p>
      <w:pPr>
        <w:spacing w:after="0" w:line="19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estimate capital expenditures for the remainder of FY22 will be approximately $81 million; these investments will be targeted towards high-end and mainstream point tools that will increase our operating capacity and efficiency, and enable us to support our customers’ near-term demands. As of January 30, 2022, we had outstanding capital commitments of approximately $108 million and recognized liabilities related to capital equipment purchases of approximately $10 million. Although payment timing could vary, primarily as a result of the timing of tool installation and testing, we currently estimate that we will fund $100 million of our total $118 million committed and recognized obligations for capital expenditures over the next twelve months. Please refer to Notes 5 and 7, respectively, to the condensed consolidated financial statements for information on our outstanding debt and lease commitments.</w:t>
      </w:r>
    </w:p>
    <w:p>
      <w:pPr>
        <w:spacing w:after="0" w:line="164"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January 30, 2022, our current share repurchase program had approximately $31.7 million remaining under its authorization. Depending on market conditions, we may utilize some or the entire remaining approved amount to reacquire additional shares.</w:t>
      </w:r>
    </w:p>
    <w:p>
      <w:pPr>
        <w:spacing w:after="0" w:line="15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As discussed in Note 4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January 30, 2022, Photronics and DNP each had net investments in this joint venture of approximately $81.3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4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0"/>
              </w:rPr>
              <w:t>January 30,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20" w:type="dxa"/>
            <w:vAlign w:val="bottom"/>
          </w:tcPr>
          <w:p>
            <w:pPr>
              <w:spacing w:after="0"/>
              <w:rPr>
                <w:sz w:val="17"/>
                <w:szCs w:val="17"/>
                <w:color w:val="auto"/>
              </w:rPr>
            </w:pPr>
          </w:p>
        </w:tc>
      </w:tr>
      <w:tr>
        <w:trPr>
          <w:trHeight w:val="241"/>
        </w:trPr>
        <w:tc>
          <w:tcPr>
            <w:tcW w:w="4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r>
      <w:tr>
        <w:trPr>
          <w:trHeight w:val="27"/>
        </w:trPr>
        <w:tc>
          <w:tcPr>
            <w:tcW w:w="4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u w:val="single" w:color="auto"/>
          <w:color w:val="auto"/>
        </w:rPr>
        <w:t>Operating Activities:</w:t>
      </w:r>
      <w:r>
        <w:rPr>
          <w:rFonts w:ascii="Arial" w:cs="Arial" w:eastAsia="Arial" w:hAnsi="Arial"/>
          <w:sz w:val="16"/>
          <w:szCs w:val="16"/>
          <w:color w:val="auto"/>
        </w:rPr>
        <w:t xml:space="preserve"> Net cash provided by operating activities reflects net income adjusted for certain non-cash items, including depreciation and amortization, share-based compensation, and the effects of changes in operating assets and liabilities. Net cash provided by operating activities increased by $32.8 million in Q1 FY22, compared with Q1 FY21, due to increased net income and net changes in working capital, predominantly in Asia.</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Free Cash Flow and LTM Free Cash Flow both of which are non-GAAP financial measures as discussed in the “Non-GAAP financial measures” section below, increased by $30.8 and $11.1 million, respectively, compared with Q1 FY21, primarily due to the increase in Net cash provided by operating activities discussed above.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u w:val="single" w:color="auto"/>
          <w:color w:val="auto"/>
        </w:rPr>
        <w:t>Investing Activities:</w:t>
      </w:r>
      <w:r>
        <w:rPr>
          <w:rFonts w:ascii="Arial" w:cs="Arial" w:eastAsia="Arial" w:hAnsi="Arial"/>
          <w:sz w:val="16"/>
          <w:szCs w:val="16"/>
          <w:color w:val="auto"/>
        </w:rPr>
        <w:t xml:space="preserve"> Net cash flows used in investing activities primarily consisted of purchases of property, plant and equipment, which increased $1.6 million in Q1 FY22, as compared with Q1 FY21. The remainder of the $2.0 million increase was primarily due to our receiving $0.4 million of investment related government incentives in China in Q1 FY21; we did not receive any investment related government incentives in Q1 FY22.</w:t>
      </w:r>
    </w:p>
    <w:p>
      <w:pPr>
        <w:spacing w:after="0" w:line="14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xml:space="preserve"> Net cash flows used in financing activities primarily consist of share repurchases, proceeds from and repayments of debt, and contributions from and distributions to noncontrolling interests. Net cash used in financing activities decreased by $14.0 million in Q1 FY22, compared with Q1 FY21, primarily due to a contribution from noncontrolling interests in our majority owned subsidiaries in Taiwan and China of $15.0 million, decreased share repurchases of $10.7 million, and increased debt repayments of $7.4 million. In addition, we received debt proceeds of $6.2 million in Q1 FY21, and did not incur debt in Q1 FY22.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consider Free Cash Flow, LTM Free Cash Flow, and Net Cash, which are “non-GAAP financial measures” (as such term is defined by the SEC), to be useful metrics in measuring our cash-generating performance. (Note that we may define these terms differently than other companies that use similarly named non-GAAP financial measures.) These non-GAAP metrics are not intended to represent funds available for our discretionary use or to be used as a substitute for Cash and cash equivalents or Net cash provided by operating activities, as measured under GAAP. The following tables reconcile Free Cash Flow to Net cash provided by operating activities and present the calculations of LTM Free Cash Flow for Q1 FY22 and Q1 FY21. The columns may not foot due to rounding.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1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0"/>
              </w:rPr>
              <w:t>January 30,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20" w:type="dxa"/>
            <w:vAlign w:val="bottom"/>
          </w:tcPr>
          <w:p>
            <w:pPr>
              <w:spacing w:after="0"/>
              <w:rPr>
                <w:sz w:val="17"/>
                <w:szCs w:val="17"/>
                <w:color w:val="auto"/>
              </w:rPr>
            </w:pPr>
          </w:p>
        </w:tc>
      </w:tr>
      <w:tr>
        <w:trPr>
          <w:trHeight w:val="241"/>
        </w:trPr>
        <w:tc>
          <w:tcPr>
            <w:tcW w:w="1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r>
      <w:tr>
        <w:trPr>
          <w:trHeight w:val="175"/>
        </w:trPr>
        <w:tc>
          <w:tcPr>
            <w:tcW w:w="414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Free Cash Flow</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r>
      <w:tr>
        <w:trPr>
          <w:trHeight w:val="27"/>
        </w:trPr>
        <w:tc>
          <w:tcPr>
            <w:tcW w:w="11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r>
      <w:tr>
        <w:trPr>
          <w:trHeight w:val="27"/>
        </w:trPr>
        <w:tc>
          <w:tcPr>
            <w:tcW w:w="1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Q1 FY22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Q1 FY21</w:t>
            </w:r>
          </w:p>
        </w:tc>
      </w:tr>
      <w:tr>
        <w:trPr>
          <w:trHeight w:val="175"/>
        </w:trPr>
        <w:tc>
          <w:tcPr>
            <w:tcW w:w="414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LTM Free Cash Flow</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56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three months of the respective fiscal year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October fiscal year end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three months of the prior year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7"/>
        </w:trPr>
        <w:tc>
          <w:tcPr>
            <w:tcW w:w="15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LTM</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r>
      <w:tr>
        <w:trPr>
          <w:trHeight w:val="27"/>
        </w:trPr>
        <w:tc>
          <w:tcPr>
            <w:tcW w:w="1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following table reconciles Cash and cash equivalents to Net Cash at the balance sheet dates. The increase in Net Cash was primarily driven by an increase in Net cash provided by operating activities, as discussed above. The columns may not foot due to rounding.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198"/>
        </w:trPr>
        <w:tc>
          <w:tcPr>
            <w:tcW w:w="6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0"/>
              </w:rPr>
              <w:t>January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41"/>
        </w:trPr>
        <w:tc>
          <w:tcPr>
            <w:tcW w:w="6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176"/>
        </w:trPr>
        <w:tc>
          <w:tcPr>
            <w:tcW w:w="414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Net Cash</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276.7</w:t>
            </w:r>
          </w:p>
        </w:tc>
        <w:tc>
          <w:tcPr>
            <w:tcW w:w="4500" w:type="dxa"/>
            <w:vAlign w:val="bottom"/>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45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4500" w:type="dxa"/>
            <w:vAlign w:val="bottom"/>
          </w:tcPr>
          <w:p>
            <w:pPr>
              <w:spacing w:after="0"/>
              <w:rPr>
                <w:sz w:val="18"/>
                <w:szCs w:val="18"/>
                <w:color w:val="auto"/>
              </w:rPr>
            </w:pPr>
          </w:p>
        </w:tc>
      </w:tr>
      <w:tr>
        <w:trPr>
          <w:trHeight w:val="27"/>
        </w:trPr>
        <w:tc>
          <w:tcPr>
            <w:tcW w:w="68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00" w:type="dxa"/>
            <w:vAlign w:val="bottom"/>
          </w:tcPr>
          <w:p>
            <w:pPr>
              <w:spacing w:after="0"/>
              <w:rPr>
                <w:sz w:val="2"/>
                <w:szCs w:val="2"/>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Net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165.0</w:t>
            </w:r>
          </w:p>
        </w:tc>
        <w:tc>
          <w:tcPr>
            <w:tcW w:w="4500" w:type="dxa"/>
            <w:vAlign w:val="bottom"/>
          </w:tcPr>
          <w:p>
            <w:pPr>
              <w:spacing w:after="0"/>
              <w:rPr>
                <w:sz w:val="19"/>
                <w:szCs w:val="19"/>
                <w:color w:val="auto"/>
              </w:rPr>
            </w:pPr>
          </w:p>
        </w:tc>
      </w:tr>
      <w:tr>
        <w:trPr>
          <w:trHeight w:val="568"/>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6"/>
        </w:trPr>
        <w:tc>
          <w:tcPr>
            <w:tcW w:w="6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current business outlook and guidance was provided in the Photronics Q1-FY22 Earnings Release, Earnings Presentation, and Investor conference call, but is not incorporated herein. These can be accessed in the investor section of our website - www.photronics.com.</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future results of operations and the other forward-looking statements contained in this filing and in the Photronics Q1-FY22 Earnings Presentation and the related earnings call and slide deck involve a number of risks and uncertainties, some of which are discussed in Part I, Item 1A of our 2021 Form 10-K. A number of other unforeseeable factors could cause actual results to differ materially from our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Please refer to Part II, Item 7 of our 2021 Form 10-K for discussion of our critical accounting estimates. There have been no changes to our critical accounting estimates since the filing of our Annual Report on Form 10-K for the year ended October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8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primary net foreign currency exposures as of January 30, 2022,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$34.0 million, which represents a decrease of $1.1 million from our exposure at October 31, 2021. Our most significant exposures at January 30, 2022, related to the South Korean won, the RMB, and the New Taiwan Dollar to the U.S. dollar, which were, respectively, $12.0 million, $10.3 million, and $5.8 million at that date. We do not believe that a 10% change in the exchange rates of non-US dollar currencies, other than the aforementioned currencies and the Japanese yen, would have had a material effect on our January 30, 2022,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January 30, 2022, condensed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prior to January 30, 2022, were retired prior to that date. The following table presents information on our common stock repurchase activity for the first fiscal quarter of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2021 – November 28, 2021</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w:t>
            </w:r>
          </w:p>
        </w:tc>
        <w:tc>
          <w:tcPr>
            <w:tcW w:w="1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November 29, 2021 – December 26, 2021</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13.41</w:t>
            </w:r>
          </w:p>
        </w:tc>
        <w:tc>
          <w:tcPr>
            <w:tcW w:w="1920" w:type="dxa"/>
            <w:vAlign w:val="bottom"/>
            <w:gridSpan w:val="2"/>
          </w:tcPr>
          <w:p>
            <w:pPr>
              <w:jc w:val="right"/>
              <w:ind w:right="61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5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Certain of our debt agreements and lease arrangements include limitations on the amounts of dividends we may pay. Please refer to Notes 5 and 7 of the condensed consolidated financial statements for information on these limitations.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8"/>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3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36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Pr>
          <w:p>
            <w:pPr>
              <w:spacing w:after="0"/>
              <w:rPr>
                <w:sz w:val="24"/>
                <w:szCs w:val="24"/>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5"/>
          </w:tcPr>
          <w:p>
            <w:pPr>
              <w:jc w:val="center"/>
              <w:ind w:right="100"/>
              <w:spacing w:after="0" w:line="196" w:lineRule="exact"/>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File</w:t>
            </w:r>
          </w:p>
        </w:tc>
        <w:tc>
          <w:tcPr>
            <w:tcW w:w="240" w:type="dxa"/>
            <w:vAlign w:val="bottom"/>
          </w:tcPr>
          <w:p>
            <w:pPr>
              <w:spacing w:after="0"/>
              <w:rPr>
                <w:sz w:val="17"/>
                <w:szCs w:val="17"/>
                <w:color w:val="auto"/>
              </w:rPr>
            </w:pPr>
          </w:p>
        </w:tc>
        <w:tc>
          <w:tcPr>
            <w:tcW w:w="50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83"/>
              </w:rPr>
              <w:t>Filing</w:t>
            </w:r>
          </w:p>
        </w:tc>
        <w:tc>
          <w:tcPr>
            <w:tcW w:w="1060" w:type="dxa"/>
            <w:vAlign w:val="bottom"/>
            <w:gridSpan w:val="4"/>
          </w:tcPr>
          <w:p>
            <w:pPr>
              <w:jc w:val="center"/>
              <w:spacing w:after="0" w:line="196"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7"/>
          </w:tcPr>
          <w:p>
            <w:pPr>
              <w:jc w:val="center"/>
              <w:spacing w:after="0" w:line="196" w:lineRule="exact"/>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7"/>
                <w:szCs w:val="17"/>
                <w:color w:val="auto"/>
              </w:rPr>
            </w:pPr>
          </w:p>
        </w:tc>
        <w:tc>
          <w:tcPr>
            <w:tcW w:w="6340" w:type="dxa"/>
            <w:vAlign w:val="bottom"/>
            <w:gridSpan w:val="3"/>
          </w:tcPr>
          <w:p>
            <w:pPr>
              <w:ind w:left="2300"/>
              <w:spacing w:after="0" w:line="196" w:lineRule="exact"/>
              <w:rPr>
                <w:sz w:val="20"/>
                <w:szCs w:val="20"/>
                <w:color w:val="auto"/>
              </w:rPr>
            </w:pPr>
            <w:r>
              <w:rPr>
                <w:rFonts w:ascii="Arial" w:cs="Arial" w:eastAsia="Arial" w:hAnsi="Arial"/>
                <w:sz w:val="18"/>
                <w:szCs w:val="18"/>
                <w:b w:val="1"/>
                <w:bCs w:val="1"/>
                <w:color w:val="auto"/>
              </w:rPr>
              <w:t>Description</w:t>
            </w:r>
          </w:p>
        </w:tc>
        <w:tc>
          <w:tcPr>
            <w:tcW w:w="2080" w:type="dxa"/>
            <w:vAlign w:val="bottom"/>
            <w:gridSpan w:val="8"/>
          </w:tcPr>
          <w:p>
            <w:pPr>
              <w:ind w:left="120"/>
              <w:spacing w:after="0" w:line="196" w:lineRule="exact"/>
              <w:rPr>
                <w:sz w:val="20"/>
                <w:szCs w:val="20"/>
                <w:color w:val="auto"/>
              </w:rPr>
            </w:pPr>
            <w:r>
              <w:rPr>
                <w:rFonts w:ascii="Arial" w:cs="Arial" w:eastAsia="Arial" w:hAnsi="Arial"/>
                <w:sz w:val="18"/>
                <w:szCs w:val="18"/>
                <w:b w:val="1"/>
                <w:bCs w:val="1"/>
                <w:color w:val="auto"/>
              </w:rPr>
              <w:t>Form  Number  Exhibit</w:t>
            </w:r>
          </w:p>
        </w:tc>
        <w:tc>
          <w:tcPr>
            <w:tcW w:w="240" w:type="dxa"/>
            <w:vAlign w:val="bottom"/>
          </w:tcPr>
          <w:p>
            <w:pPr>
              <w:spacing w:after="0"/>
              <w:rPr>
                <w:sz w:val="17"/>
                <w:szCs w:val="17"/>
                <w:color w:val="auto"/>
              </w:rPr>
            </w:pPr>
          </w:p>
        </w:tc>
        <w:tc>
          <w:tcPr>
            <w:tcW w:w="50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17"/>
                <w:szCs w:val="17"/>
                <w:color w:val="auto"/>
              </w:rPr>
            </w:pPr>
          </w:p>
        </w:tc>
        <w:tc>
          <w:tcPr>
            <w:tcW w:w="84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10.</w:t>
              </w:r>
              <w:r>
                <w:rPr>
                  <w:rFonts w:ascii="Arial" w:cs="Arial" w:eastAsia="Arial" w:hAnsi="Arial"/>
                  <w:sz w:val="18"/>
                  <w:szCs w:val="18"/>
                  <w:u w:val="single" w:color="auto"/>
                  <w:color w:val="0000EE"/>
                </w:rPr>
                <w:t>41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Amendment No. 2 to the Investment Agreement between Xiamen Torch Hi-</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Tech Industrial Development Zone, People’s Government of Xiang’an Xiamen,</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Photronics Singapore Pte. Ltd., DNP Asia Pacific Pte and Xiamen American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Japan Photronics Mask Co., Ltd.</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gridSpan w:val="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10.</w:t>
              </w:r>
              <w:r>
                <w:rPr>
                  <w:rFonts w:ascii="Arial" w:cs="Arial" w:eastAsia="Arial" w:hAnsi="Arial"/>
                  <w:sz w:val="18"/>
                  <w:szCs w:val="18"/>
                  <w:u w:val="single" w:color="auto"/>
                  <w:color w:val="0000EE"/>
                </w:rPr>
                <w:t>42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Amendment No. 3 to the Investment Agreement between Xiamen Torch Hi-</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Tech Industrial Development Zone, People’s Government of Xiang’an Xiamen,</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Photronics Singapore Pte. Ltd., DNP Asia Pacific Pte and Xiamen American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Japan Photronics Mask Co., Ltd.</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Certification of Chief Executive Officer pursuant to Rule 13a-14(a)/15d-14(a)</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the Exchange Act, as adopted pursuant to Section 302 of</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Certification of Chief Financial Officer pursuant to Rule 13a-14(a)/15d-14(a)</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the Exchange Act, as adopted pursuant to Section 302 of</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52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6520" w:type="dxa"/>
            <w:vAlign w:val="bottom"/>
            <w:gridSpan w:val="4"/>
            <w:shd w:val="clear" w:color="auto" w:fill="CCEEFF"/>
          </w:tcPr>
          <w:p>
            <w:pPr>
              <w:ind w:left="80"/>
              <w:spacing w:after="0" w:line="201" w:lineRule="exact"/>
              <w:rPr>
                <w:sz w:val="20"/>
                <w:szCs w:val="20"/>
                <w:color w:val="auto"/>
              </w:rPr>
            </w:pPr>
            <w:r>
              <w:rPr>
                <w:rFonts w:ascii="Arial" w:cs="Arial" w:eastAsia="Arial" w:hAnsi="Arial"/>
                <w:sz w:val="18"/>
                <w:szCs w:val="18"/>
                <w:color w:val="auto"/>
              </w:rPr>
              <w:t>Inline XBRL Instance Document (the instance document does not appear in the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Interactive Data File because its XBRL tags are embedded within the Inline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XBRL document)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w:t>
            </w: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w:t>
            </w: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w:t>
            </w: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w:t>
            </w: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w:t>
            </w: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520" w:type="dxa"/>
            <w:vAlign w:val="bottom"/>
            <w:gridSpan w:val="4"/>
            <w:shd w:val="clear" w:color="auto" w:fill="CCEEFF"/>
          </w:tcPr>
          <w:p>
            <w:pPr>
              <w:ind w:left="80"/>
              <w:spacing w:after="0" w:line="201"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Exhibit 101)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69"/>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20" w:type="dxa"/>
            <w:vAlign w:val="bottom"/>
            <w:gridSpan w:val="4"/>
          </w:tcPr>
          <w:p>
            <w:pPr>
              <w:ind w:left="47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P. JORDAN</w:t>
            </w:r>
          </w:p>
        </w:tc>
        <w:tc>
          <w:tcPr>
            <w:tcW w:w="2180" w:type="dxa"/>
            <w:vAlign w:val="bottom"/>
          </w:tcPr>
          <w:p>
            <w:pPr>
              <w:ind w:left="17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RIVERA</w:t>
            </w:r>
          </w:p>
        </w:tc>
        <w:tc>
          <w:tcPr>
            <w:tcW w:w="1680" w:type="dxa"/>
            <w:vAlign w:val="bottom"/>
          </w:tcPr>
          <w:p>
            <w:pPr>
              <w:spacing w:after="0"/>
              <w:rPr>
                <w:sz w:val="21"/>
                <w:szCs w:val="21"/>
                <w:color w:val="auto"/>
              </w:rPr>
            </w:pPr>
          </w:p>
        </w:tc>
      </w:tr>
      <w:tr>
        <w:trPr>
          <w:trHeight w:val="202"/>
        </w:trPr>
        <w:tc>
          <w:tcPr>
            <w:tcW w:w="580" w:type="dxa"/>
            <w:vAlign w:val="bottom"/>
          </w:tcPr>
          <w:p>
            <w:pPr>
              <w:spacing w:after="0"/>
              <w:rPr>
                <w:sz w:val="17"/>
                <w:szCs w:val="17"/>
                <w:color w:val="auto"/>
              </w:rPr>
            </w:pPr>
          </w:p>
        </w:tc>
        <w:tc>
          <w:tcPr>
            <w:tcW w:w="3360" w:type="dxa"/>
            <w:vAlign w:val="bottom"/>
          </w:tcPr>
          <w:p>
            <w:pPr>
              <w:jc w:val="center"/>
              <w:spacing w:after="0" w:line="201" w:lineRule="exact"/>
              <w:rPr>
                <w:sz w:val="20"/>
                <w:szCs w:val="20"/>
                <w:color w:val="auto"/>
              </w:rPr>
            </w:pPr>
            <w:r>
              <w:rPr>
                <w:rFonts w:ascii="Arial" w:cs="Arial" w:eastAsia="Arial" w:hAnsi="Arial"/>
                <w:sz w:val="18"/>
                <w:szCs w:val="18"/>
                <w:color w:val="auto"/>
                <w:w w:val="91"/>
              </w:rPr>
              <w:t>JOHN P. JORDAN</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tcPr>
          <w:p>
            <w:pPr>
              <w:jc w:val="center"/>
              <w:spacing w:after="0" w:line="201" w:lineRule="exact"/>
              <w:rPr>
                <w:sz w:val="20"/>
                <w:szCs w:val="20"/>
                <w:color w:val="auto"/>
              </w:rPr>
            </w:pPr>
            <w:r>
              <w:rPr>
                <w:rFonts w:ascii="Arial" w:cs="Arial" w:eastAsia="Arial" w:hAnsi="Arial"/>
                <w:sz w:val="18"/>
                <w:szCs w:val="18"/>
                <w:color w:val="auto"/>
                <w:w w:val="97"/>
              </w:rPr>
              <w:t>ERIC RIVERA</w:t>
            </w:r>
          </w:p>
        </w:tc>
        <w:tc>
          <w:tcPr>
            <w:tcW w:w="16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6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6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6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20"/>
                <w:szCs w:val="20"/>
                <w:color w:val="auto"/>
              </w:rPr>
            </w:pPr>
            <w:r>
              <w:rPr>
                <w:rFonts w:ascii="Arial" w:cs="Arial" w:eastAsia="Arial" w:hAnsi="Arial"/>
                <w:sz w:val="18"/>
                <w:szCs w:val="18"/>
                <w:color w:val="auto"/>
              </w:rPr>
              <w:t>March 9, 2022</w:t>
            </w:r>
          </w:p>
        </w:tc>
        <w:tc>
          <w:tcPr>
            <w:tcW w:w="2180" w:type="dxa"/>
            <w:vAlign w:val="bottom"/>
          </w:tcPr>
          <w:p>
            <w:pPr>
              <w:ind w:left="1700"/>
              <w:spacing w:after="0"/>
              <w:rPr>
                <w:sz w:val="20"/>
                <w:szCs w:val="20"/>
                <w:color w:val="auto"/>
              </w:rPr>
            </w:pPr>
            <w:r>
              <w:rPr>
                <w:rFonts w:ascii="Arial" w:cs="Arial" w:eastAsia="Arial" w:hAnsi="Arial"/>
                <w:sz w:val="18"/>
                <w:szCs w:val="18"/>
                <w:color w:val="auto"/>
              </w:rPr>
              <w:t>Date:</w:t>
            </w: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March 9, 2022</w:t>
            </w:r>
          </w:p>
        </w:tc>
        <w:tc>
          <w:tcPr>
            <w:tcW w:w="1680" w:type="dxa"/>
            <w:vAlign w:val="bottom"/>
          </w:tcPr>
          <w:p>
            <w:pPr>
              <w:spacing w:after="0"/>
              <w:rPr>
                <w:sz w:val="24"/>
                <w:szCs w:val="24"/>
                <w:color w:val="auto"/>
              </w:rPr>
            </w:pPr>
          </w:p>
        </w:tc>
      </w:tr>
      <w:tr>
        <w:trPr>
          <w:trHeight w:val="595"/>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tcPr>
          <w:p>
            <w:pPr>
              <w:jc w:val="right"/>
              <w:ind w:right="336"/>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ind w:left="89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100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10069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4674870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1313815</wp:posOffset>
            </wp:positionH>
            <wp:positionV relativeFrom="page">
              <wp:posOffset>88900</wp:posOffset>
            </wp:positionV>
            <wp:extent cx="4928870" cy="4166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92887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00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60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rFonts w:ascii="Arial" w:cs="Arial" w:eastAsia="Arial" w:hAnsi="Arial"/>
          <w:sz w:val="19"/>
          <w:szCs w:val="19"/>
          <w:color w:val="auto"/>
        </w:rPr>
        <w:t>[SIGNATURE AND SEAL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5958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958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71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ind w:left="89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895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7895590"/>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78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7878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920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792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95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789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3372485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1536700</wp:posOffset>
            </wp:positionH>
            <wp:positionV relativeFrom="page">
              <wp:posOffset>88900</wp:posOffset>
            </wp:positionV>
            <wp:extent cx="4483100" cy="2442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483100" cy="244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8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20" w:hanging="486"/>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20" w:hanging="486"/>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224" w:lineRule="exact"/>
        <w:rPr>
          <w:sz w:val="20"/>
          <w:szCs w:val="20"/>
          <w:color w:val="auto"/>
        </w:rPr>
      </w:pPr>
    </w:p>
    <w:p>
      <w:pPr>
        <w:ind w:right="120" w:firstLine="8"/>
        <w:spacing w:after="0" w:line="277" w:lineRule="auto"/>
        <w:tabs>
          <w:tab w:leader="none" w:pos="6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30, 2022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224" w:lineRule="exact"/>
        <w:rPr>
          <w:sz w:val="20"/>
          <w:szCs w:val="20"/>
          <w:color w:val="auto"/>
        </w:rPr>
      </w:pPr>
    </w:p>
    <w:p>
      <w:pPr>
        <w:ind w:right="120" w:firstLine="8"/>
        <w:spacing w:after="0" w:line="277" w:lineRule="auto"/>
        <w:tabs>
          <w:tab w:leader="none" w:pos="6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30, 2022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2022-03-10T05:03:40Z</dcterms:created>
  <dcterms:modified xsi:type="dcterms:W3CDTF">2022-03-10T05:03:40Z</dcterms:modified>
</cp:coreProperties>
</file>