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Lee Kang Jyh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 SECOR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BROOKFIELD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06804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PHOTRONICS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PLAB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2"/>
        <w:gridCol w:w="903"/>
        <w:gridCol w:w="773"/>
        <w:gridCol w:w="600"/>
        <w:gridCol w:w="346"/>
        <w:gridCol w:w="925"/>
        <w:gridCol w:w="448"/>
        <w:gridCol w:w="665"/>
        <w:gridCol w:w="1152"/>
        <w:gridCol w:w="990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09/22/2026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10,000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29.7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354,850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/s/Brandon DeSocio, attorney-in-fact for Kang Jyh Lee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48668" TargetMode="External"/><Relationship Id="rId5" Type="http://schemas.openxmlformats.org/officeDocument/2006/relationships/hyperlink" Target="http://www.sec.gov/cgi-bin/browse-edgar?action=getcompany&amp;CIK=000081013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561</Words>
  <Characters>3051</Characters>
  <CharactersWithSpaces>3547</CharactersWithSpaces>
  <Paragraphs>93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