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3860" w:right="1560" w:hanging="3852"/>
        <w:spacing w:after="0" w:line="266" w:lineRule="auto"/>
        <w:tabs>
          <w:tab w:leader="none" w:pos="48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 (d) OF THE SECURITIES EXCHANGE ACT OF 1934 For the quarterly period ended April 28, 2024</w:t>
      </w:r>
    </w:p>
    <w:p>
      <w:pPr>
        <w:spacing w:after="0" w:line="172" w:lineRule="exact"/>
        <w:rPr>
          <w:sz w:val="24"/>
          <w:szCs w:val="24"/>
          <w:color w:val="auto"/>
        </w:rPr>
      </w:pPr>
    </w:p>
    <w:p>
      <w:pPr>
        <w:ind w:left="4040" w:right="1540" w:hanging="4032"/>
        <w:spacing w:after="0" w:line="500" w:lineRule="auto"/>
        <w:tabs>
          <w:tab w:leader="none" w:pos="48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 (d) OF THE SECURITIES EXCHANGE ACT OF 1934 For the transition period from ___ to ___</w:t>
      </w:r>
    </w:p>
    <w:p>
      <w:pPr>
        <w:spacing w:after="0" w:line="1" w:lineRule="exact"/>
        <w:rPr>
          <w:rFonts w:ascii="MS PGothic" w:cs="MS PGothic" w:eastAsia="MS PGothic" w:hAnsi="MS PGothic"/>
          <w:sz w:val="18"/>
          <w:szCs w:val="18"/>
          <w:color w:val="auto"/>
        </w:rPr>
      </w:pPr>
    </w:p>
    <w:p>
      <w:pPr>
        <w:ind w:left="42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3305175</wp:posOffset>
            </wp:positionH>
            <wp:positionV relativeFrom="paragraph">
              <wp:posOffset>156845</wp:posOffset>
            </wp:positionV>
            <wp:extent cx="531495"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PHOTRONICS,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9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Connecticut</w:t>
            </w:r>
          </w:p>
        </w:tc>
        <w:tc>
          <w:tcPr>
            <w:tcW w:w="1840" w:type="dxa"/>
            <w:vAlign w:val="bottom"/>
          </w:tcPr>
          <w:p>
            <w:pPr>
              <w:spacing w:after="0"/>
              <w:rPr>
                <w:sz w:val="19"/>
                <w:szCs w:val="19"/>
                <w:color w:val="auto"/>
              </w:rPr>
            </w:pPr>
          </w:p>
        </w:tc>
        <w:tc>
          <w:tcPr>
            <w:tcW w:w="446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8"/>
              </w:rPr>
              <w:t>06-0854886</w:t>
            </w:r>
          </w:p>
        </w:tc>
      </w:tr>
      <w:tr>
        <w:trPr>
          <w:trHeight w:val="234"/>
        </w:trPr>
        <w:tc>
          <w:tcPr>
            <w:tcW w:w="49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840" w:type="dxa"/>
            <w:vAlign w:val="bottom"/>
          </w:tcPr>
          <w:p>
            <w:pPr>
              <w:spacing w:after="0"/>
              <w:rPr>
                <w:sz w:val="20"/>
                <w:szCs w:val="20"/>
                <w:color w:val="auto"/>
              </w:rPr>
            </w:pPr>
          </w:p>
        </w:tc>
        <w:tc>
          <w:tcPr>
            <w:tcW w:w="446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49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15 Secor Road, Brookfield, Connecticut</w:t>
            </w:r>
          </w:p>
        </w:tc>
        <w:tc>
          <w:tcPr>
            <w:tcW w:w="1840" w:type="dxa"/>
            <w:vAlign w:val="bottom"/>
          </w:tcPr>
          <w:p>
            <w:pPr>
              <w:spacing w:after="0"/>
              <w:rPr>
                <w:sz w:val="24"/>
                <w:szCs w:val="24"/>
                <w:color w:val="auto"/>
              </w:rPr>
            </w:pPr>
          </w:p>
        </w:tc>
        <w:tc>
          <w:tcPr>
            <w:tcW w:w="446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rPr>
              <w:t>06804</w:t>
            </w:r>
          </w:p>
        </w:tc>
      </w:tr>
      <w:tr>
        <w:trPr>
          <w:trHeight w:val="234"/>
        </w:trPr>
        <w:tc>
          <w:tcPr>
            <w:tcW w:w="49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8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49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40" w:type="dxa"/>
            <w:vAlign w:val="bottom"/>
          </w:tcPr>
          <w:p>
            <w:pPr>
              <w:spacing w:after="0"/>
              <w:rPr>
                <w:sz w:val="24"/>
                <w:szCs w:val="24"/>
                <w:color w:val="auto"/>
              </w:rPr>
            </w:pPr>
          </w:p>
        </w:tc>
        <w:tc>
          <w:tcPr>
            <w:tcW w:w="446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(203) 775-9000</w:t>
            </w:r>
          </w:p>
        </w:tc>
      </w:tr>
      <w:tr>
        <w:trPr>
          <w:trHeight w:val="432"/>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231F20"/>
                <w:w w:val="99"/>
              </w:rPr>
              <w:t>Securities registered pursuant to Section 12(b) of the Act:</w:t>
            </w:r>
          </w:p>
        </w:tc>
      </w:tr>
      <w:tr>
        <w:trPr>
          <w:trHeight w:val="223"/>
        </w:trPr>
        <w:tc>
          <w:tcPr>
            <w:tcW w:w="3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Title of each class</w:t>
            </w:r>
          </w:p>
        </w:tc>
        <w:tc>
          <w:tcPr>
            <w:tcW w:w="1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231F20"/>
                <w:w w:val="98"/>
              </w:rPr>
              <w:t>Trading Symbol(s)</w:t>
            </w:r>
          </w:p>
        </w:tc>
        <w:tc>
          <w:tcPr>
            <w:tcW w:w="78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1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9"/>
              </w:rPr>
              <w:t>PLAB</w:t>
            </w:r>
          </w:p>
        </w:tc>
        <w:tc>
          <w:tcPr>
            <w:tcW w:w="78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2" w:lineRule="exact"/>
        <w:rPr>
          <w:sz w:val="24"/>
          <w:szCs w:val="24"/>
          <w:color w:val="auto"/>
        </w:rPr>
      </w:pPr>
    </w:p>
    <w:p>
      <w:pPr>
        <w:ind w:left="1026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No </w:t>
      </w:r>
      <w:r>
        <w:rPr>
          <w:rFonts w:ascii="MS PGothic" w:cs="MS PGothic" w:eastAsia="MS PGothic" w:hAnsi="MS PGothic"/>
          <w:sz w:val="17"/>
          <w:szCs w:val="17"/>
          <w:color w:val="auto"/>
          <w:highlight w:val="black"/>
        </w:rPr>
        <w:t>☐</w:t>
      </w:r>
    </w:p>
    <w:p>
      <w:pPr>
        <w:spacing w:after="0" w:line="223" w:lineRule="exact"/>
        <w:rPr>
          <w:sz w:val="24"/>
          <w:szCs w:val="24"/>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ind w:left="1026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No </w:t>
      </w:r>
      <w:r>
        <w:rPr>
          <w:rFonts w:ascii="MS PGothic" w:cs="MS PGothic" w:eastAsia="MS PGothic" w:hAnsi="MS PGothic"/>
          <w:sz w:val="17"/>
          <w:szCs w:val="17"/>
          <w:color w:val="auto"/>
          <w:highlight w:val="black"/>
        </w:rPr>
        <w:t>☐</w:t>
      </w:r>
    </w:p>
    <w:p>
      <w:pPr>
        <w:spacing w:after="0" w:line="223"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6"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w:t>
            </w:r>
          </w:p>
        </w:tc>
        <w:tc>
          <w:tcPr>
            <w:tcW w:w="17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Emerging</w:t>
            </w:r>
          </w:p>
        </w:tc>
      </w:tr>
      <w:tr>
        <w:trPr>
          <w:trHeight w:val="180"/>
        </w:trPr>
        <w:tc>
          <w:tcPr>
            <w:tcW w:w="2000" w:type="dxa"/>
            <w:vAlign w:val="bottom"/>
          </w:tcPr>
          <w:p>
            <w:pPr>
              <w:jc w:val="center"/>
              <w:ind w:right="190"/>
              <w:spacing w:after="0" w:line="181" w:lineRule="exact"/>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w w:val="99"/>
              </w:rPr>
              <w:t>Accelerated Filer</w:t>
            </w:r>
          </w:p>
        </w:tc>
        <w:tc>
          <w:tcPr>
            <w:tcW w:w="244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rPr>
              <w:t>Non-Accelerated Filer</w:t>
            </w:r>
          </w:p>
        </w:tc>
        <w:tc>
          <w:tcPr>
            <w:tcW w:w="24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Reporting Company</w:t>
            </w:r>
          </w:p>
        </w:tc>
        <w:tc>
          <w:tcPr>
            <w:tcW w:w="1720" w:type="dxa"/>
            <w:vAlign w:val="bottom"/>
          </w:tcPr>
          <w:p>
            <w:pPr>
              <w:jc w:val="center"/>
              <w:ind w:left="390"/>
              <w:spacing w:after="0" w:line="181" w:lineRule="exact"/>
              <w:rPr>
                <w:sz w:val="20"/>
                <w:szCs w:val="20"/>
                <w:color w:val="auto"/>
              </w:rPr>
            </w:pPr>
            <w:r>
              <w:rPr>
                <w:rFonts w:ascii="Times New Roman" w:cs="Times New Roman" w:eastAsia="Times New Roman" w:hAnsi="Times New Roman"/>
                <w:sz w:val="18"/>
                <w:szCs w:val="18"/>
                <w:color w:val="auto"/>
                <w:w w:val="98"/>
              </w:rPr>
              <w:t>Growth company</w:t>
            </w:r>
          </w:p>
        </w:tc>
      </w:tr>
      <w:tr>
        <w:trPr>
          <w:trHeight w:val="303"/>
        </w:trPr>
        <w:tc>
          <w:tcPr>
            <w:tcW w:w="2000" w:type="dxa"/>
            <w:vAlign w:val="bottom"/>
          </w:tcPr>
          <w:p>
            <w:pPr>
              <w:jc w:val="center"/>
              <w:ind w:right="190"/>
              <w:spacing w:after="0" w:line="181" w:lineRule="exact"/>
              <w:rPr>
                <w:sz w:val="20"/>
                <w:szCs w:val="20"/>
                <w:color w:val="auto"/>
              </w:rPr>
            </w:pPr>
            <w:r>
              <w:rPr>
                <w:rFonts w:ascii="MS PGothic" w:cs="MS PGothic" w:eastAsia="MS PGothic" w:hAnsi="MS PGothic"/>
                <w:sz w:val="18"/>
                <w:szCs w:val="18"/>
                <w:color w:val="auto"/>
                <w:w w:val="88"/>
              </w:rPr>
              <w:t>☒</w:t>
            </w:r>
          </w:p>
        </w:tc>
        <w:tc>
          <w:tcPr>
            <w:tcW w:w="186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2440" w:type="dxa"/>
            <w:vAlign w:val="bottom"/>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720" w:type="dxa"/>
            <w:vAlign w:val="bottom"/>
          </w:tcPr>
          <w:p>
            <w:pPr>
              <w:jc w:val="center"/>
              <w:ind w:left="39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63,356,950 shares of common stock outstanding as of May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28,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320" w:type="dxa"/>
            <w:vAlign w:val="bottom"/>
            <w:gridSpan w:val="23"/>
            <w:shd w:val="clear" w:color="auto" w:fill="CCEEFF"/>
          </w:tcPr>
          <w:p>
            <w:pPr>
              <w:spacing w:after="0"/>
              <w:rPr>
                <w:sz w:val="20"/>
                <w:szCs w:val="20"/>
                <w:color w:val="auto"/>
              </w:rPr>
            </w:pPr>
            <w:r>
              <w:rPr>
                <w:rFonts w:ascii="Times New Roman" w:cs="Times New Roman" w:eastAsia="Times New Roman" w:hAnsi="Times New Roman"/>
                <w:sz w:val="18"/>
                <w:szCs w:val="18"/>
                <w:color w:val="0000EE"/>
              </w:rPr>
              <w:t>Glossary of Terms and Acronyms</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40" w:type="dxa"/>
            <w:vAlign w:val="bottom"/>
            <w:tcBorders>
              <w:top w:val="single" w:sz="8" w:color="0000EE"/>
            </w:tcBorders>
            <w:gridSpan w:val="2"/>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32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1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Income</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Equity</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8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8180" w:type="dxa"/>
            <w:vAlign w:val="bottom"/>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57"/>
        </w:trPr>
        <w:tc>
          <w:tcPr>
            <w:tcW w:w="114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3980" w:type="dxa"/>
            <w:vAlign w:val="bottom"/>
            <w:tcBorders>
              <w:top w:val="single" w:sz="8" w:color="CCEEFF"/>
            </w:tcBorders>
            <w:gridSpan w:val="19"/>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18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92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72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20" w:type="dxa"/>
            <w:vAlign w:val="bottom"/>
          </w:tcPr>
          <w:p>
            <w:pPr>
              <w:spacing w:after="0"/>
              <w:rPr>
                <w:sz w:val="20"/>
                <w:szCs w:val="20"/>
                <w:color w:val="auto"/>
              </w:rPr>
            </w:pPr>
          </w:p>
        </w:tc>
        <w:tc>
          <w:tcPr>
            <w:tcW w:w="8920" w:type="dxa"/>
            <w:vAlign w:val="bottom"/>
          </w:tcPr>
          <w:p>
            <w:pPr>
              <w:ind w:left="2020"/>
              <w:spacing w:after="0"/>
              <w:rPr>
                <w:sz w:val="20"/>
                <w:szCs w:val="20"/>
                <w:color w:val="auto"/>
              </w:rPr>
            </w:pPr>
            <w:r>
              <w:rPr>
                <w:rFonts w:ascii="Times New Roman" w:cs="Times New Roman" w:eastAsia="Times New Roman" w:hAnsi="Times New Roman"/>
                <w:sz w:val="18"/>
                <w:szCs w:val="18"/>
                <w:b w:val="1"/>
                <w:bCs w:val="1"/>
                <w:color w:val="auto"/>
              </w:rPr>
              <w:t>Glossary of Terms and Acronyms</w:t>
            </w:r>
          </w:p>
        </w:tc>
      </w:tr>
      <w:tr>
        <w:trPr>
          <w:trHeight w:val="432"/>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 of certain terms and acronyms that may appear in this report are provided below.</w:t>
            </w:r>
          </w:p>
        </w:tc>
      </w:tr>
      <w:tr>
        <w:trPr>
          <w:trHeight w:val="216"/>
        </w:trPr>
        <w:tc>
          <w:tcPr>
            <w:tcW w:w="2320" w:type="dxa"/>
            <w:vAlign w:val="bottom"/>
          </w:tcPr>
          <w:p>
            <w:pPr>
              <w:spacing w:after="0"/>
              <w:rPr>
                <w:sz w:val="18"/>
                <w:szCs w:val="18"/>
                <w:color w:val="auto"/>
              </w:rPr>
            </w:pPr>
          </w:p>
        </w:tc>
        <w:tc>
          <w:tcPr>
            <w:tcW w:w="8920" w:type="dxa"/>
            <w:vAlign w:val="bottom"/>
          </w:tcPr>
          <w:p>
            <w:pPr>
              <w:spacing w:after="0"/>
              <w:rPr>
                <w:sz w:val="18"/>
                <w:szCs w:val="18"/>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AMOLED</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Active-matrix organic light-emitting diode. A technology used in mobile devices.</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ASC</w:t>
            </w:r>
          </w:p>
        </w:tc>
        <w:tc>
          <w:tcPr>
            <w:tcW w:w="8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ASP</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Average Selling Price</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ASU</w:t>
            </w:r>
          </w:p>
        </w:tc>
        <w:tc>
          <w:tcPr>
            <w:tcW w:w="8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DNP</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Dai Nippon Printing Co., Ltd.</w:t>
            </w: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EUV</w:t>
            </w:r>
          </w:p>
        </w:tc>
        <w:tc>
          <w:tcPr>
            <w:tcW w:w="892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A wafer lithography technology using the industry standard extreme ultraviolet (EUV) wavelength. EUV</w:t>
            </w:r>
          </w:p>
        </w:tc>
      </w:tr>
      <w:tr>
        <w:trPr>
          <w:trHeight w:val="216"/>
        </w:trPr>
        <w:tc>
          <w:tcPr>
            <w:tcW w:w="2320" w:type="dxa"/>
            <w:vAlign w:val="bottom"/>
          </w:tcPr>
          <w:p>
            <w:pPr>
              <w:spacing w:after="0"/>
              <w:rPr>
                <w:sz w:val="18"/>
                <w:szCs w:val="18"/>
                <w:color w:val="auto"/>
              </w:rPr>
            </w:pPr>
          </w:p>
        </w:tc>
        <w:tc>
          <w:tcPr>
            <w:tcW w:w="8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photomasks function by selectively reflecting or blocking light, in contrast to conventional photomasks which</w:t>
            </w:r>
          </w:p>
        </w:tc>
      </w:tr>
      <w:tr>
        <w:trPr>
          <w:trHeight w:val="234"/>
        </w:trPr>
        <w:tc>
          <w:tcPr>
            <w:tcW w:w="2320" w:type="dxa"/>
            <w:vAlign w:val="bottom"/>
          </w:tcPr>
          <w:p>
            <w:pPr>
              <w:spacing w:after="0"/>
              <w:rPr>
                <w:sz w:val="20"/>
                <w:szCs w:val="20"/>
                <w:color w:val="auto"/>
              </w:rPr>
            </w:pPr>
          </w:p>
        </w:tc>
        <w:tc>
          <w:tcPr>
            <w:tcW w:w="8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function by selectively transmitting or blocking light</w:t>
            </w: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FASB</w:t>
            </w:r>
          </w:p>
        </w:tc>
        <w:tc>
          <w:tcPr>
            <w:tcW w:w="8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8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Quarterly Report on Form 10-Q</w:t>
            </w: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FPDs</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Flat-panel displays, or “displays”</w:t>
            </w: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Generation</w:t>
            </w:r>
          </w:p>
        </w:tc>
        <w:tc>
          <w:tcPr>
            <w:tcW w:w="892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In reference to flat-panel displays, refers to the size range of the underlying substrate to which a photomask is</w:t>
            </w:r>
          </w:p>
        </w:tc>
      </w:tr>
      <w:tr>
        <w:trPr>
          <w:trHeight w:val="234"/>
        </w:trPr>
        <w:tc>
          <w:tcPr>
            <w:tcW w:w="2320" w:type="dxa"/>
            <w:vAlign w:val="bottom"/>
          </w:tcPr>
          <w:p>
            <w:pPr>
              <w:spacing w:after="0"/>
              <w:rPr>
                <w:sz w:val="20"/>
                <w:szCs w:val="20"/>
                <w:color w:val="auto"/>
              </w:rPr>
            </w:pPr>
          </w:p>
        </w:tc>
        <w:tc>
          <w:tcPr>
            <w:tcW w:w="8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applied. Higher generation (or “G”) numbers represent larger substrates</w:t>
            </w: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High-end (photomasks)</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For IC, photomasks that are 28nm or smaller; for FPD, AMOLED, G10.5+, and LTPS photomasks</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ICs</w:t>
            </w:r>
          </w:p>
        </w:tc>
        <w:tc>
          <w:tcPr>
            <w:tcW w:w="8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Integrated circuits, or semiconductors</w:t>
            </w: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LTPS</w:t>
            </w:r>
          </w:p>
        </w:tc>
        <w:tc>
          <w:tcPr>
            <w:tcW w:w="892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Low-Temperature Poly Silicon, a polycrystalline silicon synthesized at relatively low temperatures; polycrystalline</w:t>
            </w:r>
          </w:p>
        </w:tc>
      </w:tr>
      <w:tr>
        <w:trPr>
          <w:trHeight w:val="216"/>
        </w:trPr>
        <w:tc>
          <w:tcPr>
            <w:tcW w:w="2320" w:type="dxa"/>
            <w:vAlign w:val="bottom"/>
            <w:shd w:val="clear" w:color="auto" w:fill="CCEEFF"/>
          </w:tcPr>
          <w:p>
            <w:pPr>
              <w:spacing w:after="0"/>
              <w:rPr>
                <w:sz w:val="18"/>
                <w:szCs w:val="18"/>
                <w:color w:val="auto"/>
              </w:rPr>
            </w:pP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silicon in thin-film transistors (TFTs) are used in liquid-crystal display (LCD) flat panels and to drive organic light-</w:t>
            </w:r>
          </w:p>
        </w:tc>
      </w:tr>
      <w:tr>
        <w:trPr>
          <w:trHeight w:val="234"/>
        </w:trPr>
        <w:tc>
          <w:tcPr>
            <w:tcW w:w="2320" w:type="dxa"/>
            <w:vAlign w:val="bottom"/>
            <w:shd w:val="clear" w:color="auto" w:fill="CCEEFF"/>
          </w:tcPr>
          <w:p>
            <w:pPr>
              <w:spacing w:after="0"/>
              <w:rPr>
                <w:sz w:val="20"/>
                <w:szCs w:val="20"/>
                <w:color w:val="auto"/>
              </w:rPr>
            </w:pP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emitting diode (OLED) displays</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PDMCX</w:t>
            </w:r>
          </w:p>
        </w:tc>
        <w:tc>
          <w:tcPr>
            <w:tcW w:w="8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Xiamen American Japan Photronics Mask Co., Ltd., a joint venture of Photronics and DNP</w:t>
            </w: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Premium charges</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Price paid over and above standard mask price for special service such as priority cycle time or capacity allocation</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RMB</w:t>
            </w:r>
          </w:p>
        </w:tc>
        <w:tc>
          <w:tcPr>
            <w:tcW w:w="8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Chinese renminbi</w:t>
            </w: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ROU (assets)</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Right-of-use asset</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w:t>
            </w:r>
          </w:p>
        </w:tc>
        <w:tc>
          <w:tcPr>
            <w:tcW w:w="8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8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Wafer</w:t>
            </w:r>
          </w:p>
        </w:tc>
        <w:tc>
          <w:tcPr>
            <w:tcW w:w="8920" w:type="dxa"/>
            <w:vAlign w:val="bottom"/>
            <w:shd w:val="clear" w:color="auto" w:fill="CCEEFF"/>
          </w:tcPr>
          <w:p>
            <w:pPr>
              <w:ind w:left="500"/>
              <w:spacing w:after="0" w:line="198" w:lineRule="exact"/>
              <w:rPr>
                <w:sz w:val="20"/>
                <w:szCs w:val="20"/>
                <w:color w:val="auto"/>
              </w:rPr>
            </w:pPr>
            <w:r>
              <w:rPr>
                <w:rFonts w:ascii="Times New Roman" w:cs="Times New Roman" w:eastAsia="Times New Roman" w:hAnsi="Times New Roman"/>
                <w:sz w:val="18"/>
                <w:szCs w:val="18"/>
                <w:color w:val="auto"/>
              </w:rPr>
              <w:t>A wafer, or silicon wafer, is a thin slice of semiconductor material that, in the fabrication of microelectronics, serves</w:t>
            </w:r>
          </w:p>
        </w:tc>
      </w:tr>
      <w:tr>
        <w:trPr>
          <w:trHeight w:val="234"/>
        </w:trPr>
        <w:tc>
          <w:tcPr>
            <w:tcW w:w="2320" w:type="dxa"/>
            <w:vAlign w:val="bottom"/>
            <w:shd w:val="clear" w:color="auto" w:fill="CCEEFF"/>
          </w:tcPr>
          <w:p>
            <w:pPr>
              <w:spacing w:after="0"/>
              <w:rPr>
                <w:sz w:val="20"/>
                <w:szCs w:val="20"/>
                <w:color w:val="auto"/>
              </w:rPr>
            </w:pPr>
          </w:p>
        </w:tc>
        <w:tc>
          <w:tcPr>
            <w:tcW w:w="89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as the substrate for microelectronic devices built in and upon the wafer</w:t>
            </w:r>
          </w:p>
        </w:tc>
      </w:tr>
      <w:tr>
        <w:trPr>
          <w:trHeight w:val="571"/>
        </w:trPr>
        <w:tc>
          <w:tcPr>
            <w:tcW w:w="2320" w:type="dxa"/>
            <w:vAlign w:val="bottom"/>
          </w:tcPr>
          <w:p>
            <w:pPr>
              <w:spacing w:after="0"/>
              <w:rPr>
                <w:sz w:val="24"/>
                <w:szCs w:val="24"/>
                <w:color w:val="auto"/>
              </w:rPr>
            </w:pPr>
          </w:p>
        </w:tc>
        <w:tc>
          <w:tcPr>
            <w:tcW w:w="8920" w:type="dxa"/>
            <w:vAlign w:val="bottom"/>
          </w:tcPr>
          <w:p>
            <w:pPr>
              <w:ind w:left="3260"/>
              <w:spacing w:after="0"/>
              <w:rPr>
                <w:sz w:val="20"/>
                <w:szCs w:val="20"/>
                <w:color w:val="auto"/>
              </w:rPr>
            </w:pPr>
            <w:r>
              <w:rPr>
                <w:rFonts w:ascii="Times New Roman" w:cs="Times New Roman" w:eastAsia="Times New Roman" w:hAnsi="Times New Roman"/>
                <w:sz w:val="14"/>
                <w:szCs w:val="14"/>
                <w:color w:val="auto"/>
              </w:rPr>
              <w:t>3</w:t>
            </w:r>
          </w:p>
        </w:tc>
      </w:tr>
      <w:tr>
        <w:trPr>
          <w:trHeight w:val="44"/>
        </w:trPr>
        <w:tc>
          <w:tcPr>
            <w:tcW w:w="2320" w:type="dxa"/>
            <w:vAlign w:val="bottom"/>
            <w:tcBorders>
              <w:bottom w:val="single" w:sz="8" w:color="auto"/>
            </w:tcBorders>
          </w:tcPr>
          <w:p>
            <w:pPr>
              <w:spacing w:after="0"/>
              <w:rPr>
                <w:sz w:val="3"/>
                <w:szCs w:val="3"/>
                <w:color w:val="auto"/>
              </w:rPr>
            </w:pPr>
          </w:p>
        </w:tc>
        <w:tc>
          <w:tcPr>
            <w:tcW w:w="89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60" w:firstLine="177"/>
        <w:spacing w:after="0" w:line="273" w:lineRule="auto"/>
        <w:rPr>
          <w:sz w:val="20"/>
          <w:szCs w:val="20"/>
          <w:color w:val="auto"/>
        </w:rPr>
      </w:pPr>
      <w:r>
        <w:rPr>
          <w:rFonts w:ascii="Times New Roman" w:cs="Times New Roman" w:eastAsia="Times New Roman" w:hAnsi="Times New Roman"/>
          <w:sz w:val="17"/>
          <w:szCs w:val="17"/>
          <w:color w:val="auto"/>
        </w:rPr>
        <w:t>This Form 10-Q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“may”,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Part I, Item 2 – “Management’s Discussion &amp; Analysis of Financial Condition and Results of Operations” of this Form 10-Q.</w:t>
      </w:r>
    </w:p>
    <w:p>
      <w:pPr>
        <w:spacing w:after="0" w:line="171" w:lineRule="exact"/>
        <w:rPr>
          <w:sz w:val="20"/>
          <w:szCs w:val="20"/>
          <w:color w:val="auto"/>
        </w:rPr>
      </w:pPr>
    </w:p>
    <w:p>
      <w:pPr>
        <w:ind w:firstLine="180"/>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we’ve obtained from other parties. However, we can offer no assurance that our expectations, beliefs, or projections will be realized, accomplished, or achieved.</w:t>
      </w:r>
    </w:p>
    <w:p>
      <w:pPr>
        <w:spacing w:after="0" w:line="180" w:lineRule="exact"/>
        <w:rPr>
          <w:sz w:val="20"/>
          <w:szCs w:val="20"/>
          <w:color w:val="auto"/>
        </w:rPr>
      </w:pPr>
    </w:p>
    <w:p>
      <w:pPr>
        <w:ind w:right="60" w:firstLine="180"/>
        <w:spacing w:after="0" w:line="256" w:lineRule="auto"/>
        <w:rPr>
          <w:sz w:val="20"/>
          <w:szCs w:val="20"/>
          <w:color w:val="auto"/>
        </w:rPr>
      </w:pPr>
      <w:r>
        <w:rPr>
          <w:rFonts w:ascii="Times New Roman" w:cs="Times New Roman" w:eastAsia="Times New Roman" w:hAnsi="Times New Roman"/>
          <w:sz w:val="18"/>
          <w:szCs w:val="18"/>
          <w:color w:val="auto"/>
        </w:rPr>
        <w:t>Forward-looking statements within this Form 10-Q speak only as of the date of its filing, and we undertake no obligation to update any such statements to reflect changes in events or circumstances that may subsequently occur. Users of this Form 10-Q are cautioned that various factors may cause actual results to differ materially from those contained in any forward-looking statements found within this Form 10-Q and that they should not place undue reliance on any forward-looking statement. In addition, all forward-looking statements, whether written or oral and whether made by us or on our behalf, are expressly qualified by the risk factors provided in Part I, Item 1A “Risk Factors” of our Form 10-K, as well as any additional risk factors we may provide in Part II, Item 1A of our Quarterly Reports on Form 10-Q.</w:t>
      </w: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6" w:right="4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0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2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2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20" w:type="dxa"/>
            <w:vAlign w:val="bottom"/>
          </w:tcPr>
          <w:p>
            <w:pPr>
              <w:jc w:val="center"/>
              <w:ind w:left="143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2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245"/>
        </w:trPr>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198"/>
        </w:trPr>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499,292</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65,955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12,915</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$1,036 in 2024 and $1,099 in 2023</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197,523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194,927</w:t>
            </w:r>
          </w:p>
        </w:tc>
      </w:tr>
      <w:tr>
        <w:trPr>
          <w:trHeight w:val="216"/>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Inventories</w:t>
            </w:r>
          </w:p>
        </w:tc>
        <w:tc>
          <w:tcPr>
            <w:tcW w:w="8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54,257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49,963</w:t>
            </w:r>
          </w:p>
        </w:tc>
      </w:tr>
      <w:tr>
        <w:trPr>
          <w:trHeight w:val="22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32,493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28,353</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844,133</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785,450</w:t>
            </w:r>
          </w:p>
        </w:tc>
        <w:tc>
          <w:tcPr>
            <w:tcW w:w="100" w:type="dxa"/>
            <w:vAlign w:val="bottom"/>
            <w:tcBorders>
              <w:top w:val="single" w:sz="8" w:color="CCEEFF"/>
            </w:tcBorders>
          </w:tcPr>
          <w:p>
            <w:pPr>
              <w:spacing w:after="0"/>
              <w:rPr>
                <w:sz w:val="18"/>
                <w:szCs w:val="18"/>
                <w:color w:val="auto"/>
              </w:rPr>
            </w:pPr>
          </w:p>
        </w:tc>
      </w:tr>
      <w:tr>
        <w:trPr>
          <w:trHeight w:val="216"/>
        </w:trPr>
        <w:tc>
          <w:tcPr>
            <w:tcW w:w="1060" w:type="dxa"/>
            <w:vAlign w:val="bottom"/>
            <w:gridSpan w:val="2"/>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729,489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709,244</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21,297</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10,010</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10,230</w:t>
            </w:r>
          </w:p>
        </w:tc>
      </w:tr>
      <w:tr>
        <w:trPr>
          <w:trHeight w:val="256"/>
        </w:trPr>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8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1,603,453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1,526,221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60" w:type="dxa"/>
            <w:vAlign w:val="bottom"/>
            <w:gridSpan w:val="2"/>
          </w:tcPr>
          <w:p>
            <w:pPr>
              <w:spacing w:after="0"/>
              <w:rPr>
                <w:sz w:val="18"/>
                <w:szCs w:val="18"/>
                <w:color w:val="auto"/>
              </w:rPr>
            </w:pPr>
          </w:p>
        </w:tc>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6,621</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94,745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84,024</w:t>
            </w:r>
          </w:p>
        </w:tc>
      </w:tr>
      <w:tr>
        <w:trPr>
          <w:trHeight w:val="22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81,504</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94,578</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195,567</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185,223</w:t>
            </w:r>
          </w:p>
        </w:tc>
        <w:tc>
          <w:tcPr>
            <w:tcW w:w="100" w:type="dxa"/>
            <w:vAlign w:val="bottom"/>
            <w:tcBorders>
              <w:top w:val="single" w:sz="8" w:color="CCEEFF"/>
            </w:tcBorders>
          </w:tcPr>
          <w:p>
            <w:pPr>
              <w:spacing w:after="0"/>
              <w:rPr>
                <w:sz w:val="18"/>
                <w:szCs w:val="18"/>
                <w:color w:val="auto"/>
              </w:rPr>
            </w:pPr>
          </w:p>
        </w:tc>
      </w:tr>
      <w:tr>
        <w:trPr>
          <w:trHeight w:val="216"/>
        </w:trPr>
        <w:tc>
          <w:tcPr>
            <w:tcW w:w="1060" w:type="dxa"/>
            <w:vAlign w:val="bottom"/>
            <w:gridSpan w:val="2"/>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17,998</w:t>
            </w:r>
          </w:p>
        </w:tc>
      </w:tr>
      <w:tr>
        <w:trPr>
          <w:trHeight w:val="223"/>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37,401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47,391</w:t>
            </w:r>
          </w:p>
        </w:tc>
      </w:tr>
      <w:tr>
        <w:trPr>
          <w:trHeight w:val="216"/>
        </w:trPr>
        <w:tc>
          <w:tcPr>
            <w:tcW w:w="8680" w:type="dxa"/>
            <w:vAlign w:val="bottom"/>
            <w:tcBorders>
              <w:top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235,424</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250,612</w:t>
            </w:r>
          </w:p>
        </w:tc>
        <w:tc>
          <w:tcPr>
            <w:tcW w:w="100" w:type="dxa"/>
            <w:vAlign w:val="bottom"/>
            <w:tcBorders>
              <w:top w:val="single" w:sz="8" w:color="CCEEFF"/>
            </w:tcBorders>
          </w:tcPr>
          <w:p>
            <w:pPr>
              <w:spacing w:after="0"/>
              <w:rPr>
                <w:sz w:val="18"/>
                <w:szCs w:val="18"/>
                <w:color w:val="auto"/>
              </w:rPr>
            </w:pPr>
          </w:p>
        </w:tc>
      </w:tr>
      <w:tr>
        <w:trPr>
          <w:trHeight w:val="216"/>
        </w:trPr>
        <w:tc>
          <w:tcPr>
            <w:tcW w:w="1060" w:type="dxa"/>
            <w:vAlign w:val="bottom"/>
            <w:gridSpan w:val="2"/>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2,000 shares authorized, none issued and outstanding</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 shares authorized, 61,799 shares issued and outstanding as of April 28,</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2024, and 61,310 shares issued and outstanding as of October 31, 2023</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506,621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502,010</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623,550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561,119</w:t>
            </w:r>
          </w:p>
        </w:tc>
      </w:tr>
      <w:tr>
        <w:trPr>
          <w:trHeight w:val="22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(95,932)</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(88,734)</w:t>
            </w:r>
          </w:p>
        </w:tc>
      </w:tr>
      <w:tr>
        <w:trPr>
          <w:trHeight w:val="216"/>
        </w:trPr>
        <w:tc>
          <w:tcPr>
            <w:tcW w:w="8680" w:type="dxa"/>
            <w:vAlign w:val="bottom"/>
            <w:tcBorders>
              <w:top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Photronics, Inc. shareholders’ equity</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1,034,857</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975,008</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333,172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1,368,029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1,275,609</w:t>
            </w:r>
          </w:p>
        </w:tc>
      </w:tr>
      <w:tr>
        <w:trPr>
          <w:trHeight w:val="256"/>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1,603,453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1,526,221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40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60" w:type="dxa"/>
            <w:vAlign w:val="bottom"/>
            <w:tcBorders>
              <w:top w:val="single" w:sz="8" w:color="0000EE"/>
            </w:tcBorders>
          </w:tcPr>
          <w:p>
            <w:pPr>
              <w:spacing w:after="0"/>
              <w:rPr>
                <w:sz w:val="24"/>
                <w:szCs w:val="24"/>
                <w:color w:val="auto"/>
              </w:rPr>
            </w:pPr>
          </w:p>
        </w:tc>
        <w:tc>
          <w:tcPr>
            <w:tcW w:w="3000" w:type="dxa"/>
            <w:vAlign w:val="bottom"/>
          </w:tcPr>
          <w:p>
            <w:pPr>
              <w:spacing w:after="0"/>
              <w:rPr>
                <w:sz w:val="24"/>
                <w:szCs w:val="24"/>
                <w:color w:val="auto"/>
              </w:rPr>
            </w:pPr>
          </w:p>
        </w:tc>
        <w:tc>
          <w:tcPr>
            <w:tcW w:w="33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6460" w:type="dxa"/>
            <w:vAlign w:val="bottom"/>
            <w:gridSpan w:val="6"/>
          </w:tcPr>
          <w:p>
            <w:pPr>
              <w:jc w:val="center"/>
              <w:ind w:left="25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3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238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10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100" w:type="dxa"/>
            <w:vAlign w:val="bottom"/>
          </w:tcPr>
          <w:p>
            <w:pPr>
              <w:spacing w:after="0"/>
              <w:rPr>
                <w:sz w:val="16"/>
                <w:szCs w:val="16"/>
                <w:color w:val="auto"/>
              </w:rPr>
            </w:pPr>
          </w:p>
        </w:tc>
      </w:tr>
      <w:tr>
        <w:trPr>
          <w:trHeight w:val="245"/>
        </w:trPr>
        <w:tc>
          <w:tcPr>
            <w:tcW w:w="10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440,397</w:t>
            </w:r>
          </w:p>
        </w:tc>
        <w:tc>
          <w:tcPr>
            <w:tcW w:w="100" w:type="dxa"/>
            <w:vAlign w:val="bottom"/>
            <w:shd w:val="clear" w:color="auto" w:fill="CCEEFF"/>
          </w:tcPr>
          <w:p>
            <w:pPr>
              <w:spacing w:after="0"/>
              <w:rPr>
                <w:sz w:val="18"/>
                <w:szCs w:val="18"/>
                <w:color w:val="auto"/>
              </w:rPr>
            </w:pP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137,749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140,904</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274,828</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275,918</w:t>
            </w:r>
          </w:p>
        </w:tc>
      </w:tr>
      <w:tr>
        <w:trPr>
          <w:trHeight w:val="216"/>
        </w:trPr>
        <w:tc>
          <w:tcPr>
            <w:tcW w:w="40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profit</w:t>
            </w:r>
          </w:p>
        </w:tc>
        <w:tc>
          <w:tcPr>
            <w:tcW w:w="19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79,251</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88,402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158,506</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164,479</w:t>
            </w: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17,878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37,317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34,696</w:t>
            </w:r>
          </w:p>
        </w:tc>
      </w:tr>
      <w:tr>
        <w:trPr>
          <w:trHeight w:val="216"/>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3,479</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7,736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6,781</w:t>
            </w:r>
          </w:p>
        </w:tc>
      </w:tr>
      <w:tr>
        <w:trPr>
          <w:trHeight w:val="27"/>
        </w:trPr>
        <w:tc>
          <w:tcPr>
            <w:tcW w:w="1060" w:type="dxa"/>
            <w:vAlign w:val="bottom"/>
            <w:shd w:val="clear" w:color="auto" w:fill="CCEEFF"/>
          </w:tcPr>
          <w:p>
            <w:pPr>
              <w:spacing w:after="0"/>
              <w:rPr>
                <w:sz w:val="2"/>
                <w:szCs w:val="2"/>
                <w:color w:val="auto"/>
              </w:rPr>
            </w:pPr>
          </w:p>
        </w:tc>
        <w:tc>
          <w:tcPr>
            <w:tcW w:w="300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23,288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21,357</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45,053</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41,477</w:t>
            </w:r>
          </w:p>
        </w:tc>
      </w:tr>
      <w:tr>
        <w:trPr>
          <w:trHeight w:val="216"/>
        </w:trPr>
        <w:tc>
          <w:tcPr>
            <w:tcW w:w="1060" w:type="dxa"/>
            <w:vAlign w:val="bottom"/>
            <w:shd w:val="clear" w:color="auto" w:fill="CCEEFF"/>
          </w:tcPr>
          <w:p>
            <w:pPr>
              <w:spacing w:after="0"/>
              <w:rPr>
                <w:sz w:val="18"/>
                <w:szCs w:val="18"/>
                <w:color w:val="auto"/>
              </w:rPr>
            </w:pPr>
          </w:p>
        </w:tc>
        <w:tc>
          <w:tcPr>
            <w:tcW w:w="30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income</w:t>
            </w:r>
          </w:p>
        </w:tc>
        <w:tc>
          <w:tcPr>
            <w:tcW w:w="19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56,052</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67,045</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123,002</w:t>
            </w: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14,766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10,718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5,858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(6,226)</w:t>
            </w:r>
          </w:p>
        </w:tc>
      </w:tr>
      <w:tr>
        <w:trPr>
          <w:trHeight w:val="216"/>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2,987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5,570</w:t>
            </w:r>
          </w:p>
        </w:tc>
      </w:tr>
      <w:tr>
        <w:trPr>
          <w:trHeight w:val="223"/>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(134)</w:t>
            </w: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9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76,586</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80,616</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130,328</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122,148</w:t>
            </w: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21,343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34,874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33,925</w:t>
            </w:r>
          </w:p>
        </w:tc>
      </w:tr>
      <w:tr>
        <w:trPr>
          <w:trHeight w:val="223"/>
        </w:trPr>
        <w:tc>
          <w:tcPr>
            <w:tcW w:w="10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56,372</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88,223</w:t>
            </w:r>
          </w:p>
        </w:tc>
        <w:tc>
          <w:tcPr>
            <w:tcW w:w="100" w:type="dxa"/>
            <w:vAlign w:val="bottom"/>
            <w:shd w:val="clear" w:color="auto" w:fill="CCEEFF"/>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3"/>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20,121</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19,344</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33,023</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34,308</w:t>
            </w:r>
          </w:p>
        </w:tc>
      </w:tr>
      <w:tr>
        <w:trPr>
          <w:trHeight w:val="216"/>
        </w:trPr>
        <w:tc>
          <w:tcPr>
            <w:tcW w:w="106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36,251</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39,929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62,431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53,915</w:t>
            </w:r>
          </w:p>
        </w:tc>
      </w:tr>
      <w:tr>
        <w:trPr>
          <w:trHeight w:val="209"/>
        </w:trPr>
        <w:tc>
          <w:tcPr>
            <w:tcW w:w="1060" w:type="dxa"/>
            <w:vAlign w:val="bottom"/>
            <w:tcBorders>
              <w:top w:val="single" w:sz="8" w:color="CCEEFF"/>
            </w:tcBorders>
          </w:tcPr>
          <w:p>
            <w:pPr>
              <w:spacing w:after="0"/>
              <w:rPr>
                <w:sz w:val="18"/>
                <w:szCs w:val="18"/>
                <w:color w:val="auto"/>
              </w:rPr>
            </w:pPr>
          </w:p>
        </w:tc>
        <w:tc>
          <w:tcPr>
            <w:tcW w:w="3000" w:type="dxa"/>
            <w:vAlign w:val="bottom"/>
            <w:tcBorders>
              <w:top w:val="single" w:sz="8" w:color="CCEEFF"/>
            </w:tcBorders>
          </w:tcPr>
          <w:p>
            <w:pPr>
              <w:spacing w:after="0"/>
              <w:rPr>
                <w:sz w:val="18"/>
                <w:szCs w:val="18"/>
                <w:color w:val="auto"/>
              </w:rPr>
            </w:pPr>
          </w:p>
        </w:tc>
        <w:tc>
          <w:tcPr>
            <w:tcW w:w="19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0.88</w:t>
            </w:r>
          </w:p>
        </w:tc>
      </w:tr>
      <w:tr>
        <w:trPr>
          <w:trHeight w:val="257"/>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0.88</w:t>
            </w:r>
          </w:p>
        </w:tc>
      </w:tr>
      <w:tr>
        <w:trPr>
          <w:trHeight w:val="209"/>
        </w:trPr>
        <w:tc>
          <w:tcPr>
            <w:tcW w:w="1060" w:type="dxa"/>
            <w:vAlign w:val="bottom"/>
            <w:tcBorders>
              <w:top w:val="single" w:sz="8" w:color="CCEEFF"/>
            </w:tcBorders>
          </w:tcPr>
          <w:p>
            <w:pPr>
              <w:spacing w:after="0"/>
              <w:rPr>
                <w:sz w:val="18"/>
                <w:szCs w:val="18"/>
                <w:color w:val="auto"/>
              </w:rPr>
            </w:pPr>
          </w:p>
        </w:tc>
        <w:tc>
          <w:tcPr>
            <w:tcW w:w="492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1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61,138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61,613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61,016</w:t>
            </w:r>
          </w:p>
        </w:tc>
      </w:tr>
      <w:tr>
        <w:trPr>
          <w:trHeight w:val="237"/>
        </w:trPr>
        <w:tc>
          <w:tcPr>
            <w:tcW w:w="40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1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62,409</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61,507</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62,346</w:t>
            </w: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61,489</w:t>
            </w:r>
          </w:p>
        </w:tc>
      </w:tr>
      <w:tr>
        <w:trPr>
          <w:trHeight w:val="20"/>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3000" w:type="dxa"/>
            <w:vAlign w:val="bottom"/>
            <w:tcBorders>
              <w:top w:val="single" w:sz="8" w:color="CCEEFF"/>
            </w:tcBorders>
            <w:shd w:val="clear" w:color="auto" w:fill="CCEEFF"/>
          </w:tcPr>
          <w:p>
            <w:pPr>
              <w:spacing w:after="0" w:line="20" w:lineRule="exact"/>
              <w:rPr>
                <w:sz w:val="1"/>
                <w:szCs w:val="1"/>
                <w:color w:val="auto"/>
              </w:rPr>
            </w:pPr>
          </w:p>
        </w:tc>
        <w:tc>
          <w:tcPr>
            <w:tcW w:w="1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56,372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59,273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95,454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88,223</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 of $0: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(39,198)</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(39,813)</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(7,705)</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50,707</w:t>
            </w: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7"/>
        </w:trPr>
        <w:tc>
          <w:tcPr>
            <w:tcW w:w="59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16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(39,116)</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(39,747)</w:t>
            </w: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(7,650)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50,718</w:t>
            </w:r>
          </w:p>
        </w:tc>
      </w:tr>
      <w:tr>
        <w:trPr>
          <w:trHeight w:val="223"/>
        </w:trPr>
        <w:tc>
          <w:tcPr>
            <w:tcW w:w="59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17,256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19,526</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87,804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138,941</w:t>
            </w:r>
          </w:p>
        </w:tc>
      </w:tr>
      <w:tr>
        <w:trPr>
          <w:trHeight w:val="216"/>
        </w:trPr>
        <w:tc>
          <w:tcPr>
            <w:tcW w:w="5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14,682</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32,571</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46,075</w:t>
            </w:r>
          </w:p>
        </w:tc>
      </w:tr>
      <w:tr>
        <w:trPr>
          <w:trHeight w:val="216"/>
        </w:trPr>
        <w:tc>
          <w:tcPr>
            <w:tcW w:w="59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Photronics, Inc. shareholders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8,182</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4,844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55,233</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92,866</w:t>
            </w:r>
          </w:p>
        </w:tc>
      </w:tr>
      <w:tr>
        <w:trPr>
          <w:trHeight w:val="20"/>
        </w:trPr>
        <w:tc>
          <w:tcPr>
            <w:tcW w:w="5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00" w:type="dxa"/>
            <w:vAlign w:val="bottom"/>
            <w:gridSpan w:val="6"/>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00" w:type="dxa"/>
            <w:vAlign w:val="bottom"/>
            <w:gridSpan w:val="1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Equity</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4"/>
          </w:tcPr>
          <w:p>
            <w:pPr>
              <w:jc w:val="center"/>
              <w:ind w:left="191"/>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gridSpan w:val="4"/>
          </w:tcPr>
          <w:p>
            <w:pPr>
              <w:jc w:val="center"/>
              <w:ind w:left="191"/>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10"/>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Three Months Ended April 28, 2024</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10"/>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6"/>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January</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28, 2024</w:t>
            </w:r>
          </w:p>
        </w:tc>
        <w:tc>
          <w:tcPr>
            <w:tcW w:w="76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61,746</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502,903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587,299</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(67,863)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324,098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1,347,054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20,121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56,372</w:t>
            </w:r>
          </w:p>
        </w:tc>
        <w:tc>
          <w:tcPr>
            <w:tcW w:w="0" w:type="dxa"/>
            <w:vAlign w:val="bottom"/>
          </w:tcPr>
          <w:p>
            <w:pPr>
              <w:spacing w:after="0"/>
              <w:rPr>
                <w:sz w:val="1"/>
                <w:szCs w:val="1"/>
                <w:color w:val="auto"/>
              </w:rPr>
            </w:pPr>
          </w:p>
        </w:tc>
      </w:tr>
      <w:tr>
        <w:trPr>
          <w:trHeight w:val="198"/>
        </w:trPr>
        <w:tc>
          <w:tcPr>
            <w:tcW w:w="1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(28,069)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(39,116)</w:t>
            </w: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plans</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(207)</w:t>
            </w:r>
          </w:p>
        </w:tc>
        <w:tc>
          <w:tcPr>
            <w:tcW w:w="0" w:type="dxa"/>
            <w:vAlign w:val="bottom"/>
          </w:tcPr>
          <w:p>
            <w:pPr>
              <w:spacing w:after="0"/>
              <w:rPr>
                <w:sz w:val="1"/>
                <w:szCs w:val="1"/>
                <w:color w:val="auto"/>
              </w:rPr>
            </w:pPr>
          </w:p>
        </w:tc>
      </w:tr>
      <w:tr>
        <w:trPr>
          <w:trHeight w:val="198"/>
        </w:trPr>
        <w:tc>
          <w:tcPr>
            <w:tcW w:w="1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3,926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3,926</w:t>
            </w:r>
          </w:p>
        </w:tc>
        <w:tc>
          <w:tcPr>
            <w:tcW w:w="0" w:type="dxa"/>
            <w:vAlign w:val="bottom"/>
          </w:tcPr>
          <w:p>
            <w:pPr>
              <w:spacing w:after="0"/>
              <w:rPr>
                <w:sz w:val="1"/>
                <w:szCs w:val="1"/>
                <w:color w:val="auto"/>
              </w:rPr>
            </w:pPr>
          </w:p>
        </w:tc>
      </w:tr>
      <w:tr>
        <w:trPr>
          <w:trHeight w:val="223"/>
        </w:trPr>
        <w:tc>
          <w:tcPr>
            <w:tcW w:w="10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8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April 28,</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61,799</w:t>
            </w:r>
          </w:p>
        </w:tc>
        <w:tc>
          <w:tcPr>
            <w:tcW w:w="12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506,621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623,550</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(95,932)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333,172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1,368,029</w:t>
            </w: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10"/>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Three Months Ended April 30, 2023</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10"/>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6"/>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January</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29, 2023</w:t>
            </w:r>
          </w:p>
        </w:tc>
        <w:tc>
          <w:tcPr>
            <w:tcW w:w="760" w:type="dxa"/>
            <w:vAlign w:val="bottom"/>
            <w:shd w:val="clear" w:color="auto" w:fill="CCEEFF"/>
          </w:tcPr>
          <w:p>
            <w:pPr>
              <w:spacing w:after="0"/>
              <w:rPr>
                <w:sz w:val="20"/>
                <w:szCs w:val="20"/>
                <w:color w:val="auto"/>
              </w:rPr>
            </w:pP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61,102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494,954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449,620</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(24,420)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261,955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1,182,720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80" w:type="dxa"/>
            <w:vAlign w:val="bottom"/>
            <w:gridSpan w:val="3"/>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39,929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19,344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59,273</w:t>
            </w:r>
          </w:p>
        </w:tc>
        <w:tc>
          <w:tcPr>
            <w:tcW w:w="0" w:type="dxa"/>
            <w:vAlign w:val="bottom"/>
          </w:tcPr>
          <w:p>
            <w:pPr>
              <w:spacing w:after="0"/>
              <w:rPr>
                <w:sz w:val="1"/>
                <w:szCs w:val="1"/>
                <w:color w:val="auto"/>
              </w:rPr>
            </w:pPr>
          </w:p>
        </w:tc>
      </w:tr>
      <w:tr>
        <w:trPr>
          <w:trHeight w:val="198"/>
        </w:trPr>
        <w:tc>
          <w:tcPr>
            <w:tcW w:w="1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(39,747)</w:t>
            </w: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plans</w:t>
            </w:r>
          </w:p>
        </w:tc>
        <w:tc>
          <w:tcPr>
            <w:tcW w:w="1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198"/>
        </w:trPr>
        <w:tc>
          <w:tcPr>
            <w:tcW w:w="1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2,009</w:t>
            </w:r>
          </w:p>
        </w:tc>
        <w:tc>
          <w:tcPr>
            <w:tcW w:w="0" w:type="dxa"/>
            <w:vAlign w:val="bottom"/>
          </w:tcPr>
          <w:p>
            <w:pPr>
              <w:spacing w:after="0"/>
              <w:rPr>
                <w:sz w:val="1"/>
                <w:szCs w:val="1"/>
                <w:color w:val="auto"/>
              </w:rPr>
            </w:pPr>
          </w:p>
        </w:tc>
      </w:tr>
      <w:tr>
        <w:trPr>
          <w:trHeight w:val="223"/>
        </w:trPr>
        <w:tc>
          <w:tcPr>
            <w:tcW w:w="10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8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April 30,</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Pr>
          <w:p>
            <w:pPr>
              <w:spacing w:after="0"/>
              <w:rPr>
                <w:sz w:val="20"/>
                <w:szCs w:val="20"/>
                <w:color w:val="auto"/>
              </w:rPr>
            </w:pP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61,185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497,391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489,549</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(59,505)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276,637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1,204,684</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center"/>
              <w:ind w:left="551"/>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0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4"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1060" w:type="dxa"/>
            <w:vAlign w:val="bottom"/>
            <w:tcBorders>
              <w:top w:val="single" w:sz="8" w:color="0000EE"/>
            </w:tcBorders>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10"/>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Six Months Ended April 28, 2024</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10"/>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6"/>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October</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7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61,310</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502,010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561,119</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(88,734)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300,601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1,275,609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62,431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33,023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95,454</w:t>
            </w:r>
          </w:p>
        </w:tc>
        <w:tc>
          <w:tcPr>
            <w:tcW w:w="0" w:type="dxa"/>
            <w:vAlign w:val="bottom"/>
          </w:tcPr>
          <w:p>
            <w:pPr>
              <w:spacing w:after="0"/>
              <w:rPr>
                <w:sz w:val="1"/>
                <w:szCs w:val="1"/>
                <w:color w:val="auto"/>
              </w:rPr>
            </w:pPr>
          </w:p>
        </w:tc>
      </w:tr>
      <w:tr>
        <w:trPr>
          <w:trHeight w:val="198"/>
        </w:trPr>
        <w:tc>
          <w:tcPr>
            <w:tcW w:w="1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(7,198)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(7,650)</w:t>
            </w: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plans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(1,888)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(1,883)</w:t>
            </w:r>
          </w:p>
        </w:tc>
        <w:tc>
          <w:tcPr>
            <w:tcW w:w="0" w:type="dxa"/>
            <w:vAlign w:val="bottom"/>
          </w:tcPr>
          <w:p>
            <w:pPr>
              <w:spacing w:after="0"/>
              <w:rPr>
                <w:sz w:val="1"/>
                <w:szCs w:val="1"/>
                <w:color w:val="auto"/>
              </w:rPr>
            </w:pPr>
          </w:p>
        </w:tc>
      </w:tr>
      <w:tr>
        <w:trPr>
          <w:trHeight w:val="198"/>
        </w:trPr>
        <w:tc>
          <w:tcPr>
            <w:tcW w:w="1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6,499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6,499</w:t>
            </w:r>
          </w:p>
        </w:tc>
        <w:tc>
          <w:tcPr>
            <w:tcW w:w="0" w:type="dxa"/>
            <w:vAlign w:val="bottom"/>
          </w:tcPr>
          <w:p>
            <w:pPr>
              <w:spacing w:after="0"/>
              <w:rPr>
                <w:sz w:val="1"/>
                <w:szCs w:val="1"/>
                <w:color w:val="auto"/>
              </w:rPr>
            </w:pPr>
          </w:p>
        </w:tc>
      </w:tr>
      <w:tr>
        <w:trPr>
          <w:trHeight w:val="223"/>
        </w:trPr>
        <w:tc>
          <w:tcPr>
            <w:tcW w:w="10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8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April 28,</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61,799</w:t>
            </w:r>
          </w:p>
        </w:tc>
        <w:tc>
          <w:tcPr>
            <w:tcW w:w="12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506,621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623,550</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(95,932)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333,172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1,368,029</w:t>
            </w:r>
          </w:p>
        </w:tc>
        <w:tc>
          <w:tcPr>
            <w:tcW w:w="0" w:type="dxa"/>
            <w:vAlign w:val="bottom"/>
          </w:tcPr>
          <w:p>
            <w:pPr>
              <w:spacing w:after="0"/>
              <w:rPr>
                <w:sz w:val="1"/>
                <w:szCs w:val="1"/>
                <w:color w:val="auto"/>
              </w:rPr>
            </w:pPr>
          </w:p>
        </w:tc>
      </w:tr>
      <w:tr>
        <w:trPr>
          <w:trHeight w:val="21"/>
        </w:trPr>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10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10"/>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Six Months Ended April 30, 2023</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10"/>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6"/>
            <w:vMerge w:val="restart"/>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gridSpan w:val="6"/>
            <w:vMerge w:val="continue"/>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3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12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82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October</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7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60,791</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493,741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435,634</w:t>
            </w: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(98,456)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230,562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1,062,089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53,915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34,308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88,223</w:t>
            </w:r>
          </w:p>
        </w:tc>
        <w:tc>
          <w:tcPr>
            <w:tcW w:w="0" w:type="dxa"/>
            <w:vAlign w:val="bottom"/>
          </w:tcPr>
          <w:p>
            <w:pPr>
              <w:spacing w:after="0"/>
              <w:rPr>
                <w:sz w:val="1"/>
                <w:szCs w:val="1"/>
                <w:color w:val="auto"/>
              </w:rPr>
            </w:pPr>
          </w:p>
        </w:tc>
      </w:tr>
      <w:tr>
        <w:trPr>
          <w:trHeight w:val="198"/>
        </w:trPr>
        <w:tc>
          <w:tcPr>
            <w:tcW w:w="1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38,951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50,718</w:t>
            </w:r>
          </w:p>
        </w:tc>
        <w:tc>
          <w:tcPr>
            <w:tcW w:w="0" w:type="dxa"/>
            <w:vAlign w:val="bottom"/>
          </w:tcPr>
          <w:p>
            <w:pPr>
              <w:spacing w:after="0"/>
              <w:rPr>
                <w:sz w:val="1"/>
                <w:szCs w:val="1"/>
                <w:color w:val="auto"/>
              </w:rPr>
            </w:pPr>
          </w:p>
        </w:tc>
      </w:tr>
      <w:tr>
        <w:trPr>
          <w:trHeight w:val="198"/>
        </w:trPr>
        <w:tc>
          <w:tcPr>
            <w:tcW w:w="1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plans</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198"/>
        </w:trPr>
        <w:tc>
          <w:tcPr>
            <w:tcW w:w="1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3,830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3,830</w:t>
            </w:r>
          </w:p>
        </w:tc>
        <w:tc>
          <w:tcPr>
            <w:tcW w:w="0" w:type="dxa"/>
            <w:vAlign w:val="bottom"/>
          </w:tcPr>
          <w:p>
            <w:pPr>
              <w:spacing w:after="0"/>
              <w:rPr>
                <w:sz w:val="1"/>
                <w:szCs w:val="1"/>
                <w:color w:val="auto"/>
              </w:rPr>
            </w:pPr>
          </w:p>
        </w:tc>
      </w:tr>
      <w:tr>
        <w:trPr>
          <w:trHeight w:val="223"/>
        </w:trPr>
        <w:tc>
          <w:tcPr>
            <w:tcW w:w="106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8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as of April 30,</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7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61,185</w:t>
            </w:r>
          </w:p>
        </w:tc>
        <w:tc>
          <w:tcPr>
            <w:tcW w:w="12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497,391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489,549</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(59,505)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276,637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1,204,684</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60" w:type="dxa"/>
            <w:vAlign w:val="bottom"/>
            <w:tcBorders>
              <w:top w:val="single" w:sz="8" w:color="0000EE"/>
            </w:tcBorders>
          </w:tcPr>
          <w:p>
            <w:pPr>
              <w:spacing w:after="0"/>
              <w:rPr>
                <w:sz w:val="24"/>
                <w:szCs w:val="24"/>
                <w:color w:val="auto"/>
              </w:rPr>
            </w:pPr>
          </w:p>
        </w:tc>
        <w:tc>
          <w:tcPr>
            <w:tcW w:w="762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60" w:type="dxa"/>
            <w:vAlign w:val="bottom"/>
          </w:tcPr>
          <w:p>
            <w:pPr>
              <w:spacing w:after="0"/>
              <w:rPr>
                <w:sz w:val="18"/>
                <w:szCs w:val="18"/>
                <w:color w:val="auto"/>
              </w:rPr>
            </w:pPr>
          </w:p>
        </w:tc>
        <w:tc>
          <w:tcPr>
            <w:tcW w:w="762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60" w:type="dxa"/>
            <w:vAlign w:val="bottom"/>
          </w:tcPr>
          <w:p>
            <w:pPr>
              <w:spacing w:after="0"/>
              <w:rPr>
                <w:sz w:val="18"/>
                <w:szCs w:val="18"/>
                <w:color w:val="auto"/>
              </w:rPr>
            </w:pPr>
          </w:p>
        </w:tc>
        <w:tc>
          <w:tcPr>
            <w:tcW w:w="762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60" w:type="dxa"/>
            <w:vAlign w:val="bottom"/>
          </w:tcPr>
          <w:p>
            <w:pPr>
              <w:spacing w:after="0"/>
              <w:rPr>
                <w:sz w:val="20"/>
                <w:szCs w:val="20"/>
                <w:color w:val="auto"/>
              </w:rPr>
            </w:pPr>
          </w:p>
        </w:tc>
        <w:tc>
          <w:tcPr>
            <w:tcW w:w="762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106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100" w:type="dxa"/>
            <w:vAlign w:val="bottom"/>
          </w:tcPr>
          <w:p>
            <w:pPr>
              <w:spacing w:after="0"/>
              <w:rPr>
                <w:sz w:val="16"/>
                <w:szCs w:val="16"/>
                <w:color w:val="auto"/>
              </w:rPr>
            </w:pPr>
          </w:p>
        </w:tc>
      </w:tr>
      <w:tr>
        <w:trPr>
          <w:trHeight w:val="245"/>
        </w:trPr>
        <w:tc>
          <w:tcPr>
            <w:tcW w:w="1060" w:type="dxa"/>
            <w:vAlign w:val="bottom"/>
          </w:tcPr>
          <w:p>
            <w:pPr>
              <w:spacing w:after="0"/>
              <w:rPr>
                <w:sz w:val="21"/>
                <w:szCs w:val="21"/>
                <w:color w:val="auto"/>
              </w:rPr>
            </w:pPr>
          </w:p>
        </w:tc>
        <w:tc>
          <w:tcPr>
            <w:tcW w:w="76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95,454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88,223</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41,487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39,085</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3,830</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(5,952)</w:t>
            </w: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(4,407)</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(1,905)</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(4,340)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1,382</w:t>
            </w:r>
          </w:p>
        </w:tc>
      </w:tr>
      <w:tr>
        <w:trPr>
          <w:trHeight w:val="223"/>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accrued liabilities, and other</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(14,284)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(14,986)</w:t>
            </w:r>
          </w:p>
        </w:tc>
      </w:tr>
      <w:tr>
        <w:trPr>
          <w:trHeight w:val="216"/>
        </w:trPr>
        <w:tc>
          <w:tcPr>
            <w:tcW w:w="1060" w:type="dxa"/>
            <w:vAlign w:val="bottom"/>
            <w:tcBorders>
              <w:top w:val="single" w:sz="8" w:color="CCEEFF"/>
            </w:tcBorders>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117,994</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109,677</w:t>
            </w:r>
          </w:p>
        </w:tc>
      </w:tr>
      <w:tr>
        <w:trPr>
          <w:trHeight w:val="216"/>
        </w:trPr>
        <w:tc>
          <w:tcPr>
            <w:tcW w:w="1060" w:type="dxa"/>
            <w:vAlign w:val="bottom"/>
            <w:tcBorders>
              <w:top w:val="single" w:sz="8" w:color="CCEEFF"/>
            </w:tcBorders>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(63,311)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(57,728)</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(66,040)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(9,837)</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13,234</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4,000</w:t>
            </w: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Government incentives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1,393</w:t>
            </w:r>
          </w:p>
        </w:tc>
      </w:tr>
      <w:tr>
        <w:trPr>
          <w:trHeight w:val="223"/>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106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(114,704)</w:t>
            </w: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(62,260)</w:t>
            </w:r>
          </w:p>
        </w:tc>
      </w:tr>
      <w:tr>
        <w:trPr>
          <w:trHeight w:val="216"/>
        </w:trPr>
        <w:tc>
          <w:tcPr>
            <w:tcW w:w="106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Repayments of debt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(2,844)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(14,720)</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from share-based arrangements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730</w:t>
            </w:r>
          </w:p>
        </w:tc>
      </w:tr>
      <w:tr>
        <w:trPr>
          <w:trHeight w:val="223"/>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settlements of restricted stock awards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(2,938)</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(1,252)</w:t>
            </w:r>
          </w:p>
        </w:tc>
      </w:tr>
      <w:tr>
        <w:trPr>
          <w:trHeight w:val="216"/>
        </w:trPr>
        <w:tc>
          <w:tcPr>
            <w:tcW w:w="1060" w:type="dxa"/>
            <w:vAlign w:val="bottom"/>
            <w:tcBorders>
              <w:top w:val="single" w:sz="8" w:color="CCEEFF"/>
            </w:tcBorders>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(4,727)</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(15,242)</w:t>
            </w:r>
          </w:p>
        </w:tc>
      </w:tr>
      <w:tr>
        <w:trPr>
          <w:trHeight w:val="216"/>
        </w:trPr>
        <w:tc>
          <w:tcPr>
            <w:tcW w:w="1060" w:type="dxa"/>
            <w:vAlign w:val="bottom"/>
            <w:tcBorders>
              <w:top w:val="single" w:sz="8" w:color="CCEEFF"/>
            </w:tcBorders>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(3,839)</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15,621</w:t>
            </w:r>
          </w:p>
        </w:tc>
      </w:tr>
      <w:tr>
        <w:trPr>
          <w:trHeight w:val="216"/>
        </w:trPr>
        <w:tc>
          <w:tcPr>
            <w:tcW w:w="1060" w:type="dxa"/>
            <w:vAlign w:val="bottom"/>
            <w:tcBorders>
              <w:top w:val="single" w:sz="8" w:color="CCEEFF"/>
            </w:tcBorders>
          </w:tcPr>
          <w:p>
            <w:pPr>
              <w:spacing w:after="0"/>
              <w:rPr>
                <w:sz w:val="18"/>
                <w:szCs w:val="18"/>
                <w:color w:val="auto"/>
              </w:rPr>
            </w:pPr>
          </w:p>
        </w:tc>
        <w:tc>
          <w:tcPr>
            <w:tcW w:w="76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(5,276)</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47,796</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501,867</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322,409</w:t>
            </w:r>
          </w:p>
        </w:tc>
        <w:tc>
          <w:tcPr>
            <w:tcW w:w="100" w:type="dxa"/>
            <w:vAlign w:val="bottom"/>
          </w:tcPr>
          <w:p>
            <w:pPr>
              <w:spacing w:after="0"/>
              <w:rPr>
                <w:sz w:val="19"/>
                <w:szCs w:val="19"/>
                <w:color w:val="auto"/>
              </w:rPr>
            </w:pPr>
          </w:p>
        </w:tc>
      </w:tr>
      <w:tr>
        <w:trPr>
          <w:trHeight w:val="216"/>
        </w:trPr>
        <w:tc>
          <w:tcPr>
            <w:tcW w:w="106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496,591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370,205</w:t>
            </w:r>
          </w:p>
        </w:tc>
      </w:tr>
      <w:tr>
        <w:trPr>
          <w:trHeight w:val="216"/>
        </w:trPr>
        <w:tc>
          <w:tcPr>
            <w:tcW w:w="106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Ending restricted cash</w:t>
            </w: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2,686</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00" w:type="dxa"/>
            <w:vAlign w:val="bottom"/>
          </w:tcPr>
          <w:p>
            <w:pPr>
              <w:spacing w:after="0"/>
              <w:rPr>
                <w:sz w:val="19"/>
                <w:szCs w:val="19"/>
                <w:color w:val="auto"/>
              </w:rPr>
            </w:pPr>
          </w:p>
        </w:tc>
      </w:tr>
      <w:tr>
        <w:trPr>
          <w:trHeight w:val="216"/>
        </w:trPr>
        <w:tc>
          <w:tcPr>
            <w:tcW w:w="106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493,905</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367,485</w:t>
            </w:r>
          </w:p>
        </w:tc>
      </w:tr>
      <w:tr>
        <w:trPr>
          <w:trHeight w:val="20"/>
        </w:trPr>
        <w:tc>
          <w:tcPr>
            <w:tcW w:w="10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6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non-cash information:</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6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Accruals for property, plant and equipment purchased during the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14,420</w:t>
            </w:r>
          </w:p>
        </w:tc>
      </w:tr>
      <w:tr>
        <w:trPr>
          <w:trHeight w:val="20"/>
        </w:trPr>
        <w:tc>
          <w:tcPr>
            <w:tcW w:w="10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FINANCIAL STATEMENT PRESENTATION</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ICs, a variety of FPDs and, to a lesser extent, other types of electrical and optical components. We operate eleven manufacturing facilities, which are located in Taiwan (3), Korea</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China (2), the United States (3), and Europe (2).</w:t>
      </w:r>
    </w:p>
    <w:p>
      <w:pPr>
        <w:spacing w:after="0" w:line="207"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(“the financial statements”) have been prepared in accordance with U.S. GAAP for interim financial information, and with the instructions to Form 10-Q and Article 10 of Regulation S-X. Accordingly, they do not include all of the information and footnotes required by U.S. GAAP for annual financial statements. In the opinion of management, adjustments, all of which are of a normal recurring nature, considered necessary for a fair presentation have been included. The financial statements include the accounts of Photronics, its wholly owned subsidiaries, and the majority-owned subsidiaries, which it controls. All significant intercompany balances and transactions have been eliminated in consolidation. These financial statements should be read in conjunction with the consolidated financial statements and accompanying notes included in our Form 10-K for the fiscal year ended October 31, 2023, where we discuss and provide additional information about our accounting policies and the methods and assumptions used in our estimates.</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us to make estimates and assumptions that affect amounts reported in them. Our estimates are based on historical experience and on various assumptions that we believe to be reasonable under the facts and circumstances at the time they are made. Subsequent actual results may differ from such estimates. We review these estimates periodically and reflect any effects of revisions in the period in which they are determined.</w:t>
      </w:r>
    </w:p>
    <w:p>
      <w:pPr>
        <w:spacing w:after="0" w:line="18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business is typically impacted during the first quarter of our fiscal year by the North American, European, and Asian holiday periods, as some customers reduce their development and buying activities during this period. Operating results for the interim periods are not necessarily indicative of the results that may be expected for the fiscal year ending October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ACCOUNT RECEIVABLES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 xml:space="preserve"> at the balance sheet dates are presented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April 28,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8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175,034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w:t>
            </w:r>
          </w:p>
        </w:tc>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23,525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24,593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7"/>
        </w:trPr>
        <w:tc>
          <w:tcPr>
            <w:tcW w:w="382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tcPr>
          <w:p>
            <w:pPr>
              <w:spacing w:after="0"/>
              <w:rPr>
                <w:sz w:val="18"/>
                <w:szCs w:val="18"/>
                <w:color w:val="auto"/>
              </w:rPr>
            </w:pPr>
          </w:p>
        </w:tc>
        <w:tc>
          <w:tcPr>
            <w:tcW w:w="5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197,523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194,927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860" w:type="dxa"/>
            <w:vAlign w:val="bottom"/>
            <w:vMerge w:val="restart"/>
          </w:tcPr>
          <w:p>
            <w:pPr>
              <w:jc w:val="right"/>
              <w:ind w:right="2899"/>
              <w:spacing w:after="0"/>
              <w:rPr>
                <w:sz w:val="20"/>
                <w:szCs w:val="20"/>
                <w:color w:val="auto"/>
              </w:rPr>
            </w:pPr>
            <w:r>
              <w:rPr>
                <w:rFonts w:ascii="Times New Roman" w:cs="Times New Roman" w:eastAsia="Times New Roman" w:hAnsi="Times New Roman"/>
                <w:sz w:val="14"/>
                <w:szCs w:val="14"/>
                <w:color w:val="auto"/>
              </w:rPr>
              <w:t>11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382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820" w:type="dxa"/>
            <w:vAlign w:val="bottom"/>
            <w:tcBorders>
              <w:bottom w:val="single" w:sz="8" w:color="auto"/>
            </w:tcBorders>
          </w:tcPr>
          <w:p>
            <w:pPr>
              <w:spacing w:after="0"/>
              <w:rPr>
                <w:sz w:val="3"/>
                <w:szCs w:val="3"/>
                <w:color w:val="auto"/>
              </w:rPr>
            </w:pPr>
          </w:p>
        </w:tc>
        <w:tc>
          <w:tcPr>
            <w:tcW w:w="48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invests in various bank time deposits and U.S. Government Securities. Our classification of investments is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Maturing within three months or less from the date of purchase</w:t>
            </w:r>
          </w:p>
        </w:tc>
        <w:tc>
          <w:tcPr>
            <w:tcW w:w="39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Cash and cash equivalents</w:t>
            </w:r>
          </w:p>
        </w:tc>
      </w:tr>
      <w:tr>
        <w:trPr>
          <w:trHeight w:val="198"/>
        </w:trPr>
        <w:tc>
          <w:tcPr>
            <w:tcW w:w="40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9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Maturing, as of the date of purchase, more than three months, but</w:t>
            </w:r>
          </w:p>
        </w:tc>
        <w:tc>
          <w:tcPr>
            <w:tcW w:w="3900" w:type="dxa"/>
            <w:vAlign w:val="bottom"/>
          </w:tcPr>
          <w:p>
            <w:pPr>
              <w:spacing w:after="0"/>
              <w:rPr>
                <w:sz w:val="17"/>
                <w:szCs w:val="17"/>
                <w:color w:val="auto"/>
              </w:rPr>
            </w:pPr>
          </w:p>
        </w:tc>
      </w:tr>
      <w:tr>
        <w:trPr>
          <w:trHeight w:val="234"/>
        </w:trPr>
        <w:tc>
          <w:tcPr>
            <w:tcW w:w="400" w:type="dxa"/>
            <w:vAlign w:val="bottom"/>
          </w:tcPr>
          <w:p>
            <w:pPr>
              <w:spacing w:after="0"/>
              <w:rPr>
                <w:sz w:val="20"/>
                <w:szCs w:val="20"/>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 remaining maturities of less than one year, from the balance sheet date</w:t>
            </w:r>
          </w:p>
        </w:tc>
        <w:tc>
          <w:tcPr>
            <w:tcW w:w="39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Short-term investments</w:t>
            </w:r>
          </w:p>
        </w:tc>
      </w:tr>
      <w:tr>
        <w:trPr>
          <w:trHeight w:val="216"/>
        </w:trPr>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Maturing one year or more from the balance sheet date</w:t>
            </w:r>
          </w:p>
        </w:tc>
        <w:tc>
          <w:tcPr>
            <w:tcW w:w="39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w w:val="99"/>
              </w:rPr>
              <w:t>Long-term marketable investments</w:t>
            </w:r>
          </w:p>
        </w:tc>
      </w:tr>
    </w:tbl>
    <w:p>
      <w:pPr>
        <w:spacing w:after="0" w:line="198"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As of April 28, 2024, all of our investments had, at their dates of purchase, remaining maturities of more than three months, but less than one year, and have been classified as short-term investments. 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w:t>
      </w:r>
    </w:p>
    <w:p>
      <w:pPr>
        <w:spacing w:after="0" w:line="180"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1 - These are investments where values are based on unadjusted quoted prices for identical assets in an active market the Company has the ability to access.</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Level 2 - These are investments where values are based on quoted market prices that are not active or model derived valuations in which all significant inputs are observable in active markets.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3 - These are investments where values are derived from techniques in which one or more significant inputs are unobservable.</w:t>
      </w:r>
    </w:p>
    <w:p>
      <w:pPr>
        <w:spacing w:after="0" w:line="225"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following are the major categories of assets measured at fair value on a recurring basis using quoted prices in active markets for identical assets (Level 1), significant other observable inputs (Level 2) and significant unobservable inputs (Level 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April 28, 2024</w:t>
            </w: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2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2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6,585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12,915</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00" w:type="dxa"/>
            <w:vAlign w:val="bottom"/>
            <w:shd w:val="clear" w:color="auto" w:fill="CCEEFF"/>
          </w:tcPr>
          <w:p>
            <w:pPr>
              <w:spacing w:after="0"/>
              <w:rPr>
                <w:sz w:val="18"/>
                <w:szCs w:val="18"/>
                <w:color w:val="auto"/>
              </w:rPr>
            </w:pP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59,370</w:t>
            </w:r>
          </w:p>
        </w:tc>
        <w:tc>
          <w:tcPr>
            <w:tcW w:w="9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59,370</w:t>
            </w:r>
          </w:p>
        </w:tc>
        <w:tc>
          <w:tcPr>
            <w:tcW w:w="2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bl>
    <w:p>
      <w:pPr>
        <w:spacing w:after="0" w:line="19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 xml:space="preserve">Based upon the Company’s intent and ability to hold its time deposits to maturity (which maturities range up to twelve months at purchase), such securities have been classified as held-to-maturity and are carried at amortized cost, which approximates market value. The Company’s U.S. Government Securities are classified as available-for-sale. Available-for-sale investments are reported at fair value, with unrealized gains or losses (net of tax) reported in Accumulated other comprehensive income. In the event of a sale of these securities, we would determine the cost of the investment sold at the specific individual security level and would include any gain or loss in </w:t>
      </w:r>
      <w:r>
        <w:rPr>
          <w:rFonts w:ascii="Times New Roman" w:cs="Times New Roman" w:eastAsia="Times New Roman" w:hAnsi="Times New Roman"/>
          <w:sz w:val="18"/>
          <w:szCs w:val="18"/>
          <w:i w:val="1"/>
          <w:iCs w:val="1"/>
          <w:color w:val="auto"/>
        </w:rPr>
        <w:t>Interest income and other income, net</w:t>
      </w:r>
      <w:r>
        <w:rPr>
          <w:rFonts w:ascii="Times New Roman" w:cs="Times New Roman" w:eastAsia="Times New Roman" w:hAnsi="Times New Roman"/>
          <w:sz w:val="18"/>
          <w:szCs w:val="18"/>
          <w:color w:val="auto"/>
        </w:rPr>
        <w:t>, where we also report periodic interest earned and the amortization (accretion) of discounts (premiums) related to these investments.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provides information on our available-for-sale debt securities and time deposits classified as short-term investments.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April 28, 2024</w:t>
            </w:r>
          </w:p>
        </w:tc>
        <w:tc>
          <w:tcPr>
            <w:tcW w:w="3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380" w:type="dxa"/>
            <w:vAlign w:val="bottom"/>
          </w:tcPr>
          <w:p>
            <w:pPr>
              <w:spacing w:after="0"/>
              <w:rPr>
                <w:sz w:val="16"/>
                <w:szCs w:val="16"/>
                <w:color w:val="auto"/>
              </w:rPr>
            </w:pPr>
          </w:p>
        </w:tc>
        <w:tc>
          <w:tcPr>
            <w:tcW w:w="1040" w:type="dxa"/>
            <w:vAlign w:val="bottom"/>
            <w:gridSpan w:val="2"/>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160" w:type="dxa"/>
            <w:vAlign w:val="bottom"/>
            <w:gridSpan w:val="2"/>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160" w:type="dxa"/>
            <w:vAlign w:val="bottom"/>
            <w:gridSpan w:val="2"/>
          </w:tcPr>
          <w:p>
            <w:pPr>
              <w:jc w:val="right"/>
              <w:ind w:right="90"/>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Pr>
          <w:p>
            <w:pPr>
              <w:spacing w:after="0"/>
              <w:rPr>
                <w:sz w:val="16"/>
                <w:szCs w:val="16"/>
                <w:color w:val="auto"/>
              </w:rPr>
            </w:pP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Amortized</w:t>
            </w:r>
          </w:p>
        </w:tc>
        <w:tc>
          <w:tcPr>
            <w:tcW w:w="1100" w:type="dxa"/>
            <w:vAlign w:val="bottom"/>
            <w:gridSpan w:val="2"/>
          </w:tcPr>
          <w:p>
            <w:pPr>
              <w:jc w:val="right"/>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140" w:type="dxa"/>
            <w:vAlign w:val="bottom"/>
            <w:gridSpan w:val="2"/>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80" w:type="dxa"/>
            <w:vAlign w:val="bottom"/>
          </w:tcPr>
          <w:p>
            <w:pPr>
              <w:spacing w:after="0"/>
              <w:rPr>
                <w:sz w:val="16"/>
                <w:szCs w:val="16"/>
                <w:color w:val="auto"/>
              </w:rPr>
            </w:pPr>
          </w:p>
        </w:tc>
        <w:tc>
          <w:tcPr>
            <w:tcW w:w="80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6"/>
                <w:szCs w:val="16"/>
                <w:color w:val="auto"/>
              </w:rPr>
            </w:pPr>
          </w:p>
        </w:tc>
      </w:tr>
      <w:tr>
        <w:trPr>
          <w:trHeight w:val="245"/>
        </w:trPr>
        <w:tc>
          <w:tcPr>
            <w:tcW w:w="2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80" w:type="dxa"/>
            <w:vAlign w:val="bottom"/>
          </w:tcPr>
          <w:p>
            <w:pPr>
              <w:spacing w:after="0"/>
              <w:rPr>
                <w:sz w:val="21"/>
                <w:szCs w:val="21"/>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1"/>
                <w:szCs w:val="21"/>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60" w:type="dxa"/>
            <w:vAlign w:val="bottom"/>
          </w:tcPr>
          <w:p>
            <w:pPr>
              <w:spacing w:after="0"/>
              <w:rPr>
                <w:sz w:val="21"/>
                <w:szCs w:val="21"/>
                <w:color w:val="auto"/>
              </w:rPr>
            </w:pPr>
          </w:p>
        </w:tc>
        <w:tc>
          <w:tcPr>
            <w:tcW w:w="8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Government Securities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6,580</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tcBorders>
              <w:top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12,913</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00" w:type="dxa"/>
            <w:vAlign w:val="bottom"/>
            <w:shd w:val="clear" w:color="auto" w:fill="CCEEFF"/>
          </w:tcPr>
          <w:p>
            <w:pPr>
              <w:spacing w:after="0"/>
              <w:rPr>
                <w:sz w:val="18"/>
                <w:szCs w:val="18"/>
                <w:color w:val="auto"/>
              </w:rPr>
            </w:pPr>
          </w:p>
        </w:tc>
      </w:tr>
      <w:tr>
        <w:trPr>
          <w:trHeight w:val="223"/>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Time deposits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59,370</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59,370</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2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65,950</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40" w:type="dxa"/>
            <w:vAlign w:val="bottom"/>
            <w:tcBorders>
              <w:top w:val="single" w:sz="8" w:color="auto"/>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65,955</w:t>
            </w:r>
          </w:p>
        </w:tc>
        <w:tc>
          <w:tcPr>
            <w:tcW w:w="20" w:type="dxa"/>
            <w:vAlign w:val="bottom"/>
            <w:tcBorders>
              <w:top w:val="single" w:sz="8" w:color="auto"/>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12,913</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investments in marketable securities consist primarily of investments in various time deposits and U.S. Government Securities. Market values were determined for each individual security in the investment portfolio. When evaluating the investments for other-than-temporary impairment, the Company reviews factors such as length of time and extent to which fair value has been below cost basis, the financial condition of the issuer, and the Company’s ability and intent to hold the investment for a period of time, which may be sufficient for anticipated recovery in market values.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INVENTORIES</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Inventories are stated at the lower of cost, determined under the first-in, first-out (“FIFO”) method, or net realizable value. Presented below are the components of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xml:space="preserve"> at the balance sheet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54,257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49,963</w:t>
            </w: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161"/>
        </w:trPr>
        <w:tc>
          <w:tcPr>
            <w:tcW w:w="10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Presented below are the components of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at the balance sheet dates.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April 28,</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1060" w:type="dxa"/>
            <w:vAlign w:val="bottom"/>
          </w:tcPr>
          <w:p>
            <w:pPr>
              <w:spacing w:after="0"/>
              <w:rPr>
                <w:sz w:val="21"/>
                <w:szCs w:val="21"/>
                <w:color w:val="auto"/>
              </w:rPr>
            </w:pPr>
          </w:p>
        </w:tc>
        <w:tc>
          <w:tcPr>
            <w:tcW w:w="76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185,850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1,942,506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1,922,041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18,894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15,856</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55,434</w:t>
            </w:r>
          </w:p>
        </w:tc>
      </w:tr>
      <w:tr>
        <w:trPr>
          <w:trHeight w:val="216"/>
        </w:trPr>
        <w:tc>
          <w:tcPr>
            <w:tcW w:w="1060" w:type="dxa"/>
            <w:vAlign w:val="bottom"/>
            <w:shd w:val="clear" w:color="auto" w:fill="CCEEFF"/>
          </w:tcPr>
          <w:p>
            <w:pPr>
              <w:spacing w:after="0"/>
              <w:rPr>
                <w:sz w:val="18"/>
                <w:szCs w:val="18"/>
                <w:color w:val="auto"/>
              </w:rPr>
            </w:pPr>
          </w:p>
        </w:tc>
        <w:tc>
          <w:tcPr>
            <w:tcW w:w="7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2,258,662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2,209,453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(1,529,173)</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(1,500,209)</w:t>
            </w:r>
          </w:p>
        </w:tc>
      </w:tr>
      <w:tr>
        <w:trPr>
          <w:trHeight w:val="257"/>
        </w:trPr>
        <w:tc>
          <w:tcPr>
            <w:tcW w:w="106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729,489</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709,244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5"/>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Information on ROU assets resulting from finance leases, at the balance sheet dates, is presented below.</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6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April 28,</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1060" w:type="dxa"/>
            <w:vAlign w:val="bottom"/>
          </w:tcPr>
          <w:p>
            <w:pPr>
              <w:spacing w:after="0"/>
              <w:rPr>
                <w:sz w:val="21"/>
                <w:szCs w:val="21"/>
                <w:color w:val="auto"/>
              </w:rPr>
            </w:pPr>
          </w:p>
        </w:tc>
        <w:tc>
          <w:tcPr>
            <w:tcW w:w="76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42,820</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(9,064)</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(7,655)</w:t>
            </w:r>
          </w:p>
        </w:tc>
      </w:tr>
      <w:tr>
        <w:trPr>
          <w:trHeight w:val="257"/>
        </w:trPr>
        <w:tc>
          <w:tcPr>
            <w:tcW w:w="1060" w:type="dxa"/>
            <w:vAlign w:val="bottom"/>
            <w:tcBorders>
              <w:bottom w:val="single" w:sz="8" w:color="CCEEFF"/>
            </w:tcBorders>
            <w:shd w:val="clear" w:color="auto" w:fill="CCEEFF"/>
          </w:tcPr>
          <w:p>
            <w:pPr>
              <w:spacing w:after="0"/>
              <w:rPr>
                <w:sz w:val="22"/>
                <w:szCs w:val="22"/>
                <w:color w:val="auto"/>
              </w:rPr>
            </w:pPr>
          </w:p>
        </w:tc>
        <w:tc>
          <w:tcPr>
            <w:tcW w:w="76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33,752</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depreciation expense (including the amortization of ROU assets) related to property, plant, and equipment incurred during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5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4"/>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38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35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30,</w:t>
            </w:r>
          </w:p>
        </w:tc>
        <w:tc>
          <w:tcPr>
            <w:tcW w:w="100" w:type="dxa"/>
            <w:vAlign w:val="bottom"/>
          </w:tcPr>
          <w:p>
            <w:pPr>
              <w:spacing w:after="0"/>
              <w:rPr>
                <w:sz w:val="16"/>
                <w:szCs w:val="16"/>
                <w:color w:val="auto"/>
              </w:rPr>
            </w:pPr>
          </w:p>
        </w:tc>
      </w:tr>
      <w:tr>
        <w:trPr>
          <w:trHeight w:val="245"/>
        </w:trPr>
        <w:tc>
          <w:tcPr>
            <w:tcW w:w="358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4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20,689</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38,908</w:t>
            </w:r>
          </w:p>
        </w:tc>
        <w:tc>
          <w:tcPr>
            <w:tcW w:w="100" w:type="dxa"/>
            <w:vAlign w:val="bottom"/>
            <w:shd w:val="clear" w:color="auto" w:fill="CCEEFF"/>
          </w:tcPr>
          <w:p>
            <w:pPr>
              <w:spacing w:after="0"/>
              <w:rPr>
                <w:sz w:val="18"/>
                <w:szCs w:val="18"/>
                <w:color w:val="auto"/>
              </w:rPr>
            </w:pPr>
          </w:p>
        </w:tc>
      </w:tr>
      <w:tr>
        <w:trPr>
          <w:trHeight w:val="571"/>
        </w:trPr>
        <w:tc>
          <w:tcPr>
            <w:tcW w:w="3580" w:type="dxa"/>
            <w:vAlign w:val="bottom"/>
          </w:tcPr>
          <w:p>
            <w:pPr>
              <w:spacing w:after="0"/>
              <w:rPr>
                <w:sz w:val="24"/>
                <w:szCs w:val="24"/>
                <w:color w:val="auto"/>
              </w:rPr>
            </w:pPr>
          </w:p>
        </w:tc>
        <w:tc>
          <w:tcPr>
            <w:tcW w:w="240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13</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3580" w:type="dxa"/>
            <w:vAlign w:val="bottom"/>
            <w:tcBorders>
              <w:bottom w:val="single" w:sz="8" w:color="auto"/>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PDMCX JOINT VENTURE</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January 2018, Photronics, Inc., through its wholly owned Singapore subsidiary (hereinafter, within this Note “we”, “Photronics”, “us”, or “our”), and DNP, through its wholly owned subsidiary “DNP Asia Pacific PTE, Ltd.”, entered into a joint venture under which DNP obtained a 49.99% interest in our IC business in Xiamen, China. The joint venture, which we refer to as “PDMCX”, was established to develop and manufacture photomasks for semiconductors. We entered into this joint venture to enable us to compete more effectively for the merchant photomask business in China, and to benefit from the additional resources and investment that DNP provides to enable us to offer advanced-process technology to our customers.</w:t>
      </w:r>
    </w:p>
    <w:p>
      <w:pPr>
        <w:spacing w:after="0" w:line="18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2020, in combination with local financing obtained by PDMCX, Photronics and DNP fulfilled their investment obligations under the PDMCX operating agreement (“the Agreement”). As discussed in Note 7, liens were granted to the local financing entity on property, plant, and equipment and were paid off during fiscal year 2023 and there was no remaining debt at October 31, 2023.</w:t>
      </w:r>
    </w:p>
    <w:p>
      <w:pPr>
        <w:spacing w:after="0" w:line="176"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Under the Agreement, both Photronics and DNP have the option to purchase, or put, their interest from, or to, the other party, should their ownership interest fall below 20.0% for a period of more than six consecutive months. Under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income we recorded from the operations of PDMCX during the reporting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30,</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PDMCX</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12,569</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required by the guidance in Topic 810 - “Consolidation” of the Accounting Standards Codification (“ASC”),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was a VIE. Having made this determination, we then assessed whether we were the primary beneficiary of the VIE and concluded that we were the primary beneficiary during the current and prior year reporting periods; thus, as required, the PDMCX financial results have been consolidated with Photronics. Our conclusion was based on the facts that we held a controlling financial interest in PDMCX (which resulted from our having the power to direct the activities that most significantly impacted its economic performance) and had the obligation to absorb losses and the right to receive benefits that could potentially be significant to PDMCX. Our conclusions that we had the power to direct the activities that most significantly affected the economic performance of PDMCX during the current and prior year reporting periods were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we held during the current and prior year periods, we had the obligation to absorb losses, and the right to receive benefits, that could potentially be significant to PDMCX.</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amounts of PDMCX assets and liabilities included in our condensed consolidated balance sheets. General creditors of PDMCX do not have recourse to the assets of Photronics (other than the net assets of PDMCX); therefore, our maximum exposure to loss from PDMCX is our interest in the carrying amount of the net assets of the joint venture.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140" w:type="dxa"/>
            <w:vAlign w:val="bottom"/>
          </w:tcPr>
          <w:p>
            <w:pPr>
              <w:spacing w:after="0"/>
              <w:rPr>
                <w:sz w:val="18"/>
                <w:szCs w:val="18"/>
                <w:color w:val="auto"/>
              </w:rPr>
            </w:pPr>
          </w:p>
        </w:tc>
        <w:tc>
          <w:tcPr>
            <w:tcW w:w="240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00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100" w:type="dxa"/>
            <w:vAlign w:val="bottom"/>
          </w:tcPr>
          <w:p>
            <w:pPr>
              <w:spacing w:after="0"/>
              <w:rPr>
                <w:sz w:val="16"/>
                <w:szCs w:val="16"/>
                <w:color w:val="auto"/>
              </w:rPr>
            </w:pPr>
          </w:p>
        </w:tc>
      </w:tr>
      <w:tr>
        <w:trPr>
          <w:trHeight w:val="245"/>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4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Pr>
          <w:p>
            <w:pPr>
              <w:spacing w:after="0"/>
              <w:rPr>
                <w:sz w:val="21"/>
                <w:szCs w:val="21"/>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150,329</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75,180</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67,994</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144,435</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72,232</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136,334</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68,181</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294,764</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147,412</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272,294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32,810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16,408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36,305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18,156</w:t>
            </w:r>
          </w:p>
        </w:tc>
      </w:tr>
      <w:tr>
        <w:trPr>
          <w:trHeight w:val="22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w:t>
            </w:r>
          </w:p>
        </w:tc>
      </w:tr>
      <w:tr>
        <w:trPr>
          <w:trHeight w:val="223"/>
        </w:trPr>
        <w:tc>
          <w:tcPr>
            <w:tcW w:w="59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34,711</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5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260,053</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130,053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234,116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117,082</w:t>
            </w:r>
          </w:p>
        </w:tc>
      </w:tr>
      <w:tr>
        <w:trPr>
          <w:trHeight w:val="426"/>
        </w:trPr>
        <w:tc>
          <w:tcPr>
            <w:tcW w:w="59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NOTE 7 - DEBT</w:t>
            </w: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of April 28, 2024, the Current portion of long-term debt and the Long-term debt balances were comprised of finance leases as described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45"/>
        </w:trPr>
        <w:tc>
          <w:tcPr>
            <w:tcW w:w="914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As of April 28, 2024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Leases</w:t>
            </w:r>
          </w:p>
        </w:tc>
      </w:tr>
      <w:tr>
        <w:trPr>
          <w:trHeight w:val="216"/>
        </w:trPr>
        <w:tc>
          <w:tcPr>
            <w:tcW w:w="9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Principal due:</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9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 12 months</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19,318</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Months 13 – 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220" w:type="dxa"/>
            <w:vAlign w:val="bottom"/>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25 – 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Months 37 – 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8"/>
                <w:szCs w:val="18"/>
                <w:color w:val="auto"/>
              </w:rPr>
            </w:pPr>
          </w:p>
        </w:tc>
      </w:tr>
      <w:tr>
        <w:trPr>
          <w:trHeight w:val="223"/>
        </w:trPr>
        <w:tc>
          <w:tcPr>
            <w:tcW w:w="9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49 – 60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220" w:type="dxa"/>
            <w:vAlign w:val="bottom"/>
          </w:tcPr>
          <w:p>
            <w:pPr>
              <w:spacing w:after="0"/>
              <w:rPr>
                <w:sz w:val="19"/>
                <w:szCs w:val="19"/>
                <w:color w:val="auto"/>
              </w:rPr>
            </w:pPr>
          </w:p>
        </w:tc>
      </w:tr>
      <w:tr>
        <w:trPr>
          <w:trHeight w:val="257"/>
        </w:trPr>
        <w:tc>
          <w:tcPr>
            <w:tcW w:w="9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21,774</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10"/>
        </w:trPr>
        <w:tc>
          <w:tcPr>
            <w:tcW w:w="9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at balance sheet date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Basis spread on interest rates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reset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Periodic payment amount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Varies as Lease mature</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Periodic payment frequency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Monthly</w:t>
            </w:r>
          </w:p>
        </w:tc>
      </w:tr>
      <w:tr>
        <w:trPr>
          <w:trHeight w:val="25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collateral (carrying amount)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60"/>
              <w:spacing w:after="0" w:line="256" w:lineRule="exact"/>
              <w:rPr>
                <w:sz w:val="20"/>
                <w:szCs w:val="20"/>
                <w:color w:val="auto"/>
              </w:rPr>
            </w:pPr>
            <w:r>
              <w:rPr>
                <w:rFonts w:ascii="Times New Roman" w:cs="Times New Roman" w:eastAsia="Times New Roman" w:hAnsi="Times New Roman"/>
                <w:sz w:val="18"/>
                <w:szCs w:val="18"/>
                <w:color w:val="auto"/>
              </w:rPr>
              <w:t>33,752</w:t>
            </w:r>
            <w:r>
              <w:rPr>
                <w:rFonts w:ascii="Times New Roman" w:cs="Times New Roman" w:eastAsia="Times New Roman" w:hAnsi="Times New Roman"/>
                <w:sz w:val="29"/>
                <w:szCs w:val="29"/>
                <w:color w:val="auto"/>
                <w:vertAlign w:val="superscript"/>
              </w:rPr>
              <w:t>(1)</w:t>
            </w:r>
          </w:p>
        </w:tc>
      </w:tr>
    </w:tbl>
    <w:p>
      <w:pPr>
        <w:spacing w:after="0" w:line="198" w:lineRule="exact"/>
        <w:rPr>
          <w:sz w:val="20"/>
          <w:szCs w:val="20"/>
          <w:color w:val="auto"/>
        </w:rPr>
      </w:pPr>
    </w:p>
    <w:p>
      <w:pPr>
        <w:ind w:left="340" w:right="1440" w:hanging="8"/>
        <w:spacing w:after="0" w:line="372" w:lineRule="auto"/>
        <w:tabs>
          <w:tab w:leader="none" w:pos="664"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carrying amount at the balance sheet date of the related ROU assets, in which the lessors have secured interests. The table below provides information on our long-term debt as of October 31, 2023.</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45"/>
        </w:trPr>
        <w:tc>
          <w:tcPr>
            <w:tcW w:w="918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As of October 31, 2023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9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Principal due:</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9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 12 months</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Months 13 – 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180" w:type="dxa"/>
            <w:vAlign w:val="bottom"/>
          </w:tcPr>
          <w:p>
            <w:pPr>
              <w:spacing w:after="0"/>
              <w:rPr>
                <w:sz w:val="18"/>
                <w:szCs w:val="18"/>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25 – 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Months 37 – 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r>
      <w:tr>
        <w:trPr>
          <w:trHeight w:val="223"/>
        </w:trPr>
        <w:tc>
          <w:tcPr>
            <w:tcW w:w="9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49 – 60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23"/>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17,998</w:t>
            </w:r>
          </w:p>
        </w:tc>
        <w:tc>
          <w:tcPr>
            <w:tcW w:w="180" w:type="dxa"/>
            <w:vAlign w:val="bottom"/>
          </w:tcPr>
          <w:p>
            <w:pPr>
              <w:spacing w:after="0"/>
              <w:rPr>
                <w:sz w:val="19"/>
                <w:szCs w:val="19"/>
                <w:color w:val="auto"/>
              </w:rPr>
            </w:pPr>
          </w:p>
        </w:tc>
      </w:tr>
      <w:tr>
        <w:trPr>
          <w:trHeight w:val="256"/>
        </w:trPr>
        <w:tc>
          <w:tcPr>
            <w:tcW w:w="9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24,619</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10"/>
        </w:trPr>
        <w:tc>
          <w:tcPr>
            <w:tcW w:w="9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at balance sheet date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Basis spread on interest rates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reset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Periodic payment amount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Varies as Lease mature</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Periodic payment frequency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Monthly</w:t>
            </w: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collateral (carrying amount)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0"/>
              <w:spacing w:after="0" w:line="216" w:lineRule="exact"/>
              <w:rPr>
                <w:sz w:val="20"/>
                <w:szCs w:val="20"/>
                <w:color w:val="auto"/>
              </w:rPr>
            </w:pPr>
            <w:r>
              <w:rPr>
                <w:rFonts w:ascii="Times New Roman" w:cs="Times New Roman" w:eastAsia="Times New Roman" w:hAnsi="Times New Roman"/>
                <w:sz w:val="16"/>
                <w:szCs w:val="16"/>
                <w:color w:val="auto"/>
              </w:rPr>
              <w:t>35,165</w:t>
            </w:r>
            <w:r>
              <w:rPr>
                <w:rFonts w:ascii="Times New Roman" w:cs="Times New Roman" w:eastAsia="Times New Roman" w:hAnsi="Times New Roman"/>
                <w:sz w:val="25"/>
                <w:szCs w:val="25"/>
                <w:color w:val="auto"/>
                <w:vertAlign w:val="superscript"/>
              </w:rPr>
              <w:t>(1)</w:t>
            </w:r>
          </w:p>
        </w:tc>
      </w:tr>
    </w:tbl>
    <w:p>
      <w:pPr>
        <w:spacing w:after="0" w:line="8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carrying amount at the balance sheet date of the related ROU assets, in which the lessors have secured interests.</w:t>
      </w:r>
    </w:p>
    <w:p>
      <w:pPr>
        <w:sectPr>
          <w:pgSz w:w="11900" w:h="16838" w:orient="portrait"/>
          <w:cols w:equalWidth="0" w:num="1">
            <w:col w:w="11240"/>
          </w:cols>
          <w:pgMar w:left="320" w:top="116" w:right="339" w:bottom="646" w:gutter="0" w:footer="0" w:header="0"/>
        </w:sect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646"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February 2021, we entered into a five-year $7.2 million finance lease for a high-end inspection tool. Monthly payments on the lease, which commenced in February 2021, are $0.1 million per month. Upon the payment of the fiftieth monthly payment and prior to payment of the fifty-first monthly payment, we may exercise an early buyout option to purchase the tool for $2.4 million. If we do not exercise the early buyout option, then at the end of the five-year lease term, the lease shall continue to renew on a month-to-month basis at the same rental terms; at our option, after the original term or any renewal periods, we may return the tool, elect to extend the lease, or purchase the tool at its fair market value. Since we are reasonably certain that we will exercise the early buyout option, our lease liability reflects such exercise and we have classified the lease as a finance lease. The interest rate implicit in the lease is 1.08%.</w:t>
      </w:r>
    </w:p>
    <w:p>
      <w:pPr>
        <w:spacing w:after="0" w:line="18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December 2020, we entered into a five-year $35.5 million finance lease for a high-end lithography tool. Monthly payments on the lease, which commenced in January 2021, increased from $0.04 million during the first three months to $0.6 million for the following nine months, followed by forty-eight monthly payments of $0.5 million. As of the due date of the forty-eighth monthly payment, we may exercise an early buyout option to purchase the tool for $14.1 million. If we do not exercise the early buyout option, then at the end of the five-year lease term, at our option, we may return the tool, elect to extend the lease term for a period and a lease payment to be agreed with lessor at the time, or purchase the tool for its then-fair market value, as determined by the lessor. Since we are reasonably certain that we will exercise the early buyout option, our lease liability reflects such exercise and we have classified the lease as a finance lease. The interest rate implicit in the lease is 1.58%. The lease agreement incorporates the covenants included in our Credit Agreement, as defined below (expired in September 2023), which are detailed below, and includes a cross-default provision for any agreement or instrument with an outstanding, committed balance greater than $5.0 million in which we are the indebted party.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Credit Agreement</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September 2018, we entered into a five-year amended and restated credit agreement (the “Credit Agreement”), which had a $50 million borrowing limit, with an expansion capacity to $100 million. The Credit Agreement was secured by substantially all of our assets located in the United States and common stock we own in certain subsidiaries. The Credit Agreement was subject to covenants around minimum interest coverage ratio, total leverage ratio, and minimum unrestricted cash balance (all of which we were in compliance with at the termination of the agreement in September 2023), and limited the amount of cash dividends, distributions, and redemptions we could pay on our common stock to an aggregate annual amount of $50 million. The Credit Agreement expired, and was not renewed as of October 31, 2023. There were no outstanding borrowings against the Credit Agreement at its expiration.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Xiamen Working Capital Loans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November 2018, PDMCX obtained approval for revolving, unsecured credit of the equivalent of $25.0 million, pursuant to which PDMCX may enter into separate loan agreements with varying terms to maturity. This facility is subject to annual reviews and extensions, with the most recent extension set to expire in July 2024. In December 2022, we repaid our entire outstanding balance of RMB 25.6 million ($3.6 million). As of April 28, 2024, PDMCX had no amount outstanding against the approval. The interest rates are variable, based on the RMB Loan Prime Rate of the National Interbank Funding Center. Interest incurred on the loans related to the amount borrowed was eligible for reimbursement through incentives provided by the Xiamen Torch Hi-Tech Industrial Development Zone, which provided for such reimbursements up to a prescribed limit and duration.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REVENUE</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recognize revenue when, or as, control of a good or service transfers to a customer, in an amount that reflects the consideration to which we expect to be entitled in exchange for transferring those goods or services. We account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our revenue comes from the sales of photomasks. We typically contract with our customers to sell sets of photomasks, which are comprised of multiple layers, the predominance of which we invoice as they ship to customers. As the photomasks are manufactured to customer specifications, they have no alternative use to us and, as our contracts generally provide us with the right to payment for work completed to date, we recognize revenue as we perform, or “over time”, on most of our contracts. We measure our performance to date using an input method, which is based on our estimated costs to complete the various manufacturing phases of a photomask. At the end of a reporting period, there are a number of uncompleted revenue contracts on which we have performed; for any such contracts under which we are entitled to be compensated for our costs incurred plus a reasonable profit, we recognize revenue and a corresponding contract asset for such performance. We account for shipping and handling activities that we perform after a customer obtains control of a good as being activities to fulfill our promise to transfer the good to the customer, rather than as promised services, or performance obligations, under the contract. We report our revenue net of any sales or similar taxes we collect on behalf of government entities.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our photomasks do not have standard or “list” prices. The transaction prices of the vast majority of our revenue contracts include only fixed amounts of consideration. In certain instances, such as when we offer a customer an early payment discount, an estimate of variable consideration would be included in the transaction price, but only to the extent that a significant reversal of revenue would not occur when the uncertainty related to the variability was resolved.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Contract Liabilities, and Accounts Receivable</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recognize a contract asset when our performance under a contract precedes our receipt of consideration from a customer, or before payment is due, and our receipt of consideration is conditional upon factors other than the passage of time. Contract assets reflect our transfer of control of photomasks that are in process or completed but not yet shipped to customers. A receivable is recognized when we have an unconditional right to payment for our performance, which generally occurs when we ship the photomasks. Our contract assets primarily consist of a significant amount of our in-process production orders and fully manufactured photomasks which have not yet shipped, for which we have an enforceable right to collect consideration (including a reasonable profit) in the event the in-process orders are cancelled by customers. On an individual contract basis, we net contract assets with contract liabilities (deferred revenue) for financial reporting purposes. We did not identify impairment indicators for any outstanding contract assets during the three or six-month periods ended April 28, 2024 or April 30, 2023.</w:t>
      </w:r>
    </w:p>
    <w:p>
      <w:pPr>
        <w:sectPr>
          <w:pgSz w:w="11900" w:h="16838" w:orient="portrait"/>
          <w:cols w:equalWidth="0" w:num="1">
            <w:col w:w="11240"/>
          </w:cols>
          <w:pgMar w:left="320" w:top="116" w:right="339" w:bottom="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10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20" w:type="dxa"/>
            <w:vAlign w:val="bottom"/>
            <w:gridSpan w:val="3"/>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our contract balances at the balance sheet dates.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April 28,</w:t>
            </w:r>
          </w:p>
        </w:tc>
        <w:tc>
          <w:tcPr>
            <w:tcW w:w="100" w:type="dxa"/>
            <w:vAlign w:val="bottom"/>
          </w:tcPr>
          <w:p>
            <w:pPr>
              <w:spacing w:after="0"/>
              <w:rPr>
                <w:sz w:val="24"/>
                <w:szCs w:val="24"/>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176"/>
        </w:trPr>
        <w:tc>
          <w:tcPr>
            <w:tcW w:w="8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Contract Assets</w:t>
            </w: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0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10,984</w:t>
            </w:r>
          </w:p>
        </w:tc>
      </w:tr>
      <w:tr>
        <w:trPr>
          <w:trHeight w:val="216"/>
        </w:trPr>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68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7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14,558</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9,965</w:t>
            </w:r>
          </w:p>
        </w:tc>
      </w:tr>
      <w:tr>
        <w:trPr>
          <w:trHeight w:val="223"/>
        </w:trPr>
        <w:tc>
          <w:tcPr>
            <w:tcW w:w="86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22,419</w:t>
            </w:r>
          </w:p>
        </w:tc>
      </w:tr>
      <w:tr>
        <w:trPr>
          <w:trHeight w:val="21"/>
        </w:trPr>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The Company did not recognize any revenue from performance obligations satisfied in the previous periods. The following table presents revenue recognized from contract liabilities that existed at the beginning of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30,</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from beginning liability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generally record our accounts receivable at their billed amounts. All outstanding past due customer invoices are reviewed for collectability during, and at the end of, every reporting period. To the extent we believe a loss on the collection of a customer invoice is probable, we record the loss and credit an allowance for credit losses. In the event that an amount is determined to be uncollectible, we charge the allowance for credit losses and derecognize the related receivable. We did not incur any credit losses on our accounts receivable during the three or six-month periods ended April 28, 2024 or April 30, 2023.</w:t>
      </w:r>
    </w:p>
    <w:p>
      <w:pPr>
        <w:spacing w:after="0" w:line="183"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Our invoice terms generally range from net-thirty to ninety days, depending on both the geographic market in which the transaction occurs and our payment agreements with specific customers. In the event that our evaluation of a customer’s business prospects, and financial condition indicate that the customer presents a collectability risk, we modify terms of sale, which may require payment in advance of performance. At the time of adoption, we elected the practical expedient allowed under ASC Topic 606 “Revenue from Contracts with Customers” (“Topic 606”) that permits us not to adjust a contract’s promised amount of consideration to reflect a financing component when the period between when we transfer control of goods or services to customers and when we are paid is one year or less.</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instances when we are paid in advance of our performance, we record a contract liability and, as allowed under the practical expedient in Topic 606, recognize interest expense only if the period between when we receive payment from the customer and the date when we expect to be entitled to the payment is greater than one year. Historically, advance payments we have received from customers have generally not preceded the completion of our performance obligations by more than one year.</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revenue for the three and six-month periods ended April 28, 2024, and April 30, 2023, disaggregated by product type, geographic origin, and timing of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44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Revenue by Product Type</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60" w:type="dxa"/>
            <w:vAlign w:val="bottom"/>
            <w:tcBorders>
              <w:top w:val="single" w:sz="8" w:color="auto"/>
            </w:tcBorders>
          </w:tcPr>
          <w:p>
            <w:pPr>
              <w:spacing w:after="0"/>
              <w:rPr>
                <w:sz w:val="2"/>
                <w:szCs w:val="2"/>
                <w:color w:val="auto"/>
              </w:rPr>
            </w:pPr>
          </w:p>
        </w:tc>
        <w:tc>
          <w:tcPr>
            <w:tcW w:w="1820" w:type="dxa"/>
            <w:vAlign w:val="bottom"/>
            <w:tcBorders>
              <w:top w:val="single" w:sz="8" w:color="auto"/>
              <w:bottom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IC</w:t>
            </w:r>
          </w:p>
        </w:tc>
        <w:tc>
          <w:tcPr>
            <w:tcW w:w="3460" w:type="dxa"/>
            <w:vAlign w:val="bottom"/>
            <w:gridSpan w:val="3"/>
            <w:vMerge w:val="restart"/>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346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52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58,042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43,920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118,918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91,923</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2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102,886</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123,134</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199,599</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231,720</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1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160,928</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167,054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5"/>
              </w:rPr>
              <w:t>318,517</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5280" w:type="dxa"/>
            <w:vAlign w:val="bottom"/>
            <w:gridSpan w:val="6"/>
          </w:tcPr>
          <w:p>
            <w:pPr>
              <w:ind w:left="20"/>
              <w:spacing w:after="0" w:line="176" w:lineRule="exact"/>
              <w:rPr>
                <w:sz w:val="20"/>
                <w:szCs w:val="20"/>
                <w:color w:val="auto"/>
              </w:rPr>
            </w:pPr>
            <w:r>
              <w:rPr>
                <w:rFonts w:ascii="Times New Roman" w:cs="Times New Roman" w:eastAsia="Times New Roman" w:hAnsi="Times New Roman"/>
                <w:sz w:val="18"/>
                <w:szCs w:val="18"/>
                <w:color w:val="auto"/>
              </w:rPr>
              <w:t>FPD</w:t>
            </w: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528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47,977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98,593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97,579</w:t>
            </w:r>
          </w:p>
        </w:tc>
        <w:tc>
          <w:tcPr>
            <w:tcW w:w="0" w:type="dxa"/>
            <w:vAlign w:val="bottom"/>
          </w:tcPr>
          <w:p>
            <w:pPr>
              <w:spacing w:after="0"/>
              <w:rPr>
                <w:sz w:val="1"/>
                <w:szCs w:val="1"/>
                <w:color w:val="auto"/>
              </w:rPr>
            </w:pPr>
          </w:p>
        </w:tc>
      </w:tr>
      <w:tr>
        <w:trPr>
          <w:trHeight w:val="223"/>
        </w:trPr>
        <w:tc>
          <w:tcPr>
            <w:tcW w:w="160" w:type="dxa"/>
            <w:vAlign w:val="bottom"/>
          </w:tcPr>
          <w:p>
            <w:pPr>
              <w:spacing w:after="0"/>
              <w:rPr>
                <w:sz w:val="19"/>
                <w:szCs w:val="19"/>
                <w:color w:val="auto"/>
              </w:rPr>
            </w:pPr>
          </w:p>
        </w:tc>
        <w:tc>
          <w:tcPr>
            <w:tcW w:w="528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10,364</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16,224</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19,175</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100" w:type="dxa"/>
            <w:vAlign w:val="bottom"/>
            <w:gridSpan w:val="5"/>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5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56,072</w:t>
            </w:r>
          </w:p>
        </w:tc>
        <w:tc>
          <w:tcPr>
            <w:tcW w:w="2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62,252</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w w:val="92"/>
              </w:rPr>
              <w:t>114,817</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700" w:type="dxa"/>
            <w:vAlign w:val="bottom"/>
            <w:gridSpan w:val="2"/>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7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229,306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433,334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440,397</w:t>
            </w: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7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5440" w:type="dxa"/>
            <w:vAlign w:val="bottom"/>
            <w:gridSpan w:val="7"/>
          </w:tcPr>
          <w:p>
            <w:pPr>
              <w:spacing w:after="0" w:line="265" w:lineRule="exact"/>
              <w:rPr>
                <w:sz w:val="20"/>
                <w:szCs w:val="20"/>
                <w:color w:val="auto"/>
              </w:rPr>
            </w:pPr>
            <w:r>
              <w:rPr>
                <w:rFonts w:ascii="Times New Roman" w:cs="Times New Roman" w:eastAsia="Times New Roman" w:hAnsi="Times New Roman"/>
                <w:sz w:val="16"/>
                <w:szCs w:val="16"/>
                <w:b w:val="1"/>
                <w:bCs w:val="1"/>
                <w:color w:val="auto"/>
              </w:rPr>
              <w:t>Revenue by Geographic Origin</w:t>
            </w:r>
            <w:r>
              <w:rPr>
                <w:rFonts w:ascii="Times New Roman" w:cs="Times New Roman" w:eastAsia="Times New Roman" w:hAnsi="Times New Roman"/>
                <w:sz w:val="30"/>
                <w:szCs w:val="30"/>
                <w:color w:val="auto"/>
                <w:vertAlign w:val="superscript"/>
              </w:rPr>
              <w:t>*</w:t>
            </w: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
        </w:trPr>
        <w:tc>
          <w:tcPr>
            <w:tcW w:w="1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4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5"/>
              </w:rPr>
              <w:t>150,376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China</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58,693</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65,215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116,829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124,148</w:t>
            </w:r>
          </w:p>
        </w:tc>
        <w:tc>
          <w:tcPr>
            <w:tcW w:w="0" w:type="dxa"/>
            <w:vAlign w:val="bottom"/>
          </w:tcPr>
          <w:p>
            <w:pPr>
              <w:spacing w:after="0"/>
              <w:rPr>
                <w:sz w:val="1"/>
                <w:szCs w:val="1"/>
                <w:color w:val="auto"/>
              </w:rPr>
            </w:pPr>
          </w:p>
        </w:tc>
      </w:tr>
      <w:tr>
        <w:trPr>
          <w:trHeight w:val="216"/>
        </w:trPr>
        <w:tc>
          <w:tcPr>
            <w:tcW w:w="54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39,286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41,372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79,621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79,204</w:t>
            </w:r>
          </w:p>
        </w:tc>
        <w:tc>
          <w:tcPr>
            <w:tcW w:w="0" w:type="dxa"/>
            <w:vAlign w:val="bottom"/>
          </w:tcPr>
          <w:p>
            <w:pPr>
              <w:spacing w:after="0"/>
              <w:rPr>
                <w:sz w:val="1"/>
                <w:szCs w:val="1"/>
                <w:color w:val="auto"/>
              </w:rPr>
            </w:pPr>
          </w:p>
        </w:tc>
      </w:tr>
      <w:tr>
        <w:trPr>
          <w:trHeight w:val="216"/>
        </w:trPr>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33,314</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32,495</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66,047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62,377</w:t>
            </w:r>
          </w:p>
        </w:tc>
        <w:tc>
          <w:tcPr>
            <w:tcW w:w="0" w:type="dxa"/>
            <w:vAlign w:val="bottom"/>
          </w:tcPr>
          <w:p>
            <w:pPr>
              <w:spacing w:after="0"/>
              <w:rPr>
                <w:sz w:val="1"/>
                <w:szCs w:val="1"/>
                <w:color w:val="auto"/>
              </w:rPr>
            </w:pPr>
          </w:p>
        </w:tc>
      </w:tr>
      <w:tr>
        <w:trPr>
          <w:trHeight w:val="216"/>
        </w:trPr>
        <w:tc>
          <w:tcPr>
            <w:tcW w:w="54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9,276</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19,631</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17,722</w:t>
            </w:r>
          </w:p>
        </w:tc>
        <w:tc>
          <w:tcPr>
            <w:tcW w:w="0" w:type="dxa"/>
            <w:vAlign w:val="bottom"/>
          </w:tcPr>
          <w:p>
            <w:pPr>
              <w:spacing w:after="0"/>
              <w:rPr>
                <w:sz w:val="1"/>
                <w:szCs w:val="1"/>
                <w:color w:val="auto"/>
              </w:rPr>
            </w:pPr>
          </w:p>
        </w:tc>
      </w:tr>
      <w:tr>
        <w:trPr>
          <w:trHeight w:val="223"/>
        </w:trPr>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371</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830</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929</w:t>
            </w:r>
          </w:p>
        </w:tc>
        <w:tc>
          <w:tcPr>
            <w:tcW w:w="0" w:type="dxa"/>
            <w:vAlign w:val="bottom"/>
          </w:tcPr>
          <w:p>
            <w:pPr>
              <w:spacing w:after="0"/>
              <w:rPr>
                <w:sz w:val="1"/>
                <w:szCs w:val="1"/>
                <w:color w:val="auto"/>
              </w:rPr>
            </w:pPr>
          </w:p>
        </w:tc>
      </w:tr>
      <w:tr>
        <w:trPr>
          <w:trHeight w:val="256"/>
        </w:trPr>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7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24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229,306</w:t>
            </w:r>
          </w:p>
        </w:tc>
        <w:tc>
          <w:tcPr>
            <w:tcW w:w="22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5"/>
              </w:rPr>
              <w:t>433,334</w:t>
            </w:r>
          </w:p>
        </w:tc>
        <w:tc>
          <w:tcPr>
            <w:tcW w:w="22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440,397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26"/>
        </w:trPr>
        <w:tc>
          <w:tcPr>
            <w:tcW w:w="5440" w:type="dxa"/>
            <w:vAlign w:val="bottom"/>
            <w:tcBorders>
              <w:top w:val="single" w:sz="8" w:color="CCEEFF"/>
            </w:tcBorders>
            <w:gridSpan w:val="7"/>
          </w:tcPr>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tc>
        <w:tc>
          <w:tcPr>
            <w:tcW w:w="5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44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Revenue by Timing of Recognition</w:t>
            </w: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9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5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0"/>
              <w:spacing w:after="0" w:line="198" w:lineRule="exact"/>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16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27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54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211,189</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215,376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5"/>
              </w:rPr>
              <w:t>414,716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5,811</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13,930</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18,618</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27,856</w:t>
            </w:r>
          </w:p>
        </w:tc>
        <w:tc>
          <w:tcPr>
            <w:tcW w:w="0" w:type="dxa"/>
            <w:vAlign w:val="bottom"/>
          </w:tcPr>
          <w:p>
            <w:pPr>
              <w:spacing w:after="0"/>
              <w:rPr>
                <w:sz w:val="1"/>
                <w:szCs w:val="1"/>
                <w:color w:val="auto"/>
              </w:rPr>
            </w:pPr>
          </w:p>
        </w:tc>
      </w:tr>
      <w:tr>
        <w:trPr>
          <w:trHeight w:val="256"/>
        </w:trPr>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78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24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229,306</w:t>
            </w:r>
          </w:p>
        </w:tc>
        <w:tc>
          <w:tcPr>
            <w:tcW w:w="22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5"/>
              </w:rPr>
              <w:t>433,334</w:t>
            </w:r>
          </w:p>
        </w:tc>
        <w:tc>
          <w:tcPr>
            <w:tcW w:w="220" w:type="dxa"/>
            <w:vAlign w:val="bottom"/>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440,397</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64"/>
        </w:trPr>
        <w:tc>
          <w:tcPr>
            <w:tcW w:w="16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80" w:type="dxa"/>
            <w:vAlign w:val="bottom"/>
            <w:tcBorders>
              <w:top w:val="single" w:sz="8" w:color="CCEEFF"/>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780" w:type="dxa"/>
            <w:vAlign w:val="bottom"/>
            <w:tcBorders>
              <w:top w:val="single" w:sz="8" w:color="CCEEFF"/>
            </w:tcBorders>
          </w:tcPr>
          <w:p>
            <w:pPr>
              <w:spacing w:after="0"/>
              <w:rPr>
                <w:sz w:val="24"/>
                <w:szCs w:val="24"/>
                <w:color w:val="auto"/>
              </w:rPr>
            </w:pPr>
          </w:p>
        </w:tc>
        <w:tc>
          <w:tcPr>
            <w:tcW w:w="540" w:type="dxa"/>
            <w:vAlign w:val="bottom"/>
            <w:tcBorders>
              <w:top w:val="single" w:sz="8" w:color="CCEEFF"/>
            </w:tcBorders>
          </w:tcPr>
          <w:p>
            <w:pPr>
              <w:jc w:val="right"/>
              <w:ind w:right="195"/>
              <w:spacing w:after="0"/>
              <w:rPr>
                <w:sz w:val="20"/>
                <w:szCs w:val="20"/>
                <w:color w:val="auto"/>
              </w:rPr>
            </w:pPr>
            <w:r>
              <w:rPr>
                <w:rFonts w:ascii="Times New Roman" w:cs="Times New Roman" w:eastAsia="Times New Roman" w:hAnsi="Times New Roman"/>
                <w:sz w:val="14"/>
                <w:szCs w:val="14"/>
                <w:color w:val="auto"/>
              </w:rPr>
              <w:t>18</w:t>
            </w: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7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pay commissions to third-party sales agents for certain sales they procure on our behalf. However, the bases of the commissions are the transaction prices of the sales, which are completed in less than one year; thus, no relationship is established with a customer that will result in future business. Therefore, we do not recognize any portion of these sales commissions as costs of obtaining a contract, nor do we currently foresee other circumstances under which we would recognize contract obtainment costs as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we are typically required to fulfill customer orders within a short period of time, our backlog of orders has historically been two to three weeks for FPD photomasks and one to two weeks for IC photomasks. However, the demand for some IC photomasks has expanded beyond the industry’s capacity to supply them within the traditional time period; thus, the backlog, in some cases, can expand to as long as two to three months. As allowed under Topic 606, we have elected not to disclose our remaining performance obligations, which represent the costs associated with the completion of the manufacturing process of in-process photomasks related to contracts that have an original duration of one year or less.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photomasks are sold under warranties that generally range from one to twenty-four months. We warrant that our photomasks conform to customer specifications and will typically repair, replace, or issue a refund for any photomasks that fail to do so. The warranties do not represent separate performance obligations in our revenue contracts. Historically, customer claims under warranties have been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SHARE-BASED COMPENSATION</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March 2016, shareholders approved our current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 market or in private transactions), or a combination thereof. The maximum number of shares of common stock approved that may be issued under the Plan was four million shares. On March 16, 2023, at its annual meeting of shareholders, the shareholders of Photronics, Inc., approved amendments to the Plan to increase the number of shares available for issuance by an additional one million shares, thereby increasing the shares available for issuance under the Plan from four million to five million. Awards may be granted to officers, employees, directors, consultants, advisors, and independent contractors of Photronics or its subsidiaries. In the event of a change in control (as defined in the Plan), the vesting of awards may be accelerated. The Plan prohibits further awards from being issued under prior plans. The table below presents information on our share-based compensation expenses for the three and six-month periods ended April 28, 2024 and April 30, 2023.</w:t>
      </w:r>
    </w:p>
    <w:p>
      <w:pPr>
        <w:spacing w:after="0" w:line="37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6" w:right="37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60" w:type="dxa"/>
            <w:vAlign w:val="bottom"/>
            <w:tcBorders>
              <w:top w:val="single" w:sz="8" w:color="0000EE"/>
            </w:tcBorders>
          </w:tcPr>
          <w:p>
            <w:pPr>
              <w:spacing w:after="0"/>
              <w:rPr>
                <w:sz w:val="24"/>
                <w:szCs w:val="24"/>
                <w:color w:val="auto"/>
              </w:rPr>
            </w:pPr>
          </w:p>
        </w:tc>
        <w:tc>
          <w:tcPr>
            <w:tcW w:w="4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6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4"/>
                <w:szCs w:val="24"/>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106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100" w:type="dxa"/>
            <w:vAlign w:val="bottom"/>
          </w:tcPr>
          <w:p>
            <w:pPr>
              <w:spacing w:after="0"/>
              <w:rPr>
                <w:sz w:val="16"/>
                <w:szCs w:val="16"/>
                <w:color w:val="auto"/>
              </w:rPr>
            </w:pPr>
          </w:p>
        </w:tc>
      </w:tr>
      <w:tr>
        <w:trPr>
          <w:trHeight w:val="245"/>
        </w:trPr>
        <w:tc>
          <w:tcPr>
            <w:tcW w:w="106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reported in:</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Cost of goods sold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w:t>
            </w:r>
          </w:p>
        </w:tc>
      </w:tr>
      <w:tr>
        <w:trPr>
          <w:trHeight w:val="216"/>
        </w:trPr>
        <w:tc>
          <w:tcPr>
            <w:tcW w:w="5980" w:type="dxa"/>
            <w:vAlign w:val="bottom"/>
            <w:gridSpan w:val="2"/>
          </w:tcPr>
          <w:p>
            <w:pPr>
              <w:ind w:left="24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1,531</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4,737</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2,908</w:t>
            </w:r>
          </w:p>
        </w:tc>
      </w:tr>
      <w:tr>
        <w:trPr>
          <w:trHeight w:val="216"/>
        </w:trPr>
        <w:tc>
          <w:tcPr>
            <w:tcW w:w="5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r>
      <w:tr>
        <w:trPr>
          <w:trHeight w:val="27"/>
        </w:trPr>
        <w:tc>
          <w:tcPr>
            <w:tcW w:w="106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3,830</w:t>
            </w:r>
          </w:p>
        </w:tc>
      </w:tr>
      <w:tr>
        <w:trPr>
          <w:trHeight w:val="21"/>
        </w:trPr>
        <w:tc>
          <w:tcPr>
            <w:tcW w:w="10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6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by award type:</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stock awards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3,738</w:t>
            </w:r>
          </w:p>
        </w:tc>
      </w:tr>
      <w:tr>
        <w:trPr>
          <w:trHeight w:val="216"/>
        </w:trPr>
        <w:tc>
          <w:tcPr>
            <w:tcW w:w="5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 options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0" w:type="dxa"/>
            <w:vAlign w:val="bottom"/>
            <w:shd w:val="clear" w:color="auto" w:fill="CCEEFF"/>
          </w:tcPr>
          <w:p>
            <w:pPr>
              <w:spacing w:after="0"/>
              <w:rPr>
                <w:sz w:val="18"/>
                <w:szCs w:val="18"/>
                <w:color w:val="auto"/>
              </w:rPr>
            </w:pP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r>
      <w:tr>
        <w:trPr>
          <w:trHeight w:val="27"/>
        </w:trPr>
        <w:tc>
          <w:tcPr>
            <w:tcW w:w="1060" w:type="dxa"/>
            <w:vAlign w:val="bottom"/>
            <w:shd w:val="clear" w:color="auto" w:fill="CCEEFF"/>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6,499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3,830</w:t>
            </w:r>
          </w:p>
        </w:tc>
      </w:tr>
      <w:tr>
        <w:trPr>
          <w:trHeight w:val="21"/>
        </w:trPr>
        <w:tc>
          <w:tcPr>
            <w:tcW w:w="10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6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benefits of share-based compensation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cost capitalized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periodically grant restricted stock awards, the restrictions on which typically lapse over a service period of one to four years. The fair value of the awards is determined on the date of grant, based on the closing price of our common stock. The table below presents information on our restricted stock awards for the three and six-month periods ended April 28, 2024 and April 30,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4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granted in period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5"/>
              </w:rPr>
              <w:t>825,050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786,500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grant-date fair value of awards (in dollars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29.77</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16.77</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28,695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28,695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16,419</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16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balance sheet date</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1,560,540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1,328,572</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1,560,540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1,328,572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our common stock on the dates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options are expected to remain outstanding. The risk-free rate of return for the estimated term of an option is based on the U.S. Treasury yield curve in effect at the date of grant. The table below presents information on our stock options for three and six-month periods ended April 28, 2024 and April 30, 2023.</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60" w:type="dxa"/>
            <w:vAlign w:val="bottom"/>
            <w:tcBorders>
              <w:top w:val="single" w:sz="8" w:color="0000EE"/>
            </w:tcBorders>
          </w:tcPr>
          <w:p>
            <w:pPr>
              <w:spacing w:after="0"/>
              <w:rPr>
                <w:sz w:val="24"/>
                <w:szCs w:val="24"/>
                <w:color w:val="auto"/>
              </w:rPr>
            </w:pPr>
          </w:p>
        </w:tc>
        <w:tc>
          <w:tcPr>
            <w:tcW w:w="4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4"/>
          </w:tcPr>
          <w:p>
            <w:pPr>
              <w:jc w:val="right"/>
              <w:ind w:right="153"/>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106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2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100" w:type="dxa"/>
            <w:vAlign w:val="bottom"/>
          </w:tcPr>
          <w:p>
            <w:pPr>
              <w:spacing w:after="0"/>
              <w:rPr>
                <w:sz w:val="16"/>
                <w:szCs w:val="16"/>
                <w:color w:val="auto"/>
              </w:rPr>
            </w:pPr>
          </w:p>
        </w:tc>
      </w:tr>
      <w:tr>
        <w:trPr>
          <w:trHeight w:val="245"/>
        </w:trPr>
        <w:tc>
          <w:tcPr>
            <w:tcW w:w="106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 in period</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received from option exercised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119</w:t>
            </w:r>
          </w:p>
        </w:tc>
        <w:tc>
          <w:tcPr>
            <w:tcW w:w="920" w:type="dxa"/>
            <w:vAlign w:val="bottom"/>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9"/>
              </w:rPr>
              <w:t>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583</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Information on outstanding and exercisable option awards as of April 28, 2024, is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4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240" w:type="dxa"/>
            <w:vAlign w:val="bottom"/>
          </w:tcPr>
          <w:p>
            <w:pPr>
              <w:spacing w:after="0"/>
              <w:rPr>
                <w:sz w:val="18"/>
                <w:szCs w:val="18"/>
                <w:color w:val="auto"/>
              </w:rPr>
            </w:pPr>
          </w:p>
        </w:tc>
        <w:tc>
          <w:tcPr>
            <w:tcW w:w="10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48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240" w:type="dxa"/>
            <w:vAlign w:val="bottom"/>
          </w:tcPr>
          <w:p>
            <w:pPr>
              <w:spacing w:after="0"/>
              <w:rPr>
                <w:sz w:val="18"/>
                <w:szCs w:val="18"/>
                <w:color w:val="auto"/>
              </w:rPr>
            </w:pPr>
          </w:p>
        </w:tc>
        <w:tc>
          <w:tcPr>
            <w:tcW w:w="10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4800" w:type="dxa"/>
            <w:vAlign w:val="bottom"/>
            <w:tcBorders>
              <w:bottom w:val="single" w:sz="8" w:color="auto"/>
            </w:tcBorders>
          </w:tcPr>
          <w:p>
            <w:pPr>
              <w:ind w:left="262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4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at April 28, 2024</w:t>
            </w:r>
          </w:p>
        </w:tc>
        <w:tc>
          <w:tcPr>
            <w:tcW w:w="24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360,125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10.33</w:t>
            </w:r>
          </w:p>
        </w:tc>
        <w:tc>
          <w:tcPr>
            <w:tcW w:w="1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6,466</w:t>
            </w:r>
          </w:p>
        </w:tc>
      </w:tr>
      <w:tr>
        <w:trPr>
          <w:trHeight w:val="432"/>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tc>
        <w:tc>
          <w:tcPr>
            <w:tcW w:w="2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98"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calculate our provision for income taxes at the end of each interim reporting period on the basis of an estimated annual effective tax rate adjusted for tax items that are discrete to each period. The table below sets forth the primary reasons that our effective income tax rates differed from the U.S. statutory tax rates in effect during the three and six-month periods ended April 28, 2024 and April 30,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Photronics</w:t>
            </w: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U.S. Statutory</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 Tax</w:t>
            </w: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Reporting Period</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Tax Rates</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Rates</w:t>
            </w:r>
          </w:p>
        </w:tc>
        <w:tc>
          <w:tcPr>
            <w:tcW w:w="120" w:type="dxa"/>
            <w:vAlign w:val="bottom"/>
          </w:tcPr>
          <w:p>
            <w:pPr>
              <w:spacing w:after="0"/>
              <w:rPr>
                <w:sz w:val="21"/>
                <w:szCs w:val="21"/>
                <w:color w:val="auto"/>
              </w:rPr>
            </w:pPr>
          </w:p>
        </w:tc>
        <w:tc>
          <w:tcPr>
            <w:tcW w:w="42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Primary Reasons for Differences</w:t>
            </w:r>
          </w:p>
        </w:tc>
      </w:tr>
      <w:tr>
        <w:trPr>
          <w:trHeight w:val="216"/>
        </w:trPr>
        <w:tc>
          <w:tcPr>
            <w:tcW w:w="42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 April 28, 2024</w:t>
            </w:r>
          </w:p>
        </w:tc>
        <w:tc>
          <w:tcPr>
            <w:tcW w:w="1260" w:type="dxa"/>
            <w:vAlign w:val="bottom"/>
            <w:gridSpan w:val="2"/>
            <w:shd w:val="clear" w:color="auto" w:fill="CCEEFF"/>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1320" w:type="dxa"/>
            <w:vAlign w:val="bottom"/>
            <w:gridSpan w:val="2"/>
            <w:shd w:val="clear" w:color="auto" w:fill="CCEEFF"/>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26.4%</w:t>
            </w:r>
          </w:p>
        </w:tc>
        <w:tc>
          <w:tcPr>
            <w:tcW w:w="12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jurisdictions, have been offset by valuation allowances,</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 pre-tax income being taxed at higher statutory</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rates in the non-U.S. jurisdictions, and the establishment of</w:t>
            </w:r>
          </w:p>
        </w:tc>
      </w:tr>
      <w:tr>
        <w:trPr>
          <w:trHeight w:val="234"/>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 in non-U.S. jurisdictions.</w:t>
            </w:r>
          </w:p>
        </w:tc>
      </w:tr>
      <w:tr>
        <w:trPr>
          <w:trHeight w:val="216"/>
        </w:trPr>
        <w:tc>
          <w:tcPr>
            <w:tcW w:w="42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 April 30, 2023</w:t>
            </w:r>
          </w:p>
        </w:tc>
        <w:tc>
          <w:tcPr>
            <w:tcW w:w="1260" w:type="dxa"/>
            <w:vAlign w:val="bottom"/>
            <w:gridSpan w:val="2"/>
            <w:shd w:val="clear" w:color="auto" w:fill="CCEEFF"/>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1320" w:type="dxa"/>
            <w:vAlign w:val="bottom"/>
            <w:gridSpan w:val="2"/>
            <w:shd w:val="clear" w:color="auto" w:fill="CCEEFF"/>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jurisdictions, have been offset by valuation allowances,</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 pre-tax income being taxed at higher statutory</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rates in the non-U.S. jurisdictions, and the establishment of</w:t>
            </w:r>
          </w:p>
        </w:tc>
      </w:tr>
      <w:tr>
        <w:trPr>
          <w:trHeight w:val="234"/>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 in non-U.S. jurisdictions.</w:t>
            </w:r>
          </w:p>
        </w:tc>
      </w:tr>
      <w:tr>
        <w:trPr>
          <w:trHeight w:val="216"/>
        </w:trPr>
        <w:tc>
          <w:tcPr>
            <w:tcW w:w="42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Six months ended April 28, 2024</w:t>
            </w:r>
          </w:p>
        </w:tc>
        <w:tc>
          <w:tcPr>
            <w:tcW w:w="1260" w:type="dxa"/>
            <w:vAlign w:val="bottom"/>
            <w:gridSpan w:val="2"/>
            <w:shd w:val="clear" w:color="auto" w:fill="CCEEFF"/>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1320" w:type="dxa"/>
            <w:vAlign w:val="bottom"/>
            <w:gridSpan w:val="2"/>
            <w:shd w:val="clear" w:color="auto" w:fill="CCEEFF"/>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26.8%</w:t>
            </w:r>
          </w:p>
        </w:tc>
        <w:tc>
          <w:tcPr>
            <w:tcW w:w="12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jurisdictions, have been offset by valuation allowances,</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 pre-tax income being taxed at higher statutory</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rates in the non-U.S. jurisdictions, and the establishment of</w:t>
            </w:r>
          </w:p>
        </w:tc>
      </w:tr>
      <w:tr>
        <w:trPr>
          <w:trHeight w:val="234"/>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 in non-U.S. jurisdictions.</w:t>
            </w:r>
          </w:p>
        </w:tc>
      </w:tr>
      <w:tr>
        <w:trPr>
          <w:trHeight w:val="41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Six months ended April 30, 2023</w:t>
            </w:r>
          </w:p>
        </w:tc>
        <w:tc>
          <w:tcPr>
            <w:tcW w:w="12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21.0%</w:t>
            </w:r>
          </w:p>
        </w:tc>
        <w:tc>
          <w:tcPr>
            <w:tcW w:w="13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24"/>
                <w:szCs w:val="24"/>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Non-recognition of the tax benefit of losses that, in certain</w:t>
            </w:r>
          </w:p>
        </w:tc>
      </w:tr>
      <w:tr>
        <w:trPr>
          <w:trHeight w:val="234"/>
        </w:trPr>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jurisdictions, have been offset by valuation allowances,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685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685800"/>
                    </a:xfrm>
                    <a:prstGeom prst="rect">
                      <a:avLst/>
                    </a:prstGeom>
                    <a:noFill/>
                  </pic:spPr>
                </pic:pic>
              </a:graphicData>
            </a:graphic>
          </wp:anchor>
        </w:drawing>
      </w:r>
    </w:p>
    <w:p>
      <w:pPr>
        <w:ind w:left="6980"/>
        <w:spacing w:after="0"/>
        <w:rPr>
          <w:sz w:val="20"/>
          <w:szCs w:val="20"/>
          <w:color w:val="auto"/>
        </w:rPr>
      </w:pPr>
      <w:r>
        <w:rPr>
          <w:rFonts w:ascii="Times New Roman" w:cs="Times New Roman" w:eastAsia="Times New Roman" w:hAnsi="Times New Roman"/>
          <w:sz w:val="18"/>
          <w:szCs w:val="18"/>
          <w:color w:val="auto"/>
        </w:rPr>
        <w:t>non-U.S. pre-tax income being taxed at higher statutory</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7"/>
          <w:szCs w:val="17"/>
          <w:color w:val="auto"/>
        </w:rPr>
        <w:t>rates in the non-U.S. jurisdictions, and the establishment of</w:t>
      </w:r>
    </w:p>
    <w:p>
      <w:pPr>
        <w:spacing w:after="0" w:line="2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uncertain tax positions in non-U.S. jurisdictions.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Although the timing of reversal of uncertain tax positions may be uncertain, as they can be dependent upon the settlement of tax audits, we believe that the amount of uncertain tax positions (including interest and penalties, and net of tax benefits) that may be resolved over the next twelve months is immaterial. Resolution of these uncertain tax positions may result from either or both the lapses of statutes of limitations and tax settlements. We are no longer subject to tax authority examinations in the U.S., major foreign, or state tax jurisdictions for years prior to fiscal year 2018. The table below presents information on our unrecognized tax benefits as of the balance sheet dates.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April 28,</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related to uncertain tax positions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that, if recognized, would impact the effective tax rate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10,828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and penalties related to uncertain tax positions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EARNINGS PER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calculations of basic and diluted earnings per share are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56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1"/>
                <w:szCs w:val="21"/>
                <w:color w:val="auto"/>
              </w:rPr>
            </w:pPr>
          </w:p>
        </w:tc>
        <w:tc>
          <w:tcPr>
            <w:tcW w:w="23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59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2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2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100" w:type="dxa"/>
            <w:vAlign w:val="bottom"/>
          </w:tcPr>
          <w:p>
            <w:pPr>
              <w:spacing w:after="0"/>
              <w:rPr>
                <w:sz w:val="16"/>
                <w:szCs w:val="16"/>
                <w:color w:val="auto"/>
              </w:rPr>
            </w:pPr>
          </w:p>
        </w:tc>
      </w:tr>
      <w:tr>
        <w:trPr>
          <w:trHeight w:val="245"/>
        </w:trPr>
        <w:tc>
          <w:tcPr>
            <w:tcW w:w="59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53,915</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used for diluted earnings per share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36,251</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39,929</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62,431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53,915</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computations: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used for basic earnings per share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61,771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61,138</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61,613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61,016</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369</w:t>
            </w:r>
          </w:p>
        </w:tc>
        <w:tc>
          <w:tcPr>
            <w:tcW w:w="16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733</w:t>
            </w: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Potentially dilutive common shares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spacing w:after="0"/>
              <w:rPr>
                <w:sz w:val="19"/>
                <w:szCs w:val="19"/>
                <w:color w:val="auto"/>
              </w:rPr>
            </w:pPr>
          </w:p>
        </w:tc>
      </w:tr>
      <w:tr>
        <w:trPr>
          <w:trHeight w:val="257"/>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used for diluted earnings per share</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62,409</w:t>
            </w:r>
          </w:p>
        </w:tc>
        <w:tc>
          <w:tcPr>
            <w:tcW w:w="2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61,507</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62,346</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0.88</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2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0.65</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0.88</w:t>
            </w: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 below illustrates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27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540" w:type="dxa"/>
            <w:vAlign w:val="bottom"/>
            <w:gridSpan w:val="4"/>
          </w:tcPr>
          <w:p>
            <w:pPr>
              <w:ind w:left="5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5980" w:type="dxa"/>
            <w:vAlign w:val="bottom"/>
          </w:tcPr>
          <w:p>
            <w:pPr>
              <w:spacing w:after="0"/>
              <w:rPr>
                <w:sz w:val="16"/>
                <w:szCs w:val="16"/>
                <w:color w:val="auto"/>
              </w:rPr>
            </w:pPr>
          </w:p>
        </w:tc>
        <w:tc>
          <w:tcPr>
            <w:tcW w:w="980" w:type="dxa"/>
            <w:vAlign w:val="bottom"/>
            <w:tcBorders>
              <w:top w:val="single" w:sz="8" w:color="auto"/>
            </w:tcBorders>
          </w:tcPr>
          <w:p>
            <w:pPr>
              <w:jc w:val="center"/>
              <w:ind w:left="5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220" w:type="dxa"/>
            <w:vAlign w:val="bottom"/>
          </w:tcPr>
          <w:p>
            <w:pPr>
              <w:spacing w:after="0"/>
              <w:rPr>
                <w:sz w:val="16"/>
                <w:szCs w:val="16"/>
                <w:color w:val="auto"/>
              </w:rPr>
            </w:pPr>
          </w:p>
        </w:tc>
        <w:tc>
          <w:tcPr>
            <w:tcW w:w="1320" w:type="dxa"/>
            <w:vAlign w:val="bottom"/>
            <w:tcBorders>
              <w:top w:val="single" w:sz="8" w:color="auto"/>
            </w:tcBorders>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April 28,</w:t>
            </w:r>
          </w:p>
        </w:tc>
        <w:tc>
          <w:tcPr>
            <w:tcW w:w="112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100" w:type="dxa"/>
            <w:vAlign w:val="bottom"/>
          </w:tcPr>
          <w:p>
            <w:pPr>
              <w:spacing w:after="0"/>
              <w:rPr>
                <w:sz w:val="16"/>
                <w:szCs w:val="16"/>
                <w:color w:val="auto"/>
              </w:rPr>
            </w:pPr>
          </w:p>
        </w:tc>
      </w:tr>
      <w:tr>
        <w:trPr>
          <w:trHeight w:val="245"/>
        </w:trPr>
        <w:tc>
          <w:tcPr>
            <w:tcW w:w="6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23"/>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awards</w:t>
            </w: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w w:val="88"/>
              </w:rPr>
              <w:t>121</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potentially dilutive shares excluded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w:t>
            </w:r>
          </w:p>
        </w:tc>
        <w:tc>
          <w:tcPr>
            <w:tcW w:w="132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121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535</w:t>
            </w:r>
          </w:p>
        </w:tc>
      </w:tr>
      <w:tr>
        <w:trPr>
          <w:trHeight w:val="20"/>
        </w:trPr>
        <w:tc>
          <w:tcPr>
            <w:tcW w:w="59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29" w:lineRule="exact"/>
        <w:rPr>
          <w:sz w:val="20"/>
          <w:szCs w:val="20"/>
          <w:color w:val="auto"/>
        </w:rPr>
      </w:pPr>
    </w:p>
    <w:p>
      <w:pPr>
        <w:jc w:val="both"/>
        <w:ind w:right="120" w:firstLine="324"/>
        <w:spacing w:after="0" w:line="282" w:lineRule="auto"/>
        <w:rPr>
          <w:sz w:val="20"/>
          <w:szCs w:val="20"/>
          <w:color w:val="auto"/>
        </w:rPr>
      </w:pPr>
      <w:r>
        <w:rPr>
          <w:rFonts w:ascii="Times New Roman" w:cs="Times New Roman" w:eastAsia="Times New Roman" w:hAnsi="Times New Roman"/>
          <w:sz w:val="18"/>
          <w:szCs w:val="18"/>
          <w:color w:val="auto"/>
        </w:rPr>
        <w:t>As of April 28, 2024, we had commitments outstanding for capital expenditures of approximately $133.3 million, primarily for purchases of high-end equipment.</w:t>
      </w:r>
    </w:p>
    <w:p>
      <w:pPr>
        <w:spacing w:after="0" w:line="162"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In May 2022, we were informed of a customs audit in one of our China operations. We estimated a contingency ranging from $2.2 million to $3.7 million, which included unpaid additional customs duties and related interest and penalties for the previous three years (the period under audit). In the three-month period ended May 1, 2022, we recorded a contingent loss of $2.2 million, as we believed this was the most likely outcome. The $2.2 million amount was recorded with a charge to Cost of goods sold in the condensed consolidated statements of income and Accrued liabilities in the condensed consolidated balance sheets. In November 2022, upon settlement of the audit, we reversed $1.0 million of the accrual.</w:t>
      </w:r>
    </w:p>
    <w:p>
      <w:pPr>
        <w:spacing w:after="0" w:line="183"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We are subject to various other claims that arise in the ordinary course of business. We believe that our potential liability under such claims, individually or in the aggregate, will not have a material effect on our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CHANGES IN ACCUMULATED OTHER COMPREHENSIVE (LOSS) INCOME BY COMPONENT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our accumulated other comprehensive (loss) income by component (net of tax of $0) for the three and six-month periods ended April 28, 2024, and April 30, 2023.</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54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60" w:type="dxa"/>
            <w:vAlign w:val="bottom"/>
            <w:tcBorders>
              <w:top w:val="single" w:sz="8" w:color="0000EE"/>
            </w:tcBorders>
          </w:tcPr>
          <w:p>
            <w:pPr>
              <w:spacing w:after="0"/>
              <w:rPr>
                <w:sz w:val="24"/>
                <w:szCs w:val="24"/>
                <w:color w:val="auto"/>
              </w:rPr>
            </w:pPr>
          </w:p>
        </w:tc>
        <w:tc>
          <w:tcPr>
            <w:tcW w:w="4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10"/>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 April 28, 2024</w:t>
            </w:r>
          </w:p>
        </w:tc>
      </w:tr>
      <w:tr>
        <w:trPr>
          <w:trHeight w:val="194"/>
        </w:trPr>
        <w:tc>
          <w:tcPr>
            <w:tcW w:w="10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10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28, 2024</w:t>
            </w:r>
          </w:p>
        </w:tc>
        <w:tc>
          <w:tcPr>
            <w:tcW w:w="184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(67,160)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(703)</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(67,863)</w:t>
            </w: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(39,198)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(39,116)</w:t>
            </w:r>
          </w:p>
        </w:tc>
      </w:tr>
      <w:tr>
        <w:trPr>
          <w:trHeight w:val="223"/>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11,087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11,047</w:t>
            </w:r>
          </w:p>
        </w:tc>
      </w:tr>
      <w:tr>
        <w:trPr>
          <w:trHeight w:val="216"/>
        </w:trPr>
        <w:tc>
          <w:tcPr>
            <w:tcW w:w="1060" w:type="dxa"/>
            <w:vAlign w:val="bottom"/>
            <w:tcBorders>
              <w:top w:val="single" w:sz="8" w:color="CCEEFF"/>
            </w:tcBorders>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28, 2024</w:t>
            </w: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(95,271)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(661)</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(95,932)</w:t>
            </w:r>
          </w:p>
        </w:tc>
      </w:tr>
      <w:tr>
        <w:trPr>
          <w:trHeight w:val="20"/>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10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10"/>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Three Months Ended April 30, 2023</w:t>
            </w:r>
          </w:p>
        </w:tc>
      </w:tr>
      <w:tr>
        <w:trPr>
          <w:trHeight w:val="194"/>
        </w:trPr>
        <w:tc>
          <w:tcPr>
            <w:tcW w:w="10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10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29, 2023</w:t>
            </w:r>
          </w:p>
        </w:tc>
        <w:tc>
          <w:tcPr>
            <w:tcW w:w="184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(23,737)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(683)</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(24,420)</w:t>
            </w: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(39,813)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(39,747)</w:t>
            </w:r>
          </w:p>
        </w:tc>
      </w:tr>
      <w:tr>
        <w:trPr>
          <w:trHeight w:val="223"/>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4,760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4,662</w:t>
            </w:r>
          </w:p>
        </w:tc>
      </w:tr>
      <w:tr>
        <w:trPr>
          <w:trHeight w:val="216"/>
        </w:trPr>
        <w:tc>
          <w:tcPr>
            <w:tcW w:w="1060" w:type="dxa"/>
            <w:vAlign w:val="bottom"/>
            <w:tcBorders>
              <w:top w:val="single" w:sz="8" w:color="CCEEFF"/>
            </w:tcBorders>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2023</w:t>
            </w: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(58,790)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(715)</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(59,505)</w:t>
            </w:r>
          </w:p>
        </w:tc>
      </w:tr>
      <w:tr>
        <w:trPr>
          <w:trHeight w:val="20"/>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10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10"/>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Six Months Ended April 28, 2024</w:t>
            </w:r>
          </w:p>
        </w:tc>
      </w:tr>
      <w:tr>
        <w:trPr>
          <w:trHeight w:val="194"/>
        </w:trPr>
        <w:tc>
          <w:tcPr>
            <w:tcW w:w="10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10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2023</w:t>
            </w:r>
          </w:p>
        </w:tc>
        <w:tc>
          <w:tcPr>
            <w:tcW w:w="184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(88,044)</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(690)</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(88,734)</w:t>
            </w: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(7,705)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(7,650)</w:t>
            </w:r>
          </w:p>
        </w:tc>
      </w:tr>
      <w:tr>
        <w:trPr>
          <w:trHeight w:val="223"/>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452</w:t>
            </w:r>
          </w:p>
        </w:tc>
      </w:tr>
      <w:tr>
        <w:trPr>
          <w:trHeight w:val="216"/>
        </w:trPr>
        <w:tc>
          <w:tcPr>
            <w:tcW w:w="1060" w:type="dxa"/>
            <w:vAlign w:val="bottom"/>
            <w:tcBorders>
              <w:top w:val="single" w:sz="8" w:color="CCEEFF"/>
            </w:tcBorders>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28, 2024</w:t>
            </w:r>
          </w:p>
        </w:tc>
        <w:tc>
          <w:tcPr>
            <w:tcW w:w="16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(95,271)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(661)</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(95,932)</w:t>
            </w:r>
          </w:p>
        </w:tc>
      </w:tr>
      <w:tr>
        <w:trPr>
          <w:trHeight w:val="20"/>
        </w:trPr>
        <w:tc>
          <w:tcPr>
            <w:tcW w:w="1060" w:type="dxa"/>
            <w:vAlign w:val="bottom"/>
            <w:tcBorders>
              <w:top w:val="single" w:sz="8" w:color="CCEEFF"/>
            </w:tcBorders>
            <w:shd w:val="clear" w:color="auto" w:fill="CCEEFF"/>
          </w:tcPr>
          <w:p>
            <w:pPr>
              <w:spacing w:after="0" w:line="20" w:lineRule="exact"/>
              <w:rPr>
                <w:sz w:val="1"/>
                <w:szCs w:val="1"/>
                <w:color w:val="auto"/>
              </w:rPr>
            </w:pPr>
          </w:p>
        </w:tc>
        <w:tc>
          <w:tcPr>
            <w:tcW w:w="4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10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10"/>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Six Months Ended April 30, 2023</w:t>
            </w:r>
          </w:p>
        </w:tc>
      </w:tr>
      <w:tr>
        <w:trPr>
          <w:trHeight w:val="194"/>
        </w:trPr>
        <w:tc>
          <w:tcPr>
            <w:tcW w:w="1060" w:type="dxa"/>
            <w:vAlign w:val="bottom"/>
          </w:tcPr>
          <w:p>
            <w:pPr>
              <w:spacing w:after="0"/>
              <w:rPr>
                <w:sz w:val="16"/>
                <w:szCs w:val="16"/>
                <w:color w:val="auto"/>
              </w:rPr>
            </w:pPr>
          </w:p>
        </w:tc>
        <w:tc>
          <w:tcPr>
            <w:tcW w:w="4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5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106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020" w:type="dxa"/>
            <w:vAlign w:val="bottom"/>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2022</w:t>
            </w:r>
          </w:p>
        </w:tc>
        <w:tc>
          <w:tcPr>
            <w:tcW w:w="184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(97,790)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(666)</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(98,456)</w:t>
            </w:r>
          </w:p>
        </w:tc>
      </w:tr>
      <w:tr>
        <w:trPr>
          <w:trHeight w:val="216"/>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50,707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50,718</w:t>
            </w:r>
          </w:p>
        </w:tc>
      </w:tr>
      <w:tr>
        <w:trPr>
          <w:trHeight w:val="223"/>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(11,707)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(11,767)</w:t>
            </w:r>
          </w:p>
        </w:tc>
      </w:tr>
      <w:tr>
        <w:trPr>
          <w:trHeight w:val="216"/>
        </w:trPr>
        <w:tc>
          <w:tcPr>
            <w:tcW w:w="1060" w:type="dxa"/>
            <w:vAlign w:val="bottom"/>
            <w:tcBorders>
              <w:top w:val="single" w:sz="8" w:color="CCEEFF"/>
            </w:tcBorders>
          </w:tcPr>
          <w:p>
            <w:pPr>
              <w:spacing w:after="0"/>
              <w:rPr>
                <w:sz w:val="18"/>
                <w:szCs w:val="18"/>
                <w:color w:val="auto"/>
              </w:rPr>
            </w:pPr>
          </w:p>
        </w:tc>
        <w:tc>
          <w:tcPr>
            <w:tcW w:w="440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6"/>
        </w:trPr>
        <w:tc>
          <w:tcPr>
            <w:tcW w:w="54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April 30, 2023</w:t>
            </w:r>
          </w:p>
        </w:tc>
        <w:tc>
          <w:tcPr>
            <w:tcW w:w="184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(58,790)</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(715)</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(59,505)</w:t>
            </w:r>
          </w:p>
        </w:tc>
      </w:tr>
      <w:tr>
        <w:trPr>
          <w:trHeight w:val="564"/>
        </w:trPr>
        <w:tc>
          <w:tcPr>
            <w:tcW w:w="1060" w:type="dxa"/>
            <w:vAlign w:val="bottom"/>
            <w:tcBorders>
              <w:top w:val="single" w:sz="8" w:color="CCEEFF"/>
            </w:tcBorders>
          </w:tcPr>
          <w:p>
            <w:pPr>
              <w:spacing w:after="0"/>
              <w:rPr>
                <w:sz w:val="24"/>
                <w:szCs w:val="24"/>
                <w:color w:val="auto"/>
              </w:rPr>
            </w:pPr>
          </w:p>
        </w:tc>
        <w:tc>
          <w:tcPr>
            <w:tcW w:w="4400" w:type="dxa"/>
            <w:vAlign w:val="bottom"/>
            <w:tcBorders>
              <w:top w:val="single" w:sz="8" w:color="CCEEFF"/>
            </w:tcBorders>
          </w:tcPr>
          <w:p>
            <w:pPr>
              <w:spacing w:after="0"/>
              <w:rPr>
                <w:sz w:val="24"/>
                <w:szCs w:val="24"/>
                <w:color w:val="auto"/>
              </w:rPr>
            </w:pPr>
          </w:p>
        </w:tc>
        <w:tc>
          <w:tcPr>
            <w:tcW w:w="1680" w:type="dxa"/>
            <w:vAlign w:val="bottom"/>
            <w:tcBorders>
              <w:top w:val="single" w:sz="8" w:color="CCEEFF"/>
            </w:tcBorders>
          </w:tcPr>
          <w:p>
            <w:pPr>
              <w:jc w:val="right"/>
              <w:ind w:right="1353"/>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1060" w:type="dxa"/>
            <w:vAlign w:val="bottom"/>
            <w:tcBorders>
              <w:bottom w:val="single" w:sz="8" w:color="auto"/>
            </w:tcBorders>
          </w:tcPr>
          <w:p>
            <w:pPr>
              <w:spacing w:after="0"/>
              <w:rPr>
                <w:sz w:val="3"/>
                <w:szCs w:val="3"/>
                <w:color w:val="auto"/>
              </w:rPr>
            </w:pPr>
          </w:p>
        </w:tc>
        <w:tc>
          <w:tcPr>
            <w:tcW w:w="4400" w:type="dxa"/>
            <w:vAlign w:val="bottom"/>
            <w:tcBorders>
              <w:bottom w:val="single" w:sz="8" w:color="auto"/>
            </w:tcBorders>
          </w:tcPr>
          <w:p>
            <w:pPr>
              <w:spacing w:after="0"/>
              <w:rPr>
                <w:sz w:val="3"/>
                <w:szCs w:val="3"/>
                <w:color w:val="auto"/>
              </w:rPr>
            </w:pPr>
          </w:p>
        </w:tc>
        <w:tc>
          <w:tcPr>
            <w:tcW w:w="16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SHARE REPURCHASE PROGRAMS</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10b5-1 of the Securities Act. The most recent 10b5-1 plan expired on September 15, 2022, and has not been renewed. Share repurchases under this authorization commenced on September 16, 2020. The repurchase authorization by the Board of Directors has no expiration date, does not obligate us to acquire any common stock, and is subject to market conditions. There have been no shares repurchased for the three and six-month periods ended April 28, 2024 and April 30, 2023. As of April 28, 2024, $31.7 million was available under this authorization for the purchase of additional shares. All shares repurchased under the program have been retired.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RECENT ACCOUNTING PRONOUNCEMENTS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to be Adopted</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the transparency and decision usefulness of income tax disclosures. The amendments in this Update related to the rate reconciliation and income taxes paid disclosures to improve the transparency of income tax disclosures by requiring (1) consistent categories and greater disaggregation of information in the rate reconciliation and (2) income taxes paid disaggregated by jurisdiction. The amendments allow investors to better assess, in their capital allocation decisions, how an entity’s worldwide operations and related tax risks and tax planning and operational opportunities affect its income tax rate and prospects for future cash flows. The guidance in this Update will be effective for Photronics in its fiscal year 2026 Form 10-K, with early application of the amendments allowed. We are currently evaluating the effect the adoption of this ASU may have on our disclosures.</w:t>
      </w:r>
    </w:p>
    <w:p>
      <w:pPr>
        <w:spacing w:after="0" w:line="18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improves reportable segment disclosure requirements, primarily through enhanced disclosures about significant segment expenses. The guidance in this Update is effective for Photronics in its fiscal year 2025 Form 10-K, with early adoption permitted. We are currently evaluating the effect the adoption of this ASU may have on our disclosures.</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243"/>
        <w:spacing w:after="0" w:line="281" w:lineRule="auto"/>
        <w:rPr>
          <w:sz w:val="20"/>
          <w:szCs w:val="20"/>
          <w:color w:val="auto"/>
        </w:rPr>
      </w:pPr>
      <w:r>
        <w:rPr>
          <w:rFonts w:ascii="Times New Roman" w:cs="Times New Roman" w:eastAsia="Times New Roman" w:hAnsi="Times New Roman"/>
          <w:sz w:val="17"/>
          <w:szCs w:val="17"/>
          <w:color w:val="auto"/>
        </w:rPr>
        <w:t>Management's discussion and analysis (“MD&amp;A”) of the Company's financial condition and results of operations should be read in conjunction with its condensed consolidated financial statements and related notes. Various sections of this MD&amp;A contain forward-looking statements, all of which are presented based on current expectations, which may be adversely affected by uncertainties and risk factors (presented throughout this filing and in the Company's Form 10-K for fiscal year 2023), that may cause actual results to materially differ from these expectations. See “Forward-Looking Statements”.</w:t>
      </w:r>
    </w:p>
    <w:p>
      <w:pPr>
        <w:spacing w:after="0" w:line="164" w:lineRule="exact"/>
        <w:rPr>
          <w:sz w:val="20"/>
          <w:szCs w:val="20"/>
          <w:color w:val="auto"/>
        </w:rPr>
      </w:pPr>
    </w:p>
    <w:p>
      <w:pPr>
        <w:ind w:right="100" w:firstLine="243"/>
        <w:spacing w:after="0" w:line="253" w:lineRule="auto"/>
        <w:rPr>
          <w:sz w:val="20"/>
          <w:szCs w:val="20"/>
          <w:color w:val="auto"/>
        </w:rPr>
      </w:pPr>
      <w:r>
        <w:rPr>
          <w:rFonts w:ascii="Times New Roman" w:cs="Times New Roman" w:eastAsia="Times New Roman" w:hAnsi="Times New Roman"/>
          <w:sz w:val="18"/>
          <w:szCs w:val="18"/>
          <w:color w:val="auto"/>
        </w:rPr>
        <w:t xml:space="preserve">We sell substantially all of our photomasks to semiconductor designers and manufacturers, and manufacturers of FPDs. Photomask technology is also being applied to the fabrication of other higher-performance electronic products such as photonics, microelectronic mechanical systems, and certain nanotechnology applications. Our selling cycle is tightly interwoven with the development and release of new semiconductor and display designs and applications, particularly as they relate to the semiconductor industry's migration to more advanced product innovation, design methodologies, and fabrication processes. The demand for photomasks primarily depends on design activity rather than sales volumes from products manufactured using photomask technologies. Consequently, an increase in semiconductor or display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display designs could reduce demand for photomasks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even if the demand for semiconductors and displays increases. Advances in semiconductor, display, and photomask design and production methods that shift the burden of achieving device performance away from lithography could also reduce the demand for photomasks. Historically, the microelectronics industry has been volatile, experiencing periodic downturns and slowdowns in design activity. These negative trends have been characterized by, among other things, diminished product demand, excess production capacity, and accelerated erosion of selling prices, with a concomitant effect on revenue and profitability.</w:t>
      </w:r>
    </w:p>
    <w:p>
      <w:pPr>
        <w:spacing w:after="0" w:line="187" w:lineRule="exact"/>
        <w:rPr>
          <w:sz w:val="20"/>
          <w:szCs w:val="20"/>
          <w:color w:val="auto"/>
        </w:rPr>
      </w:pPr>
    </w:p>
    <w:p>
      <w:pPr>
        <w:ind w:right="20" w:firstLine="243"/>
        <w:spacing w:after="0" w:line="256" w:lineRule="auto"/>
        <w:rPr>
          <w:sz w:val="20"/>
          <w:szCs w:val="20"/>
          <w:color w:val="auto"/>
        </w:rPr>
      </w:pPr>
      <w:r>
        <w:rPr>
          <w:rFonts w:ascii="Times New Roman" w:cs="Times New Roman" w:eastAsia="Times New Roman" w:hAnsi="Times New Roman"/>
          <w:sz w:val="18"/>
          <w:szCs w:val="18"/>
          <w:color w:val="auto"/>
        </w:rPr>
        <w:t>We are typically required to fulfill customer orders within a short period of time, sometimes within twenty-four hours. This has historically resulted in a minimal level of backlog, typically two to three weeks of backlog for FPD photomasks and one to two weeks for IC photomasks. However, due to market dynamics over the last two years, the demand for some IC photomasks had expanded beyond the industry’s capacity to supply them within the traditional time period; thus, for some products, the backlog had expanded to as long as two to three months. More recently however, while supply and demand balance generally still remains favorable for our products, backlogs for most high demand products have normalized to more manageable levels of less than a month.</w:t>
      </w:r>
    </w:p>
    <w:p>
      <w:pPr>
        <w:spacing w:after="0" w:line="187" w:lineRule="exact"/>
        <w:rPr>
          <w:sz w:val="20"/>
          <w:szCs w:val="20"/>
          <w:color w:val="auto"/>
        </w:rPr>
      </w:pPr>
    </w:p>
    <w:p>
      <w:pPr>
        <w:ind w:firstLine="243"/>
        <w:spacing w:after="0" w:line="256" w:lineRule="auto"/>
        <w:rPr>
          <w:sz w:val="20"/>
          <w:szCs w:val="20"/>
          <w:color w:val="auto"/>
        </w:rPr>
      </w:pPr>
      <w:r>
        <w:rPr>
          <w:rFonts w:ascii="Times New Roman" w:cs="Times New Roman" w:eastAsia="Times New Roman" w:hAnsi="Times New Roman"/>
          <w:sz w:val="18"/>
          <w:szCs w:val="18"/>
          <w:color w:val="auto"/>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April 28, 2024</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selected operating information expressed as a percentage of revenue. The columns may not foot due to rounding.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40" w:type="dxa"/>
            <w:vAlign w:val="bottom"/>
            <w:gridSpan w:val="4"/>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194"/>
        </w:trPr>
        <w:tc>
          <w:tcPr>
            <w:tcW w:w="44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39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380" w:type="dxa"/>
            <w:vAlign w:val="bottom"/>
            <w:tcBorders>
              <w:top w:val="single" w:sz="8" w:color="auto"/>
            </w:tcBorders>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28,</w:t>
            </w:r>
          </w:p>
        </w:tc>
        <w:tc>
          <w:tcPr>
            <w:tcW w:w="1080" w:type="dxa"/>
            <w:vAlign w:val="bottom"/>
            <w:tcBorders>
              <w:top w:val="single" w:sz="8" w:color="auto"/>
            </w:tcBorders>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2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50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100" w:type="dxa"/>
            <w:vAlign w:val="bottom"/>
            <w:tcBorders>
              <w:top w:val="single" w:sz="8" w:color="auto"/>
            </w:tcBorders>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160" w:type="dxa"/>
            <w:vAlign w:val="bottom"/>
          </w:tcPr>
          <w:p>
            <w:pPr>
              <w:spacing w:after="0"/>
              <w:rPr>
                <w:sz w:val="16"/>
                <w:szCs w:val="16"/>
                <w:color w:val="auto"/>
              </w:rPr>
            </w:pPr>
          </w:p>
        </w:tc>
      </w:tr>
      <w:tr>
        <w:trPr>
          <w:trHeight w:val="245"/>
        </w:trPr>
        <w:tc>
          <w:tcPr>
            <w:tcW w:w="448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80" w:type="dxa"/>
            <w:vAlign w:val="bottom"/>
          </w:tcPr>
          <w:p>
            <w:pPr>
              <w:spacing w:after="0"/>
              <w:rPr>
                <w:sz w:val="21"/>
                <w:szCs w:val="21"/>
                <w:color w:val="auto"/>
              </w:rPr>
            </w:pPr>
          </w:p>
        </w:tc>
        <w:tc>
          <w:tcPr>
            <w:tcW w:w="10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63.4</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63.4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62.7</w:t>
            </w: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8.5</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1.8</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44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26.6</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29.2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27.9</w:t>
            </w:r>
          </w:p>
        </w:tc>
      </w:tr>
      <w:tr>
        <w:trPr>
          <w:trHeight w:val="216"/>
        </w:trPr>
        <w:tc>
          <w:tcPr>
            <w:tcW w:w="4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5.9</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44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24.8</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35.2</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30.1</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4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6.8</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9.3</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44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18.1</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25.8</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22.0</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4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3"/>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7.6</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4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16.7%</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12.1%</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w:t>
            </w:r>
          </w:p>
        </w:tc>
      </w:tr>
      <w:tr>
        <w:trPr>
          <w:trHeight w:val="27"/>
        </w:trPr>
        <w:tc>
          <w:tcPr>
            <w:tcW w:w="44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Note: All tabular comparisons included in the following discussion, unless otherwise indicated, are for the three months ended April 28, 2024 (Q2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FY24), January 28, 2024 (Q1 FY24), and April 30, 2023 (Q2 FY23) and for the six months ended April 28, 2024 (YTD FY24) and April 30, 2023 (YTD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FY23).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60" w:firstLine="288"/>
        <w:spacing w:after="0" w:line="266" w:lineRule="auto"/>
        <w:rPr>
          <w:sz w:val="20"/>
          <w:szCs w:val="20"/>
          <w:color w:val="auto"/>
        </w:rPr>
      </w:pPr>
      <w:r>
        <w:rPr>
          <w:rFonts w:ascii="Times New Roman" w:cs="Times New Roman" w:eastAsia="Times New Roman" w:hAnsi="Times New Roman"/>
          <w:sz w:val="18"/>
          <w:szCs w:val="18"/>
          <w:color w:val="auto"/>
        </w:rPr>
        <w:t>Our quarterly revenues can be affected by the seasonal purchasing practices of our customers. As a result, demand for our products is typically reduced during the first quarter of our fiscal year by the North American, European, and Asian holiday periods, as some of our customers reduce their development and, consequently, their buying activities during those periods.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present changes in disaggregated revenue in Q2 FY24 from revenue in prior reporting periods.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Changes in Revenue by Product Type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140" w:type="dxa"/>
            <w:vAlign w:val="bottom"/>
            <w:gridSpan w:val="6"/>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Q2 FY24 compared with Q1 FY24</w:t>
            </w:r>
          </w:p>
        </w:tc>
        <w:tc>
          <w:tcPr>
            <w:tcW w:w="6140" w:type="dxa"/>
            <w:vAlign w:val="bottom"/>
            <w:gridSpan w:val="15"/>
          </w:tcPr>
          <w:p>
            <w:pPr>
              <w:ind w:left="60"/>
              <w:spacing w:after="0"/>
              <w:rPr>
                <w:sz w:val="20"/>
                <w:szCs w:val="20"/>
                <w:color w:val="auto"/>
              </w:rPr>
            </w:pPr>
            <w:r>
              <w:rPr>
                <w:rFonts w:ascii="Times New Roman" w:cs="Times New Roman" w:eastAsia="Times New Roman" w:hAnsi="Times New Roman"/>
                <w:sz w:val="18"/>
                <w:szCs w:val="18"/>
                <w:b w:val="1"/>
                <w:bCs w:val="1"/>
                <w:color w:val="auto"/>
              </w:rPr>
              <w:t>Q2 FY24 compared with Q2 FY23   YTD FY24 compared with YTD FY23</w:t>
            </w: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80" w:type="dxa"/>
            <w:vAlign w:val="bottom"/>
            <w:tcBorders>
              <w:top w:val="single" w:sz="8" w:color="auto"/>
            </w:tcBorders>
            <w:gridSpan w:val="2"/>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Revenue in</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080" w:type="dxa"/>
            <w:vAlign w:val="bottom"/>
            <w:tcBorders>
              <w:top w:val="single" w:sz="8" w:color="auto"/>
            </w:tcBorders>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right"/>
              <w:ind w:right="56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380" w:type="dxa"/>
            <w:vAlign w:val="bottom"/>
            <w:tcBorders>
              <w:top w:val="single" w:sz="8" w:color="auto"/>
            </w:tcBorders>
          </w:tcPr>
          <w:p>
            <w:pPr>
              <w:jc w:val="right"/>
              <w:ind w:right="45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820" w:type="dxa"/>
            <w:vAlign w:val="bottom"/>
            <w:tcBorders>
              <w:top w:val="single" w:sz="8" w:color="auto"/>
            </w:tcBorders>
          </w:tcPr>
          <w:p>
            <w:pPr>
              <w:ind w:left="14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Q2 FY24</w:t>
            </w:r>
          </w:p>
        </w:tc>
        <w:tc>
          <w:tcPr>
            <w:tcW w:w="22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21"/>
                <w:szCs w:val="21"/>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YTD FY24</w:t>
            </w:r>
          </w:p>
        </w:tc>
        <w:tc>
          <w:tcPr>
            <w:tcW w:w="100" w:type="dxa"/>
            <w:vAlign w:val="bottom"/>
          </w:tcPr>
          <w:p>
            <w:pPr>
              <w:spacing w:after="0"/>
              <w:rPr>
                <w:sz w:val="21"/>
                <w:szCs w:val="21"/>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75"/>
        </w:trPr>
        <w:tc>
          <w:tcPr>
            <w:tcW w:w="18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IC</w:t>
            </w: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1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14.1</w:t>
            </w: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27.0</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29.4%</w:t>
            </w:r>
          </w:p>
        </w:tc>
      </w:tr>
      <w:tr>
        <w:trPr>
          <w:trHeight w:val="216"/>
        </w:trPr>
        <w:tc>
          <w:tcPr>
            <w:tcW w:w="1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(20.2)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1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IC</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r>
      <w:tr>
        <w:trPr>
          <w:trHeight w:val="175"/>
        </w:trPr>
        <w:tc>
          <w:tcPr>
            <w:tcW w:w="18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FPD</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6"/>
        </w:trPr>
        <w:tc>
          <w:tcPr>
            <w:tcW w:w="18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(3.9)</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18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FPD</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gridSpan w:val="2"/>
            <w:shd w:val="clear" w:color="auto" w:fill="CCEEFF"/>
          </w:tcPr>
          <w:p>
            <w:pPr>
              <w:spacing w:after="0"/>
              <w:rPr>
                <w:sz w:val="19"/>
                <w:szCs w:val="19"/>
                <w:color w:val="auto"/>
              </w:rPr>
            </w:pPr>
          </w:p>
        </w:tc>
      </w:tr>
      <w:tr>
        <w:trPr>
          <w:trHeight w:val="216"/>
        </w:trPr>
        <w:tc>
          <w:tcPr>
            <w:tcW w:w="1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433.3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High-end photomasks typically have higher average selling prices (ASPs) than mainstream products.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Changes in Revenue by Geographic Origin**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40" w:type="dxa"/>
            <w:vAlign w:val="bottom"/>
            <w:gridSpan w:val="6"/>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Q2 FY24 compared with Q1 FY24</w:t>
            </w:r>
          </w:p>
        </w:tc>
        <w:tc>
          <w:tcPr>
            <w:tcW w:w="28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Q2 FY24 compared with Q2 FY23</w:t>
            </w:r>
          </w:p>
        </w:tc>
        <w:tc>
          <w:tcPr>
            <w:tcW w:w="3260" w:type="dxa"/>
            <w:vAlign w:val="bottom"/>
            <w:gridSpan w:val="9"/>
          </w:tcPr>
          <w:p>
            <w:pPr>
              <w:jc w:val="center"/>
              <w:ind w:right="88"/>
              <w:spacing w:after="0"/>
              <w:rPr>
                <w:sz w:val="20"/>
                <w:szCs w:val="20"/>
                <w:color w:val="auto"/>
              </w:rPr>
            </w:pPr>
            <w:r>
              <w:rPr>
                <w:rFonts w:ascii="Times New Roman" w:cs="Times New Roman" w:eastAsia="Times New Roman" w:hAnsi="Times New Roman"/>
                <w:sz w:val="18"/>
                <w:szCs w:val="18"/>
                <w:b w:val="1"/>
                <w:bCs w:val="1"/>
                <w:color w:val="auto"/>
              </w:rPr>
              <w:t>YTD FY24 compared with YTD FY23</w:t>
            </w:r>
          </w:p>
        </w:tc>
      </w:tr>
      <w:tr>
        <w:trPr>
          <w:trHeight w:val="194"/>
        </w:trPr>
        <w:tc>
          <w:tcPr>
            <w:tcW w:w="1760" w:type="dxa"/>
            <w:vAlign w:val="bottom"/>
          </w:tcPr>
          <w:p>
            <w:pPr>
              <w:spacing w:after="0"/>
              <w:rPr>
                <w:sz w:val="16"/>
                <w:szCs w:val="16"/>
                <w:color w:val="auto"/>
              </w:rPr>
            </w:pPr>
          </w:p>
        </w:tc>
        <w:tc>
          <w:tcPr>
            <w:tcW w:w="110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right"/>
              <w:ind w:right="3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160" w:type="dxa"/>
            <w:vAlign w:val="bottom"/>
            <w:tcBorders>
              <w:top w:val="single" w:sz="8" w:color="auto"/>
            </w:tcBorders>
          </w:tcPr>
          <w:p>
            <w:pPr>
              <w:jc w:val="right"/>
              <w:ind w:right="35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2"/>
          </w:tcPr>
          <w:p>
            <w:pPr>
              <w:jc w:val="right"/>
              <w:ind w:right="54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1440" w:type="dxa"/>
            <w:vAlign w:val="bottom"/>
            <w:tcBorders>
              <w:top w:val="single" w:sz="8" w:color="auto"/>
            </w:tcBorders>
          </w:tcPr>
          <w:p>
            <w:pPr>
              <w:jc w:val="right"/>
              <w:ind w:right="51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00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880" w:type="dxa"/>
            <w:vAlign w:val="bottom"/>
            <w:tcBorders>
              <w:top w:val="single" w:sz="8" w:color="auto"/>
            </w:tcBorders>
          </w:tcPr>
          <w:p>
            <w:pPr>
              <w:jc w:val="right"/>
              <w:ind w:right="55"/>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180" w:type="dxa"/>
            <w:vAlign w:val="bottom"/>
          </w:tcPr>
          <w:p>
            <w:pPr>
              <w:spacing w:after="0"/>
              <w:rPr>
                <w:sz w:val="16"/>
                <w:szCs w:val="16"/>
                <w:color w:val="auto"/>
              </w:rPr>
            </w:pPr>
          </w:p>
        </w:tc>
      </w:tr>
      <w:tr>
        <w:trPr>
          <w:trHeight w:val="245"/>
        </w:trPr>
        <w:tc>
          <w:tcPr>
            <w:tcW w:w="1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Q2 FY24</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1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0" w:type="dxa"/>
            <w:vAlign w:val="bottom"/>
          </w:tcPr>
          <w:p>
            <w:pPr>
              <w:spacing w:after="0"/>
              <w:rPr>
                <w:sz w:val="21"/>
                <w:szCs w:val="21"/>
                <w:color w:val="auto"/>
              </w:rPr>
            </w:pPr>
          </w:p>
        </w:tc>
        <w:tc>
          <w:tcPr>
            <w:tcW w:w="132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4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YTD FY24</w:t>
            </w:r>
          </w:p>
        </w:tc>
        <w:tc>
          <w:tcPr>
            <w:tcW w:w="120" w:type="dxa"/>
            <w:vAlign w:val="bottom"/>
          </w:tcPr>
          <w:p>
            <w:pPr>
              <w:spacing w:after="0"/>
              <w:rPr>
                <w:sz w:val="21"/>
                <w:szCs w:val="21"/>
                <w:color w:val="auto"/>
              </w:rPr>
            </w:pPr>
          </w:p>
        </w:tc>
        <w:tc>
          <w:tcPr>
            <w:tcW w:w="108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06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1160" w:type="dxa"/>
            <w:vAlign w:val="bottom"/>
            <w:tcBorders>
              <w:top w:val="single" w:sz="8" w:color="auto"/>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w:t>
            </w:r>
          </w:p>
        </w:tc>
        <w:tc>
          <w:tcPr>
            <w:tcW w:w="1440" w:type="dxa"/>
            <w:vAlign w:val="bottom"/>
            <w:tcBorders>
              <w:top w:val="single" w:sz="8" w:color="auto"/>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150.4</w:t>
            </w: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(6.5)</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w:t>
            </w:r>
          </w:p>
        </w:tc>
        <w:tc>
          <w:tcPr>
            <w:tcW w:w="10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(5.9</w:t>
            </w:r>
            <w:r>
              <w:rPr>
                <w:rFonts w:ascii="Times New Roman" w:cs="Times New Roman" w:eastAsia="Times New Roman" w:hAnsi="Times New Roman"/>
                <w:sz w:val="25"/>
                <w:szCs w:val="25"/>
                <w:color w:val="auto"/>
                <w:vertAlign w:val="subscript"/>
              </w:rPr>
              <w:t>)%</w:t>
            </w: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tcBorders>
              <w:right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w:t>
            </w:r>
          </w:p>
        </w:tc>
        <w:tc>
          <w:tcPr>
            <w:tcW w:w="14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10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0.5</w:t>
            </w:r>
            <w:r>
              <w:rPr>
                <w:rFonts w:ascii="Times New Roman" w:cs="Times New Roman" w:eastAsia="Times New Roman" w:hAnsi="Times New Roman"/>
                <w:sz w:val="25"/>
                <w:szCs w:val="25"/>
                <w:color w:val="auto"/>
                <w:vertAlign w:val="subscript"/>
              </w:rPr>
              <w:t>%</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0.7</w:t>
            </w:r>
          </w:p>
        </w:tc>
        <w:tc>
          <w:tcPr>
            <w:tcW w:w="14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10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5.9</w:t>
            </w:r>
            <w:r>
              <w:rPr>
                <w:rFonts w:ascii="Times New Roman" w:cs="Times New Roman" w:eastAsia="Times New Roman" w:hAnsi="Times New Roman"/>
                <w:sz w:val="25"/>
                <w:szCs w:val="25"/>
                <w:color w:val="auto"/>
                <w:vertAlign w:val="subscript"/>
              </w:rPr>
              <w:t>%</w:t>
            </w:r>
          </w:p>
        </w:tc>
      </w:tr>
      <w:tr>
        <w:trPr>
          <w:trHeight w:val="216"/>
        </w:trPr>
        <w:tc>
          <w:tcPr>
            <w:tcW w:w="1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116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0.7</w:t>
            </w:r>
          </w:p>
        </w:tc>
        <w:tc>
          <w:tcPr>
            <w:tcW w:w="1440" w:type="dxa"/>
            <w:vAlign w:val="bottom"/>
            <w:tcBorders>
              <w:right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0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10.8</w:t>
            </w:r>
            <w:r>
              <w:rPr>
                <w:rFonts w:ascii="Times New Roman" w:cs="Times New Roman" w:eastAsia="Times New Roman" w:hAnsi="Times New Roman"/>
                <w:sz w:val="25"/>
                <w:szCs w:val="25"/>
                <w:color w:val="auto"/>
                <w:vertAlign w:val="subscript"/>
              </w:rPr>
              <w:t>%</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8"/>
                <w:szCs w:val="18"/>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(25.8)%</w:t>
            </w:r>
          </w:p>
        </w:tc>
        <w:tc>
          <w:tcPr>
            <w:tcW w:w="3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0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(10.7</w:t>
            </w:r>
            <w:r>
              <w:rPr>
                <w:rFonts w:ascii="Times New Roman" w:cs="Times New Roman" w:eastAsia="Times New Roman" w:hAnsi="Times New Roman"/>
                <w:sz w:val="25"/>
                <w:szCs w:val="25"/>
                <w:color w:val="auto"/>
                <w:vertAlign w:val="subscript"/>
              </w:rPr>
              <w:t>)%</w:t>
            </w:r>
          </w:p>
        </w:tc>
      </w:tr>
      <w:tr>
        <w:trPr>
          <w:trHeight w:val="27"/>
        </w:trPr>
        <w:tc>
          <w:tcPr>
            <w:tcW w:w="1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r>
      <w:tr>
        <w:trPr>
          <w:trHeight w:val="216"/>
        </w:trPr>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(12.3)</w:t>
            </w:r>
          </w:p>
        </w:tc>
        <w:tc>
          <w:tcPr>
            <w:tcW w:w="1440" w:type="dxa"/>
            <w:vAlign w:val="bottom"/>
            <w:tcBorders>
              <w:right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w:t>
            </w: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10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(1.6</w:t>
            </w:r>
            <w:r>
              <w:rPr>
                <w:rFonts w:ascii="Times New Roman" w:cs="Times New Roman" w:eastAsia="Times New Roman" w:hAnsi="Times New Roman"/>
                <w:sz w:val="25"/>
                <w:szCs w:val="25"/>
                <w:color w:val="auto"/>
                <w:vertAlign w:val="subscript"/>
              </w:rPr>
              <w:t>)%</w:t>
            </w:r>
          </w:p>
        </w:tc>
      </w:tr>
      <w:tr>
        <w:trPr>
          <w:trHeight w:val="27"/>
        </w:trPr>
        <w:tc>
          <w:tcPr>
            <w:tcW w:w="17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440" w:type="dxa"/>
            <w:vAlign w:val="bottom"/>
            <w:tcBorders>
              <w:right w:val="single" w:sz="8" w:color="CCEEFF"/>
            </w:tcBorders>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p>
      <w:pPr>
        <w:spacing w:after="0" w:line="225"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Revenue in Q2 FY24 was $217.0 million, representing an increase of 0.3% compared with Q1 FY24 and a decrease of 5.4% from Q2 FY23. The Taiwan earthquakes in April 2024, and soft demand following the Chinese New Year were headwinds that adversely impacted revenue growth during the quarter.</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IC photomask revenue increased by 2.1% compared with Q1 FY24. The increase from Q1 FY 24 was primarily the result of increased mainstream demand in Asia offsetting decreased high end demand primarily in the U.S. IC photomask revenue decreased by 3.7% compared to Q2 FY23 as increased high-end demand were more than offset by decreased mainstream demand.</w:t>
      </w:r>
    </w:p>
    <w:p>
      <w:pPr>
        <w:spacing w:after="0" w:line="176"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FPD revenue decreased 4.6% compared with Q1 FY24. The decrease from Q1 FY24 was due to premium smartphone seasonality. FPD revenue decreased 9.9% from Q2 FY23 due to decreases in both high-end and mainstream products due to softer demand. We continue to believe that strong demand for AMOLED photomasks used in mobile devices will continue, as expected technology advances drives increasing overall demand for higher-value masks.</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 YTD basis, IC revenue decreased 1.6% and FPD revenue decreased 1.7%; both were due to soft demand in mainstream.</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2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2060" w:type="dxa"/>
            <w:vAlign w:val="bottom"/>
          </w:tcPr>
          <w:p>
            <w:pPr>
              <w:spacing w:after="0"/>
              <w:rPr>
                <w:sz w:val="21"/>
                <w:szCs w:val="21"/>
                <w:color w:val="auto"/>
              </w:rPr>
            </w:pPr>
          </w:p>
        </w:tc>
        <w:tc>
          <w:tcPr>
            <w:tcW w:w="11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Q2 FY24</w:t>
            </w:r>
          </w:p>
        </w:tc>
        <w:tc>
          <w:tcPr>
            <w:tcW w:w="12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Q1 FY24</w:t>
            </w:r>
          </w:p>
        </w:tc>
        <w:tc>
          <w:tcPr>
            <w:tcW w:w="7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8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Q2 FY23</w:t>
            </w:r>
          </w:p>
        </w:tc>
        <w:tc>
          <w:tcPr>
            <w:tcW w:w="11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YTD FY24</w:t>
            </w:r>
          </w:p>
        </w:tc>
        <w:tc>
          <w:tcPr>
            <w:tcW w:w="12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YTD FY23</w:t>
            </w: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79.3</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79.3</w:t>
            </w:r>
          </w:p>
        </w:tc>
        <w:tc>
          <w:tcPr>
            <w:tcW w:w="7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88.4</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1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158.5</w:t>
            </w:r>
          </w:p>
        </w:tc>
        <w:tc>
          <w:tcPr>
            <w:tcW w:w="12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164.5</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20" w:type="dxa"/>
            <w:vAlign w:val="bottom"/>
          </w:tcPr>
          <w:p>
            <w:pPr>
              <w:spacing w:after="0"/>
              <w:rPr>
                <w:sz w:val="20"/>
                <w:szCs w:val="20"/>
                <w:color w:val="auto"/>
              </w:rPr>
            </w:pPr>
          </w:p>
        </w:tc>
        <w:tc>
          <w:tcPr>
            <w:tcW w:w="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36.5%</w:t>
            </w:r>
          </w:p>
        </w:tc>
        <w:tc>
          <w:tcPr>
            <w:tcW w:w="380" w:type="dxa"/>
            <w:vAlign w:val="bottom"/>
          </w:tcPr>
          <w:p>
            <w:pPr>
              <w:spacing w:after="0"/>
              <w:rPr>
                <w:sz w:val="20"/>
                <w:szCs w:val="20"/>
                <w:color w:val="auto"/>
              </w:rPr>
            </w:pPr>
          </w:p>
        </w:tc>
        <w:tc>
          <w:tcPr>
            <w:tcW w:w="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36.6%</w:t>
            </w:r>
          </w:p>
        </w:tc>
        <w:tc>
          <w:tcPr>
            <w:tcW w:w="7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38.6%</w:t>
            </w:r>
          </w:p>
        </w:tc>
        <w:tc>
          <w:tcPr>
            <w:tcW w:w="1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2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37.3%</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ind w:right="80" w:firstLine="333"/>
        <w:spacing w:after="0" w:line="261" w:lineRule="auto"/>
        <w:rPr>
          <w:sz w:val="20"/>
          <w:szCs w:val="20"/>
          <w:color w:val="auto"/>
        </w:rPr>
      </w:pPr>
      <w:r>
        <w:rPr>
          <w:rFonts w:ascii="Times New Roman" w:cs="Times New Roman" w:eastAsia="Times New Roman" w:hAnsi="Times New Roman"/>
          <w:sz w:val="18"/>
          <w:szCs w:val="18"/>
          <w:color w:val="auto"/>
        </w:rPr>
        <w:t>Gross margin remained flat in Q2 FY24, from Q1 FY24. With respect to items within cost of goods sold, material costs decreased 1.3% from the prior quarter and, decreased as a percentage of revenue, by 40 basis points. Labor cost decreased 1.0% from the prior quarter and, decreased as a percentage of revenue, by 18 basis points. Equipment and other overhead costs increased 2.7% from the prior quarter, and, increased 65 basis points as a percentage of revenue.</w:t>
      </w:r>
    </w:p>
    <w:p>
      <w:pPr>
        <w:spacing w:after="0" w:line="180" w:lineRule="exact"/>
        <w:rPr>
          <w:sz w:val="20"/>
          <w:szCs w:val="20"/>
          <w:color w:val="auto"/>
        </w:rPr>
      </w:pPr>
    </w:p>
    <w:p>
      <w:pPr>
        <w:ind w:right="160" w:firstLine="243"/>
        <w:spacing w:after="0" w:line="258" w:lineRule="auto"/>
        <w:rPr>
          <w:sz w:val="20"/>
          <w:szCs w:val="20"/>
          <w:color w:val="auto"/>
        </w:rPr>
      </w:pPr>
      <w:r>
        <w:rPr>
          <w:rFonts w:ascii="Times New Roman" w:cs="Times New Roman" w:eastAsia="Times New Roman" w:hAnsi="Times New Roman"/>
          <w:sz w:val="18"/>
          <w:szCs w:val="18"/>
          <w:color w:val="auto"/>
        </w:rPr>
        <w:t>Gross margin decreased 210 basis points, in Q2 FY24, from Q2 FY23, primarily as a result of the decrease in revenue from lower Premium charges. Material costs decreased 5.8% from the prior year quarter, and, decreased as a percentage of revenue by 11 basis points. Labor costs decreased 1.2% from the prior year quarter, but, increased, as a percent of revenue, by 49 basis points as labor increased in both the U.S. and at several Asia-based facilities, reflecting labor market conditions. Equipment and other overhead costs increased 0.5% from the prior quarter, and, increased 163 basis points as a percentage of revenue.</w:t>
      </w:r>
    </w:p>
    <w:p>
      <w:pPr>
        <w:spacing w:after="0" w:line="183" w:lineRule="exact"/>
        <w:rPr>
          <w:sz w:val="20"/>
          <w:szCs w:val="20"/>
          <w:color w:val="auto"/>
        </w:rPr>
      </w:pPr>
    </w:p>
    <w:p>
      <w:pPr>
        <w:ind w:right="60" w:firstLine="243"/>
        <w:spacing w:after="0" w:line="256" w:lineRule="auto"/>
        <w:rPr>
          <w:sz w:val="20"/>
          <w:szCs w:val="20"/>
          <w:color w:val="auto"/>
        </w:rPr>
      </w:pPr>
      <w:r>
        <w:rPr>
          <w:rFonts w:ascii="Times New Roman" w:cs="Times New Roman" w:eastAsia="Times New Roman" w:hAnsi="Times New Roman"/>
          <w:sz w:val="18"/>
          <w:szCs w:val="18"/>
          <w:color w:val="auto"/>
        </w:rPr>
        <w:t>Gross margin decreased by 70 basis points in YTD FY24, from YTD FY23, primarily as a result of the decrease in revenue from lower Premium charges. Material costs decreased 1.9% from YTD FY23, and, decreased 7 basis points, as a percentage of revenue. Labor costs increased 1.4% from YTD FY23, and, increased 35 basis points as a percentage of revenue. The increase was primarily the result of increased labor cost in Asia. Equipment and other overhead costs rose 0.2%, and, increased 49 basis points, as a percentage of revenue. Increased depreciation expense, partially offset by decreased outsourced manufacturing, and increased R&amp;D reclassification costs were the most significant contributors to the net increase in equipment and other overhead costs.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140" w:firstLine="333"/>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were $19.0 million in Q2 FY24, compared with $18.3 million in Q1 FY24. The increase of $0.7 million was primarily the result of increased compensation and related expenses of $0.1 million and increased professional fees of $0.2 million. Selling, general, and administrative expenses increased $1.1 million in Q2 FY24, from $17.9 million in Q2 FY23, primarily as a result of increased compensation and related expenses of $1.2 million.</w:t>
      </w:r>
    </w:p>
    <w:p>
      <w:pPr>
        <w:spacing w:after="0" w:line="180" w:lineRule="exact"/>
        <w:rPr>
          <w:sz w:val="20"/>
          <w:szCs w:val="20"/>
          <w:color w:val="auto"/>
        </w:rPr>
      </w:pPr>
    </w:p>
    <w:p>
      <w:pPr>
        <w:ind w:right="240" w:firstLine="243"/>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increased $2.6 million in YTD FY24 to $37.3 million, compared with $34.7 million in YTD FY23. The increase was driven by the results of increased compensation and related expense of $2.4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120" w:firstLine="33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which primarily consist of development and qualification efforts related to process technologies for high-end IC and FPD applications, were $4.3 million in Q2 FY24, $3.4 million in Q1 FY24, and $3.5 million in Q2 FY23.</w:t>
      </w:r>
    </w:p>
    <w:p>
      <w:pPr>
        <w:spacing w:after="0" w:line="162"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by $0.9 million in YTD FY24 to $7.7 million, compared with $6.8 million in YTD FY23. The increase was driven by the expansion of development activities in the U.S., Taiwan, and China.</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10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Q2</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Q1</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Q2</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YTD</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YTD</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5"/>
        </w:trPr>
        <w:tc>
          <w:tcPr>
            <w:tcW w:w="1060" w:type="dxa"/>
            <w:vAlign w:val="bottom"/>
          </w:tcPr>
          <w:p>
            <w:pPr>
              <w:spacing w:after="0"/>
              <w:rPr>
                <w:sz w:val="21"/>
                <w:szCs w:val="21"/>
                <w:color w:val="auto"/>
              </w:rPr>
            </w:pPr>
          </w:p>
        </w:tc>
        <w:tc>
          <w:tcPr>
            <w:tcW w:w="34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FY24</w:t>
            </w:r>
          </w:p>
        </w:tc>
        <w:tc>
          <w:tcPr>
            <w:tcW w:w="5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FY24</w:t>
            </w:r>
          </w:p>
        </w:tc>
        <w:tc>
          <w:tcPr>
            <w:tcW w:w="5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FY23</w:t>
            </w:r>
          </w:p>
        </w:tc>
        <w:tc>
          <w:tcPr>
            <w:tcW w:w="5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FY24</w:t>
            </w:r>
          </w:p>
        </w:tc>
        <w:tc>
          <w:tcPr>
            <w:tcW w:w="5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FY23</w:t>
            </w:r>
          </w:p>
        </w:tc>
        <w:tc>
          <w:tcPr>
            <w:tcW w:w="5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7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14.8</w:t>
            </w: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6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6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6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6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5.8</w:t>
            </w: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11.1</w:t>
            </w:r>
          </w:p>
        </w:tc>
        <w:tc>
          <w:tcPr>
            <w:tcW w:w="6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106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4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r>
      <w:tr>
        <w:trPr>
          <w:trHeight w:val="27"/>
        </w:trPr>
        <w:tc>
          <w:tcPr>
            <w:tcW w:w="1060" w:type="dxa"/>
            <w:vAlign w:val="bottom"/>
            <w:shd w:val="clear" w:color="auto" w:fill="CCEEFF"/>
          </w:tcPr>
          <w:p>
            <w:pPr>
              <w:spacing w:after="0"/>
              <w:rPr>
                <w:sz w:val="2"/>
                <w:szCs w:val="2"/>
                <w:color w:val="auto"/>
              </w:rPr>
            </w:pPr>
          </w:p>
        </w:tc>
        <w:tc>
          <w:tcPr>
            <w:tcW w:w="3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Non-operating income (expense) increased $24.2 million to $20.5 million in Q2 FY24, compared with $(3.7) million in Q1 FY24, primarily due to foreign currency transactions impact, net, driven by favorable movements of the U.S. dollar against the New Taiwan Dollar and the South Korean won. Non-operating income (expense) increased $6.9 million compared with Q2 FY23, primarily due to foreign currency transaction impact, net, driven by favorable movements of the U.S. dollar against the New Taiwan Dollar.</w:t>
      </w:r>
    </w:p>
    <w:p>
      <w:pPr>
        <w:spacing w:after="0" w:line="180" w:lineRule="exact"/>
        <w:rPr>
          <w:sz w:val="20"/>
          <w:szCs w:val="20"/>
          <w:color w:val="auto"/>
        </w:rPr>
      </w:pPr>
    </w:p>
    <w:p>
      <w:pPr>
        <w:ind w:right="140" w:firstLine="333"/>
        <w:spacing w:after="0" w:line="266" w:lineRule="auto"/>
        <w:rPr>
          <w:sz w:val="20"/>
          <w:szCs w:val="20"/>
          <w:color w:val="auto"/>
        </w:rPr>
      </w:pPr>
      <w:r>
        <w:rPr>
          <w:rFonts w:ascii="Times New Roman" w:cs="Times New Roman" w:eastAsia="Times New Roman" w:hAnsi="Times New Roman"/>
          <w:sz w:val="18"/>
          <w:szCs w:val="18"/>
          <w:color w:val="auto"/>
        </w:rPr>
        <w:t>Interest income and other income (expense), net, of $5.8 million in Q2 FY24 increased $0.5 million compared with $5.3 million in Q1 FY24. Interest income and other income (expense), net, increased $2.8 million compared to $3.0 million in Q2 FY23 driven by an increase in time deposits within cash and cash equivalents, and higher interest rates.</w:t>
      </w:r>
    </w:p>
    <w:p>
      <w:pPr>
        <w:spacing w:after="0" w:line="176"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Non-operating income (expense) increased $17.6 million to $16.8 million in YTD FY24, compared with $(0.8) million in YTD FY23, primarily due to foreign currency transactions impact, net, driven by favorable movements of the U.S. dollar against the New Taiwan Dollar and the South Korean won.</w:t>
      </w:r>
    </w:p>
    <w:p>
      <w:pPr>
        <w:spacing w:after="0" w:line="162" w:lineRule="exact"/>
        <w:rPr>
          <w:sz w:val="20"/>
          <w:szCs w:val="20"/>
          <w:color w:val="auto"/>
        </w:rPr>
      </w:pPr>
    </w:p>
    <w:p>
      <w:pPr>
        <w:ind w:right="80" w:firstLine="288"/>
        <w:spacing w:after="0" w:line="282" w:lineRule="auto"/>
        <w:rPr>
          <w:sz w:val="20"/>
          <w:szCs w:val="20"/>
          <w:color w:val="auto"/>
        </w:rPr>
      </w:pPr>
      <w:r>
        <w:rPr>
          <w:rFonts w:ascii="Times New Roman" w:cs="Times New Roman" w:eastAsia="Times New Roman" w:hAnsi="Times New Roman"/>
          <w:sz w:val="18"/>
          <w:szCs w:val="18"/>
          <w:color w:val="auto"/>
        </w:rPr>
        <w:t>Interest income and other income (expense), net, increased to $11.1 million in YTD FY24, compared with $5.6 million in YTD FY23, primarily due to an increase in time deposits within cash invested and higher interest rates.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1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9"/>
        </w:trPr>
        <w:tc>
          <w:tcPr>
            <w:tcW w:w="3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Q2 FY24</w:t>
            </w: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Q1 FY24</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Q2 FY23</w:t>
            </w: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YTD FY24</w:t>
            </w: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YTD FY23</w:t>
            </w:r>
          </w:p>
        </w:tc>
        <w:tc>
          <w:tcPr>
            <w:tcW w:w="160" w:type="dxa"/>
            <w:vAlign w:val="bottom"/>
          </w:tcPr>
          <w:p>
            <w:pPr>
              <w:spacing w:after="0"/>
              <w:rPr>
                <w:sz w:val="24"/>
                <w:szCs w:val="24"/>
                <w:color w:val="auto"/>
              </w:rPr>
            </w:pPr>
          </w:p>
        </w:tc>
      </w:tr>
      <w:tr>
        <w:trPr>
          <w:trHeight w:val="216"/>
        </w:trPr>
        <w:tc>
          <w:tcPr>
            <w:tcW w:w="31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20.2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14.7</w:t>
            </w:r>
          </w:p>
        </w:tc>
        <w:tc>
          <w:tcPr>
            <w:tcW w:w="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33.9</w:t>
            </w:r>
          </w:p>
        </w:tc>
      </w:tr>
      <w:tr>
        <w:trPr>
          <w:trHeight w:val="234"/>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tcPr>
          <w:p>
            <w:pPr>
              <w:spacing w:after="0"/>
              <w:rPr>
                <w:sz w:val="20"/>
                <w:szCs w:val="20"/>
                <w:color w:val="auto"/>
              </w:rPr>
            </w:pPr>
          </w:p>
        </w:tc>
        <w:tc>
          <w:tcPr>
            <w:tcW w:w="116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27.3%</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20"/>
                <w:szCs w:val="20"/>
                <w:color w:val="auto"/>
              </w:rPr>
            </w:pPr>
          </w:p>
        </w:tc>
        <w:tc>
          <w:tcPr>
            <w:tcW w:w="128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0"/>
                <w:szCs w:val="20"/>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w w:val="98"/>
              </w:rPr>
              <w:t>27.8%</w:t>
            </w:r>
          </w:p>
        </w:tc>
      </w:tr>
    </w:tbl>
    <w:p>
      <w:pPr>
        <w:spacing w:after="0" w:line="179" w:lineRule="exact"/>
        <w:rPr>
          <w:sz w:val="20"/>
          <w:szCs w:val="20"/>
          <w:color w:val="auto"/>
        </w:rPr>
      </w:pPr>
    </w:p>
    <w:p>
      <w:pPr>
        <w:ind w:right="88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is sensitive to the jurisdictional mix of earnings, due in part to the non-recognition of tax benefits on losses in jurisdictions with valuation allowances where the tax benefits of the losses are not available.</w:t>
      </w:r>
    </w:p>
    <w:p>
      <w:pPr>
        <w:spacing w:after="0" w:line="162"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 decrease in Q2 FY24, compared with Q1 FY24, is primarily due to changes in the jurisdictional mix of earnings and a decrease in foreign taxes in Q2 FY24.</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effective income tax rate decrease in Q2 FY24, compared with Q2 FY23, is primarily due to changes in the jurisdictional mix of earnings.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effective income tax rate decrease in YTD FY24 compared with YTD FY23, is primarily due to changes in the jurisdictional mix of earnings.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Net income attributable to noncontrolling interests was $20.1 million in Q2 FY24, compared with $12.9 million in Q1 FY24, and $19.3 million in Q2 FY23. The increase from Q1 FY24 to Q2 FY24 resulted from increased net income at our Taiwan-based IC joint venture. Net income attributable to noncontrolling interest was $33.0 million in YTD FY24, compared with $34.3 million in YTD FY23 as a result of decreased net income at our Taiwan-based IC joint venture.</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10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were $493.9 million and $499.3 million as of April 28, 2024, and October 31, 2023, respectively. As of April 28,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total cash and cash equivalents included $469.4 million held by foreign subsidiaries. Net Cash, a non-GAAP financial measure as defined and discussed in the Non-GAAP Financial Measures section below, was $472.1 million and $474.7 million as of April 28, 2024, and October 31, 2023, respectively. Our primary sources of liquidity are our cash on hand and cash we generate from operations. In addition, we currently have approximately $25.0 million of borrowing capacity in China to support local operations. See Note 7 to the condensed consolidated financial statements for additional information on our outstanding debt and currently available financing.</w:t>
      </w:r>
    </w:p>
    <w:p>
      <w:pPr>
        <w:spacing w:after="0" w:line="184"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We continually evaluate alternatives for efficiently funding our capital expenditures and ongoing operations. These reviews may result in our engagement in a variety of investing and financing transactions, in the transfer of cash among subsidiaries, and/or the repatriation of cash to the U.S. The transfer of funds among subsidiaries could be subject to foreign withholding taxes; in certain jurisdictions, repatriation of these funds to the U.S. may subject them to U.S. state income taxes and/or local country withholding taxes. We believe that our liquidity, including available financing, is sufficient to meet our requirements through the next twelve months and thereafter for the foreseeable future. Through the utilization of our existing liquidity, cash we generate from operations, short-term investments, and (potentially) our borrowing capacity under our financing arrangement, we plan to continue to invest in our business, with our investments targeted to align with our customers’ technology road maps. We may also elect to use our cash to reduce our debt through early repayments. In addition, we stand ready to invest in mergers, acquisitions, or strategic partnerships, should a suitable opportunity arise.</w:t>
      </w:r>
    </w:p>
    <w:p>
      <w:pPr>
        <w:spacing w:after="0" w:line="192"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We estimate capital expenditures for full year FY24 will be approximately $140.0 million; these investments will be targeted towards high-end and mainstream IC capacity and efficiency and enable us to support our customers’ near-term demands. As of April 28, 2024, we had outstanding capital commitments of approximately $133.3 million and recognized liabilities related to capital equipment purchases of approximately $18.9 million. Although payment timing could vary, primarily as a result of the timing of tool delivery, installation, and testing, we currently estimate that we will fund $98.0 million of our total $152.2 million committed and recognized obligations for capital expenditures over the next twelve months.</w:t>
      </w:r>
    </w:p>
    <w:p>
      <w:pPr>
        <w:spacing w:after="0" w:line="18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10b5-1 of the Securities Act. This authorization does not obligate the Company to repurchase any dollar amount or number of shares of common stock. The most recent 10b5-1 plan expired on September 15, 2022, and has not been renewed. As of April 28, 2024, our current share repurchase program had approximately $31.7 million remaining under its authorization. Depending on market conditions, we may utilize some or the entire remaining approved amount to reacquire additional shares.</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discussed in Note 6 to the condensed consolidated financial statements DNP, the noncontrolling interest in our China-based joint venture has, under certain circumstances, the right to put its interest in the joint venture to Photronics, or to purchase our interest in the joint venture. Under all such circumstances, the sale of DNP’s interest would be at its ownership percentage of the joint venture’s net book value, with closing to take place within three business days of obtaining required approvals and clearance. As of the date of issuance of this report, DNP had not indicated its intention to exercise this right. As of April 28, 2024, Photronics and DNP each had net investments in this joint venture of approximately $130.1 million.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9"/>
              </w:rPr>
              <w:t>YTD FY24</w:t>
            </w:r>
          </w:p>
        </w:tc>
        <w:tc>
          <w:tcPr>
            <w:tcW w:w="1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YTD FY23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ind w:right="100" w:firstLine="324"/>
        <w:spacing w:after="0" w:line="267" w:lineRule="auto"/>
        <w:rPr>
          <w:sz w:val="20"/>
          <w:szCs w:val="20"/>
          <w:color w:val="auto"/>
        </w:rPr>
      </w:pPr>
      <w:r>
        <w:rPr>
          <w:rFonts w:ascii="Times New Roman" w:cs="Times New Roman" w:eastAsia="Times New Roman" w:hAnsi="Times New Roman"/>
          <w:sz w:val="18"/>
          <w:szCs w:val="18"/>
          <w:u w:val="single" w:color="auto"/>
          <w:color w:val="auto"/>
        </w:rPr>
        <w:t>Operating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cash provided by operating activities</w:t>
      </w:r>
      <w:r>
        <w:rPr>
          <w:rFonts w:ascii="Times New Roman" w:cs="Times New Roman" w:eastAsia="Times New Roman" w:hAnsi="Times New Roman"/>
          <w:sz w:val="18"/>
          <w:szCs w:val="18"/>
          <w:color w:val="auto"/>
        </w:rPr>
        <w:t xml:space="preserve"> reflects net income adjusted for certain non-cash items, including depreciation and amortization, share-based compensation, and the impacts of cash from changes in operating assets and liabilities. Net cash provided by operating activities increased $8.3 million in YTD FY24, compared with YTD FY23.</w:t>
      </w:r>
    </w:p>
    <w:p>
      <w:pPr>
        <w:spacing w:after="0" w:line="173" w:lineRule="exact"/>
        <w:rPr>
          <w:sz w:val="20"/>
          <w:szCs w:val="20"/>
          <w:color w:val="auto"/>
        </w:rPr>
      </w:pPr>
    </w:p>
    <w:p>
      <w:pPr>
        <w:ind w:right="40" w:firstLine="324"/>
        <w:spacing w:after="0" w:line="267" w:lineRule="auto"/>
        <w:rPr>
          <w:sz w:val="20"/>
          <w:szCs w:val="20"/>
          <w:color w:val="auto"/>
        </w:rPr>
      </w:pPr>
      <w:r>
        <w:rPr>
          <w:rFonts w:ascii="Times New Roman" w:cs="Times New Roman" w:eastAsia="Times New Roman" w:hAnsi="Times New Roman"/>
          <w:sz w:val="18"/>
          <w:szCs w:val="18"/>
          <w:u w:val="single" w:color="auto"/>
          <w:color w:val="auto"/>
        </w:rPr>
        <w:t>Investing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cash flows used in investing activities</w:t>
      </w:r>
      <w:r>
        <w:rPr>
          <w:rFonts w:ascii="Times New Roman" w:cs="Times New Roman" w:eastAsia="Times New Roman" w:hAnsi="Times New Roman"/>
          <w:sz w:val="18"/>
          <w:szCs w:val="18"/>
          <w:color w:val="auto"/>
        </w:rPr>
        <w:t xml:space="preserve"> increased $52.4 million in YTD FY24, compared to YTD FY23, primarily driven by an increase of purchases of short-term investments of $56.2 million, purchases of property, plant, and equipment of $5.6 million, and partially offset by proceeds from maturities of short-term investments of $9.2 million.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ind w:right="600" w:firstLine="324"/>
        <w:spacing w:after="0" w:line="284" w:lineRule="auto"/>
        <w:rPr>
          <w:sz w:val="20"/>
          <w:szCs w:val="20"/>
          <w:color w:val="auto"/>
        </w:rPr>
      </w:pPr>
      <w:r>
        <w:rPr>
          <w:rFonts w:ascii="Times New Roman" w:cs="Times New Roman" w:eastAsia="Times New Roman" w:hAnsi="Times New Roman"/>
          <w:sz w:val="18"/>
          <w:szCs w:val="18"/>
          <w:u w:val="single" w:color="auto"/>
          <w:color w:val="auto"/>
        </w:rPr>
        <w:t>Financing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cash used in financing activities</w:t>
      </w:r>
      <w:r>
        <w:rPr>
          <w:rFonts w:ascii="Times New Roman" w:cs="Times New Roman" w:eastAsia="Times New Roman" w:hAnsi="Times New Roman"/>
          <w:sz w:val="18"/>
          <w:szCs w:val="18"/>
          <w:color w:val="auto"/>
        </w:rPr>
        <w:t xml:space="preserve"> decreased by $10.5 million in YTD FY24, compared to YTD FY23, primarily due to decreased debt repayments of $11.9 million.</w:t>
      </w:r>
    </w:p>
    <w:p>
      <w:pPr>
        <w:spacing w:after="0" w:line="160"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increase in our cash balance from YTD FY23 was unfavorably impacted by the effects of exchange rate changes in the amount of $3.8 million in YTD FY24, which was less than the $15.6 million favorable impact of exchange rate changes on our cash balance in YTD FY23.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Non-GAAP Net Income attributable to Photronics, Inc. shareholders, non-GAAP earnings per share and Net Cash are "non-GAAP financial measures" as such term is defined by the SEC and may differ from similarly named non-GAAP financial measures used by other companies. The financial tables below reconcile Photronics, Inc. financial results under GAAP to non-GAAP financial information. We believe these non-GAAP financial measures that exclude certain items are useful for analysts and investors to evaluate our future on-going performance because they enable a more meaningful comparison of our projected performance with our historical results. These non-GAAP metrics are not intended to represent funds available for our discretionary use and are not intended to represent, or be used as a substitute for, net income attributable to Photronics, Inc. shareholders, diluted earnings per share, cash and cash equivalents, or cash flows from operations, as measured under GAAP. The items excluded from these non-GAAP metrics but included in the calculation of their closest GAAP equivalent, are significant components of the condensed consolidated statements of income, condensed consolidated balance sheets and statement of cash flows and must be considered in performing a comprehensive assessment of overall financial performance.</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following table reconciles </w:t>
      </w:r>
      <w:r>
        <w:rPr>
          <w:rFonts w:ascii="Times New Roman" w:cs="Times New Roman" w:eastAsia="Times New Roman" w:hAnsi="Times New Roman"/>
          <w:sz w:val="18"/>
          <w:szCs w:val="18"/>
          <w:i w:val="1"/>
          <w:iCs w:val="1"/>
          <w:color w:val="auto"/>
        </w:rPr>
        <w:t>GAAP to Non-GAAP Income</w:t>
      </w:r>
      <w:r>
        <w:rPr>
          <w:rFonts w:ascii="Times New Roman" w:cs="Times New Roman" w:eastAsia="Times New Roman" w:hAnsi="Times New Roman"/>
          <w:sz w:val="18"/>
          <w:szCs w:val="18"/>
          <w:color w:val="auto"/>
        </w:rPr>
        <w:t xml:space="preserve"> at the balance sheet dates. The columns may not foot due to rounding.</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3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5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00" w:type="dxa"/>
            <w:vAlign w:val="bottom"/>
          </w:tcPr>
          <w:p>
            <w:pPr>
              <w:spacing w:after="0"/>
              <w:rPr>
                <w:sz w:val="16"/>
                <w:szCs w:val="16"/>
                <w:color w:val="auto"/>
              </w:rPr>
            </w:pPr>
          </w:p>
        </w:tc>
        <w:tc>
          <w:tcPr>
            <w:tcW w:w="1220" w:type="dxa"/>
            <w:vAlign w:val="bottom"/>
            <w:gridSpan w:val="2"/>
          </w:tcPr>
          <w:p>
            <w:pPr>
              <w:jc w:val="center"/>
              <w:ind w:right="300"/>
              <w:spacing w:after="0" w:line="194"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60" w:type="dxa"/>
            <w:vAlign w:val="bottom"/>
          </w:tcPr>
          <w:p>
            <w:pPr>
              <w:spacing w:after="0"/>
              <w:rPr>
                <w:sz w:val="16"/>
                <w:szCs w:val="16"/>
                <w:color w:val="auto"/>
              </w:rPr>
            </w:pPr>
          </w:p>
        </w:tc>
        <w:tc>
          <w:tcPr>
            <w:tcW w:w="960" w:type="dxa"/>
            <w:vAlign w:val="bottom"/>
          </w:tcPr>
          <w:p>
            <w:pPr>
              <w:jc w:val="right"/>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3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to Non-GAAP Net Income:</w:t>
            </w:r>
          </w:p>
        </w:tc>
        <w:tc>
          <w:tcPr>
            <w:tcW w:w="1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36,251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39,929</w:t>
            </w: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FX (gain) loss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(14,766)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8,909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(10,718)</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Estimated tax effects of above</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3,743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(2,244)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2,823</w:t>
            </w: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 noncontrolling interest effects of above</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3,489</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(2,939)</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w:t>
            </w:r>
          </w:p>
        </w:tc>
        <w:tc>
          <w:tcPr>
            <w:tcW w:w="0" w:type="dxa"/>
            <w:vAlign w:val="bottom"/>
          </w:tcPr>
          <w:p>
            <w:pPr>
              <w:spacing w:after="0"/>
              <w:rPr>
                <w:sz w:val="1"/>
                <w:szCs w:val="1"/>
                <w:color w:val="auto"/>
              </w:rPr>
            </w:pPr>
          </w:p>
        </w:tc>
      </w:tr>
      <w:tr>
        <w:trPr>
          <w:trHeight w:val="25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9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28,717</w:t>
            </w: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29,906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32,935</w:t>
            </w:r>
          </w:p>
        </w:tc>
        <w:tc>
          <w:tcPr>
            <w:tcW w:w="0" w:type="dxa"/>
            <w:vAlign w:val="bottom"/>
          </w:tcPr>
          <w:p>
            <w:pPr>
              <w:spacing w:after="0"/>
              <w:rPr>
                <w:sz w:val="1"/>
                <w:szCs w:val="1"/>
                <w:color w:val="auto"/>
              </w:rPr>
            </w:pPr>
          </w:p>
        </w:tc>
      </w:tr>
      <w:tr>
        <w:trPr>
          <w:trHeight w:val="217"/>
        </w:trPr>
        <w:tc>
          <w:tcPr>
            <w:tcW w:w="536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Diluted</w:t>
            </w:r>
          </w:p>
        </w:tc>
        <w:tc>
          <w:tcPr>
            <w:tcW w:w="196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62,409</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to Non-GAAP EPS: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GAAP diluted earnings per share</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0.65</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Effects of the above adjustments</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7"/>
        </w:trPr>
        <w:tc>
          <w:tcPr>
            <w:tcW w:w="5360" w:type="dxa"/>
            <w:vAlign w:val="bottom"/>
            <w:shd w:val="clear" w:color="auto" w:fill="CCEEFF"/>
          </w:tcPr>
          <w:p>
            <w:pPr>
              <w:spacing w:after="0"/>
              <w:rPr>
                <w:sz w:val="2"/>
                <w:szCs w:val="2"/>
                <w:color w:val="auto"/>
              </w:rPr>
            </w:pPr>
          </w:p>
        </w:tc>
        <w:tc>
          <w:tcPr>
            <w:tcW w:w="19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19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0.48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1960" w:type="dxa"/>
            <w:vAlign w:val="bottom"/>
            <w:vMerge w:val="restart"/>
          </w:tcPr>
          <w:p>
            <w:pPr>
              <w:jc w:val="right"/>
              <w:ind w:right="1536"/>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536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536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following table reconciles </w:t>
      </w:r>
      <w:r>
        <w:rPr>
          <w:rFonts w:ascii="Times New Roman" w:cs="Times New Roman" w:eastAsia="Times New Roman" w:hAnsi="Times New Roman"/>
          <w:sz w:val="18"/>
          <w:szCs w:val="18"/>
          <w:i w:val="1"/>
          <w:iCs w:val="1"/>
          <w:color w:val="auto"/>
        </w:rPr>
        <w:t>Cash and cash equivalents</w:t>
      </w:r>
      <w:r>
        <w:rPr>
          <w:rFonts w:ascii="Times New Roman" w:cs="Times New Roman" w:eastAsia="Times New Roman" w:hAnsi="Times New Roman"/>
          <w:sz w:val="18"/>
          <w:szCs w:val="18"/>
          <w:color w:val="auto"/>
        </w:rPr>
        <w:t xml:space="preserve"> to Net Cash at the balance sheet dates. The decrease in Net Cash as of April 28, 2024 from October 31, 2023 was primarily driven by purchases of property, plant and equipment, and purchases of short-term investments which was offset by proceeds from maturities of short-term investments and lease payments related to finance type leases. The increase in Net Cash as of October 31, 2023 from April 30,2023 was primarily driven by proceeds from maturities of available-for-sale debt securities, decreased debt repayments and increase in Net cash provided by operating activities, as discussed above. The columns may not foot due to rounding.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68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right"/>
              <w:ind w:right="460"/>
              <w:spacing w:after="0" w:line="194" w:lineRule="exact"/>
              <w:rPr>
                <w:sz w:val="20"/>
                <w:szCs w:val="20"/>
                <w:color w:val="auto"/>
              </w:rPr>
            </w:pPr>
            <w:r>
              <w:rPr>
                <w:rFonts w:ascii="Times New Roman" w:cs="Times New Roman" w:eastAsia="Times New Roman" w:hAnsi="Times New Roman"/>
                <w:sz w:val="18"/>
                <w:szCs w:val="18"/>
                <w:b w:val="1"/>
                <w:bCs w:val="1"/>
                <w:color w:val="auto"/>
              </w:rPr>
              <w:t>April 28,</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60" w:type="dxa"/>
            <w:vAlign w:val="bottom"/>
          </w:tcPr>
          <w:p>
            <w:pPr>
              <w:spacing w:after="0"/>
              <w:rPr>
                <w:sz w:val="16"/>
                <w:szCs w:val="16"/>
                <w:color w:val="auto"/>
              </w:rPr>
            </w:pPr>
          </w:p>
        </w:tc>
        <w:tc>
          <w:tcPr>
            <w:tcW w:w="960" w:type="dxa"/>
            <w:vAlign w:val="bottom"/>
          </w:tcPr>
          <w:p>
            <w:pPr>
              <w:jc w:val="right"/>
              <w:ind w:right="130"/>
              <w:spacing w:after="0" w:line="194" w:lineRule="exact"/>
              <w:rPr>
                <w:sz w:val="20"/>
                <w:szCs w:val="20"/>
                <w:color w:val="auto"/>
              </w:rPr>
            </w:pPr>
            <w:r>
              <w:rPr>
                <w:rFonts w:ascii="Times New Roman" w:cs="Times New Roman" w:eastAsia="Times New Roman" w:hAnsi="Times New Roman"/>
                <w:sz w:val="18"/>
                <w:szCs w:val="18"/>
                <w:b w:val="1"/>
                <w:bCs w:val="1"/>
                <w:color w:val="auto"/>
              </w:rPr>
              <w:t>April 30,</w:t>
            </w:r>
          </w:p>
        </w:tc>
        <w:tc>
          <w:tcPr>
            <w:tcW w:w="100" w:type="dxa"/>
            <w:vAlign w:val="bottom"/>
          </w:tcPr>
          <w:p>
            <w:pPr>
              <w:spacing w:after="0"/>
              <w:rPr>
                <w:sz w:val="16"/>
                <w:szCs w:val="16"/>
                <w:color w:val="auto"/>
              </w:rPr>
            </w:pPr>
          </w:p>
        </w:tc>
      </w:tr>
      <w:tr>
        <w:trPr>
          <w:trHeight w:val="245"/>
        </w:trPr>
        <w:tc>
          <w:tcPr>
            <w:tcW w:w="68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176"/>
        </w:trPr>
        <w:tc>
          <w:tcPr>
            <w:tcW w:w="73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Net Cash</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r>
      <w:tr>
        <w:trPr>
          <w:trHeight w:val="223"/>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r>
      <w:tr>
        <w:trPr>
          <w:trHeight w:val="223"/>
        </w:trPr>
        <w:tc>
          <w:tcPr>
            <w:tcW w:w="732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cash</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24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220" w:type="dxa"/>
            <w:vAlign w:val="bottom"/>
            <w:tcBorders>
              <w:top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00" w:type="dxa"/>
            <w:vAlign w:val="bottom"/>
            <w:tcBorders>
              <w:top w:val="single" w:sz="8" w:color="CCEEFF"/>
            </w:tcBorders>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right="440" w:firstLine="360"/>
        <w:spacing w:after="0" w:line="282" w:lineRule="auto"/>
        <w:rPr>
          <w:sz w:val="20"/>
          <w:szCs w:val="20"/>
          <w:color w:val="auto"/>
        </w:rPr>
      </w:pPr>
      <w:r>
        <w:rPr>
          <w:rFonts w:ascii="Times New Roman" w:cs="Times New Roman" w:eastAsia="Times New Roman" w:hAnsi="Times New Roman"/>
          <w:sz w:val="18"/>
          <w:szCs w:val="18"/>
          <w:color w:val="auto"/>
        </w:rPr>
        <w:t>Our current business outlook and guidance was provided in the Photronics Q2 FY24 earnings release, earnings presentation, and financial results conference call, but is not incorporated herein. These can be accessed in the investor section of our website - www.photronics.com.</w:t>
      </w:r>
    </w:p>
    <w:p>
      <w:pPr>
        <w:spacing w:after="0" w:line="162" w:lineRule="exact"/>
        <w:rPr>
          <w:sz w:val="20"/>
          <w:szCs w:val="20"/>
          <w:color w:val="auto"/>
        </w:rPr>
      </w:pPr>
    </w:p>
    <w:p>
      <w:pPr>
        <w:jc w:val="both"/>
        <w:ind w:right="100" w:firstLine="360"/>
        <w:spacing w:after="0" w:line="266" w:lineRule="auto"/>
        <w:rPr>
          <w:sz w:val="20"/>
          <w:szCs w:val="20"/>
          <w:color w:val="auto"/>
        </w:rPr>
      </w:pPr>
      <w:r>
        <w:rPr>
          <w:rFonts w:ascii="Times New Roman" w:cs="Times New Roman" w:eastAsia="Times New Roman" w:hAnsi="Times New Roman"/>
          <w:sz w:val="18"/>
          <w:szCs w:val="18"/>
          <w:color w:val="auto"/>
        </w:rPr>
        <w:t>Our future results of operations and the other forward-looking statements contained in this filing and in the Photronics Q2 FY24 earnings release, and the related financial results conference call and earnings presentation involve a number of risks and uncertainties, some of which were discussed in Part I, Item 1A of our 2023 Form 10-K. A number of other unforeseeable factors could cause actual results to differ materially from our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280" w:firstLine="378"/>
        <w:spacing w:after="0" w:line="282" w:lineRule="auto"/>
        <w:rPr>
          <w:sz w:val="20"/>
          <w:szCs w:val="20"/>
          <w:color w:val="auto"/>
        </w:rPr>
      </w:pPr>
      <w:r>
        <w:rPr>
          <w:rFonts w:ascii="Times New Roman" w:cs="Times New Roman" w:eastAsia="Times New Roman" w:hAnsi="Times New Roman"/>
          <w:sz w:val="18"/>
          <w:szCs w:val="18"/>
          <w:color w:val="auto"/>
        </w:rPr>
        <w:t>Please refer to Part II, Item 7 of our 2023 Form 10-K for discussion of our critical accounting estimates. There have been no changes to our critical accounting estimates since the filing of our Form 10-K for the year ended October 31,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We conduct business in several major international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RMB, and the Singapore dollar. The functional currencies of our European subsidiaries are the British pound and the euro. In addition, we engage in transactions in, and have exposures to, the Japanese yen.</w:t>
      </w:r>
    </w:p>
    <w:p>
      <w:pPr>
        <w:spacing w:after="0" w:line="183"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18"/>
          <w:szCs w:val="18"/>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purchasing entity. We may also enter into derivative contracts to mitigate our exposure to foreign currency fluctuations when we have a significant purchase obligation, or a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192"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18"/>
          <w:szCs w:val="18"/>
          <w:color w:val="auto"/>
        </w:rPr>
        <w:t>Our primary net foreign currency exposures as of April 28, 2024, included the South Korean won, the Japanese yen, the New Taiwan dollar, the RMB, the Singapore dollar, the British pound sterling, and the euro. As of that date, a 10% adverse movement in the value of currencies different from the functional currencies of our subsidiaries would have resulted in a net unrealized pre-tax loss of $56.4 million, which represents an increase of $1.6 million from our exposure at January 28, 2024. Our most significant exposures at April 28, 2024, were exposures of the South Korean won, the RMB, and the New Taiwan Dollar to the U.S. dollar, which were, respectively, $14.9 million, $9.0 million, and $29.7 million at that date. We do not believe that a 10% change in the exchange rates of non-US dollar currencies, other than the aforementioned currencies and the Japanese yen, would have had a material effect on our April 28, 2024, condensed consolidated financial statements.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60" w:firstLine="360"/>
        <w:spacing w:after="0" w:line="282" w:lineRule="auto"/>
        <w:rPr>
          <w:sz w:val="20"/>
          <w:szCs w:val="20"/>
          <w:color w:val="auto"/>
        </w:rPr>
      </w:pPr>
      <w:r>
        <w:rPr>
          <w:rFonts w:ascii="Times New Roman" w:cs="Times New Roman" w:eastAsia="Times New Roman" w:hAnsi="Times New Roman"/>
          <w:sz w:val="18"/>
          <w:szCs w:val="18"/>
          <w:color w:val="auto"/>
        </w:rPr>
        <w:t>A 10% adverse movement in the interest rates on our variable rate borrowings would not have had a material effect on our April 28, 2024,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180" w:firstLine="330"/>
        <w:spacing w:after="0" w:line="255" w:lineRule="auto"/>
        <w:rPr>
          <w:sz w:val="20"/>
          <w:szCs w:val="20"/>
          <w:color w:val="auto"/>
        </w:rPr>
      </w:pPr>
      <w:r>
        <w:rPr>
          <w:rFonts w:ascii="Times New Roman" w:cs="Times New Roman" w:eastAsia="Times New Roman" w:hAnsi="Times New Roman"/>
          <w:sz w:val="18"/>
          <w:szCs w:val="18"/>
          <w:color w:val="auto"/>
        </w:rPr>
        <w:t>We have established, and currently maintain, disclosure controls and procedures, as such term is defined in Rules 13a-15(e) and 15d-15(e) of the Exchange Act, designed to provide reasonable assurance that information required to be disclosed in reports filed under the Exchange Act, is recorded, processed, summarized, and reported within the time periods specified in the SEC rules and forms, and that such information is accumulated and communicated to management, including our chief executive officer and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89" w:lineRule="exact"/>
        <w:rPr>
          <w:sz w:val="20"/>
          <w:szCs w:val="20"/>
          <w:color w:val="auto"/>
        </w:rPr>
      </w:pPr>
    </w:p>
    <w:p>
      <w:pPr>
        <w:ind w:firstLine="333"/>
        <w:spacing w:after="0" w:line="261"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chief financial officer, evaluated the effectiveness of the design and operation of our disclosure controls and procedures as of the end of the period covered by this report. Based upon that evaluation, our chief executive officer and chief financial officer concluded that our disclosure controls and procedures were effective at a reasonable assurance level as of the end of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80" w:firstLine="222"/>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second fiscal quarter that have materially affected, or are reasonably likely to materially affect, our internal control over financial reporting.</w:t>
      </w:r>
    </w:p>
    <w:p>
      <w:pPr>
        <w:spacing w:after="0" w:line="34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5" w:right="3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Please refer to Note 12 within Item 1 of this report for information on legal proceedings involving the Company.</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There have been no material changes to our risk factors as set forth in “Item 1A. Risk Factors” in our 2023 Form 10-K.</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right="180" w:firstLine="360"/>
        <w:spacing w:after="0" w:line="261"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10b5-1 of the Securities Act. The share repurchase program commenced on September 16, 2020, and all shares repurchased under this program were retired. The following table provides information relating to the Company’s repurchase of common stock for the second fiscal quarter of 2024. This table excludes shares repurchased to settle employee tax withholding related to the vesting of stock awards.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2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4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shares Purchased</w:t>
            </w:r>
          </w:p>
        </w:tc>
        <w:tc>
          <w:tcPr>
            <w:tcW w:w="156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Shares That May</w:t>
            </w:r>
          </w:p>
        </w:tc>
      </w:tr>
      <w:tr>
        <w:trPr>
          <w:trHeight w:val="216"/>
        </w:trPr>
        <w:tc>
          <w:tcPr>
            <w:tcW w:w="4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56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Yet Be Purchased</w:t>
            </w:r>
          </w:p>
        </w:tc>
      </w:tr>
      <w:tr>
        <w:trPr>
          <w:trHeight w:val="216"/>
        </w:trPr>
        <w:tc>
          <w:tcPr>
            <w:tcW w:w="40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245"/>
        </w:trPr>
        <w:tc>
          <w:tcPr>
            <w:tcW w:w="40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4080" w:type="dxa"/>
            <w:vAlign w:val="bottom"/>
          </w:tcPr>
          <w:p>
            <w:pPr>
              <w:spacing w:after="0"/>
              <w:rPr>
                <w:sz w:val="18"/>
                <w:szCs w:val="18"/>
                <w:color w:val="auto"/>
              </w:rPr>
            </w:pPr>
          </w:p>
        </w:tc>
        <w:tc>
          <w:tcPr>
            <w:tcW w:w="258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29, 2024 – February 25, 2024</w:t>
            </w:r>
          </w:p>
        </w:tc>
        <w:tc>
          <w:tcPr>
            <w:tcW w:w="2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February 26, 2024 – March 24, 2024</w:t>
            </w:r>
          </w:p>
        </w:tc>
        <w:tc>
          <w:tcPr>
            <w:tcW w:w="2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25, 2024 – April 28, 2024</w:t>
            </w:r>
          </w:p>
        </w:tc>
        <w:tc>
          <w:tcPr>
            <w:tcW w:w="13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7"/>
        </w:trPr>
        <w:tc>
          <w:tcPr>
            <w:tcW w:w="40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spacing w:after="0"/>
              <w:rPr>
                <w:sz w:val="20"/>
                <w:szCs w:val="20"/>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-10795</wp:posOffset>
            </wp:positionV>
            <wp:extent cx="80581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05815" cy="1714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-10795</wp:posOffset>
            </wp:positionV>
            <wp:extent cx="89154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91540" cy="17145"/>
                    </a:xfrm>
                    <a:prstGeom prst="rect">
                      <a:avLst/>
                    </a:prstGeom>
                    <a:noFill/>
                  </pic:spPr>
                </pic:pic>
              </a:graphicData>
            </a:graphic>
          </wp:anchor>
        </w:drawing>
      </w:r>
    </w:p>
    <w:p>
      <w:pPr>
        <w:ind w:right="320" w:firstLine="45"/>
        <w:spacing w:after="0" w:line="270" w:lineRule="auto"/>
        <w:rPr>
          <w:sz w:val="20"/>
          <w:szCs w:val="20"/>
          <w:color w:val="auto"/>
        </w:rPr>
      </w:pPr>
      <w:r>
        <w:rPr>
          <w:rFonts w:ascii="Times New Roman" w:cs="Times New Roman" w:eastAsia="Times New Roman" w:hAnsi="Times New Roman"/>
          <w:sz w:val="18"/>
          <w:szCs w:val="18"/>
          <w:color w:val="auto"/>
        </w:rPr>
        <w:t>Certain lease arrangements include limitations on the amounts of dividends we may pay. Please refer to Note 7 of the condensed consolidated financial statements for information on these limitations.</w:t>
      </w:r>
    </w:p>
    <w:p>
      <w:pPr>
        <w:spacing w:after="0" w:line="169"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officer, as defined in Rule 16a-1(f) of the Exchange Act, adopted a “Rule 10b5-1 trading arrangement,” as defined in Item 408 of Regulation S-K, as follows: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January 11, 2024, Lucien Bouchard, our Vice President of Global Sales and Global Sales Engineering, adopted a Rule 10b5-1 trading arrangement, (the “Plan”) providing for the sale of an aggregate of up to 9,000 shares of our common stock granted to Mr. Bouchard under our compensation program. The Plan is intended to satisfy the affirmative defense in Rule 10b5-1(c). The first date that sales of any shares are permitted to be sold under the Plan was February 12, 2024. All shares under the Plan have been traded.</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 other officers or directors, as defined in Rule 16a-1(f), adopted and/or terminated a “Rule 10b5-1 trading arrangement” or a “non-Rule 10b5-1 trading arrangement,” as defined in Item 408 of Regulation S-K, during the last fiscal quarter.</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106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920" w:type="dxa"/>
            <w:vAlign w:val="bottom"/>
            <w:gridSpan w:val="3"/>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8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1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gridSpan w:val="2"/>
            <w:vMerge w:val="restart"/>
          </w:tcPr>
          <w:p>
            <w:pPr>
              <w:spacing w:after="0"/>
              <w:rPr>
                <w:sz w:val="15"/>
                <w:szCs w:val="15"/>
                <w:color w:val="auto"/>
              </w:rPr>
            </w:pPr>
          </w:p>
        </w:tc>
        <w:tc>
          <w:tcPr>
            <w:tcW w:w="20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gridSpan w:val="5"/>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Filed or</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10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tcBorders>
              <w:bottom w:val="single" w:sz="8" w:color="auto"/>
            </w:tcBorders>
            <w:gridSpan w:val="2"/>
            <w:vMerge w:val="continue"/>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420" w:type="dxa"/>
            <w:vAlign w:val="bottom"/>
          </w:tcPr>
          <w:p>
            <w:pPr>
              <w:spacing w:after="0"/>
              <w:rPr>
                <w:sz w:val="17"/>
                <w:szCs w:val="17"/>
                <w:color w:val="auto"/>
              </w:rPr>
            </w:pP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360" w:type="dxa"/>
            <w:vAlign w:val="bottom"/>
            <w:gridSpan w:val="2"/>
            <w:vMerge w:val="restart"/>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600" w:type="dxa"/>
            <w:vAlign w:val="bottom"/>
          </w:tcPr>
          <w:p>
            <w:pPr>
              <w:spacing w:after="0"/>
              <w:rPr>
                <w:sz w:val="17"/>
                <w:szCs w:val="17"/>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280" w:type="dxa"/>
            <w:vAlign w:val="bottom"/>
          </w:tcPr>
          <w:p>
            <w:pPr>
              <w:spacing w:after="0"/>
              <w:rPr>
                <w:sz w:val="17"/>
                <w:szCs w:val="17"/>
                <w:color w:val="auto"/>
              </w:rPr>
            </w:pPr>
          </w:p>
        </w:tc>
        <w:tc>
          <w:tcPr>
            <w:tcW w:w="800" w:type="dxa"/>
            <w:vAlign w:val="bottom"/>
            <w:tcBorders>
              <w:bottom w:val="single" w:sz="8" w:color="auto"/>
            </w:tcBorders>
            <w:gridSpan w:val="5"/>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Furnished</w:t>
            </w: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gridSpan w:val="6"/>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2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98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gridSpan w:val="2"/>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60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gridSpan w:val="5"/>
          </w:tcPr>
          <w:p>
            <w:pPr>
              <w:jc w:val="center"/>
              <w:ind w:right="3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453"/>
        </w:trPr>
        <w:tc>
          <w:tcPr>
            <w:tcW w:w="14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120" w:type="dxa"/>
            <w:vAlign w:val="bottom"/>
            <w:gridSpan w:val="4"/>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Certification of Chief Executive Officer pursuant to Rule 13a-</w:t>
            </w: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760" w:type="dxa"/>
            <w:vAlign w:val="bottom"/>
            <w:gridSpan w:val="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120" w:type="dxa"/>
            <w:vAlign w:val="bottom"/>
            <w:gridSpan w:val="4"/>
            <w:shd w:val="clear" w:color="auto" w:fill="CCEEFF"/>
          </w:tcPr>
          <w:p>
            <w:pPr>
              <w:ind w:left="60"/>
              <w:spacing w:after="0" w:line="194" w:lineRule="exact"/>
              <w:rPr>
                <w:sz w:val="20"/>
                <w:szCs w:val="20"/>
                <w:color w:val="auto"/>
              </w:rPr>
            </w:pPr>
            <w:r>
              <w:rPr>
                <w:rFonts w:ascii="Times New Roman" w:cs="Times New Roman" w:eastAsia="Times New Roman" w:hAnsi="Times New Roman"/>
                <w:sz w:val="18"/>
                <w:szCs w:val="18"/>
                <w:color w:val="auto"/>
              </w:rPr>
              <w:t>14(a)/15d-14(a)</w:t>
            </w:r>
          </w:p>
        </w:tc>
        <w:tc>
          <w:tcPr>
            <w:tcW w:w="4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center"/>
              <w:ind w:right="360"/>
              <w:spacing w:after="0" w:line="194"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1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120" w:type="dxa"/>
            <w:vAlign w:val="bottom"/>
            <w:tcBorders>
              <w:top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 the Exchange Act, as adopted pursuant to Section 302 of</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1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4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120" w:type="dxa"/>
            <w:vAlign w:val="bottom"/>
            <w:gridSpan w:val="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Rule 13a-</w:t>
            </w: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center"/>
              <w:ind w:right="36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1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120" w:type="dxa"/>
            <w:vAlign w:val="bottom"/>
            <w:tcBorders>
              <w:top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14(a)/15d-14(a)</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1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 the Exchange Act, as adopted pursuant to Section 302 of</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1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4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120" w:type="dxa"/>
            <w:vAlign w:val="bottom"/>
            <w:gridSpan w:val="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18 U.S.C.</w:t>
            </w: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center"/>
              <w:ind w:right="36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1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120" w:type="dxa"/>
            <w:vAlign w:val="bottom"/>
            <w:tcBorders>
              <w:top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Section 1350, as</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1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4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120" w:type="dxa"/>
            <w:vAlign w:val="bottom"/>
            <w:gridSpan w:val="4"/>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Certification of Chief Financial Officer pursuant to 18 U.S.C. Section</w:t>
            </w:r>
          </w:p>
        </w:tc>
        <w:tc>
          <w:tcPr>
            <w:tcW w:w="4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center"/>
              <w:ind w:right="360"/>
              <w:spacing w:after="0" w:line="17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8"/>
        </w:trPr>
        <w:tc>
          <w:tcPr>
            <w:tcW w:w="14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140" w:type="dxa"/>
            <w:vAlign w:val="bottom"/>
            <w:tcBorders>
              <w:top w:val="single" w:sz="8" w:color="0000EE"/>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120" w:type="dxa"/>
            <w:vAlign w:val="bottom"/>
            <w:tcBorders>
              <w:top w:val="single" w:sz="8" w:color="CCEEFF"/>
            </w:tcBorders>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1350, as</w:t>
            </w:r>
          </w:p>
        </w:tc>
        <w:tc>
          <w:tcPr>
            <w:tcW w:w="4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1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adopted pursuant to Section 906 of the Sarbanes-Oxley Act of 2002.</w:t>
            </w:r>
          </w:p>
        </w:tc>
        <w:tc>
          <w:tcPr>
            <w:tcW w:w="4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5120" w:type="dxa"/>
            <w:vAlign w:val="bottom"/>
            <w:gridSpan w:val="4"/>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 does not</w:t>
            </w: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1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1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4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51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51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51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51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51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4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120" w:type="dxa"/>
            <w:vAlign w:val="bottom"/>
            <w:gridSpan w:val="4"/>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4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12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contained in Exhibit 101)</w:t>
            </w:r>
          </w:p>
        </w:tc>
        <w:tc>
          <w:tcPr>
            <w:tcW w:w="4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60" w:type="dxa"/>
            <w:vAlign w:val="bottom"/>
            <w:gridSpan w:val="4"/>
            <w:shd w:val="clear" w:color="auto" w:fill="CCEEFF"/>
          </w:tcPr>
          <w:p>
            <w:pPr>
              <w:jc w:val="center"/>
              <w:ind w:right="360"/>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570"/>
        </w:trPr>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120" w:type="dxa"/>
            <w:vAlign w:val="bottom"/>
            <w:gridSpan w:val="4"/>
          </w:tcPr>
          <w:p>
            <w:pPr>
              <w:ind w:left="4700"/>
              <w:spacing w:after="0"/>
              <w:rPr>
                <w:sz w:val="20"/>
                <w:szCs w:val="20"/>
                <w:color w:val="auto"/>
              </w:rPr>
            </w:pPr>
            <w:r>
              <w:rPr>
                <w:rFonts w:ascii="Times New Roman" w:cs="Times New Roman" w:eastAsia="Times New Roman" w:hAnsi="Times New Roman"/>
                <w:sz w:val="14"/>
                <w:szCs w:val="14"/>
                <w:color w:val="auto"/>
              </w:rPr>
              <w:t>36</w:t>
            </w: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1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160"/>
        <w:spacing w:after="0"/>
        <w:tabs>
          <w:tab w:leader="none" w:pos="1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16027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60270" cy="17145"/>
                    </a:xfrm>
                    <a:prstGeom prst="rect">
                      <a:avLst/>
                    </a:prstGeom>
                    <a:noFill/>
                  </pic:spPr>
                </pic:pic>
              </a:graphicData>
            </a:graphic>
          </wp:anchor>
        </w:drawing>
      </w:r>
    </w:p>
    <w:p>
      <w:pPr>
        <w:spacing w:after="0" w:line="16" w:lineRule="exact"/>
        <w:rPr>
          <w:sz w:val="20"/>
          <w:szCs w:val="20"/>
          <w:color w:val="auto"/>
        </w:rPr>
      </w:pPr>
    </w:p>
    <w:p>
      <w:pPr>
        <w:jc w:val="center"/>
        <w:ind w:right="6600"/>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jc w:val="center"/>
        <w:ind w:right="6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jc w:val="center"/>
        <w:ind w:right="6600"/>
        <w:spacing w:after="0"/>
        <w:rPr>
          <w:sz w:val="20"/>
          <w:szCs w:val="20"/>
          <w:color w:val="auto"/>
        </w:rPr>
      </w:pPr>
      <w:r>
        <w:rPr>
          <w:rFonts w:ascii="Times New Roman" w:cs="Times New Roman" w:eastAsia="Times New Roman" w:hAnsi="Times New Roman"/>
          <w:sz w:val="18"/>
          <w:szCs w:val="18"/>
          <w:color w:val="auto"/>
        </w:rPr>
        <w:t>Corporate Controller</w:t>
      </w:r>
    </w:p>
    <w:p>
      <w:pPr>
        <w:spacing w:after="0" w:line="9" w:lineRule="exact"/>
        <w:rPr>
          <w:sz w:val="20"/>
          <w:szCs w:val="20"/>
          <w:color w:val="auto"/>
        </w:rPr>
      </w:pPr>
    </w:p>
    <w:p>
      <w:pPr>
        <w:jc w:val="center"/>
        <w:ind w:right="66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jc w:val="center"/>
        <w:ind w:right="660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6, 2024</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Lee, certify that:</w:t>
      </w:r>
    </w:p>
    <w:p>
      <w:pPr>
        <w:spacing w:after="0" w:line="225"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right="100" w:hanging="486"/>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540" w:hanging="486"/>
        <w:spacing w:after="0" w:line="312" w:lineRule="auto"/>
        <w:tabs>
          <w:tab w:leader="none" w:pos="98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120" w:hanging="486"/>
        <w:spacing w:after="0" w:line="266"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40" w:hanging="486"/>
        <w:spacing w:after="0" w:line="282" w:lineRule="auto"/>
        <w:tabs>
          <w:tab w:leader="none" w:pos="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Rivera, certify that:</w:t>
      </w:r>
    </w:p>
    <w:p>
      <w:pPr>
        <w:spacing w:after="0" w:line="225"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25" w:lineRule="exact"/>
        <w:rPr>
          <w:rFonts w:ascii="Times New Roman" w:cs="Times New Roman" w:eastAsia="Times New Roman" w:hAnsi="Times New Roman"/>
          <w:sz w:val="18"/>
          <w:szCs w:val="18"/>
          <w:color w:val="auto"/>
        </w:rPr>
      </w:pPr>
    </w:p>
    <w:p>
      <w:pPr>
        <w:jc w:val="both"/>
        <w:ind w:left="500" w:right="280" w:hanging="492"/>
        <w:spacing w:after="0" w:line="266"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40" w:hanging="492"/>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80" w:hanging="492"/>
        <w:spacing w:after="0" w:line="266"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right="100" w:hanging="486"/>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486"/>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right="540" w:hanging="486"/>
        <w:spacing w:after="0" w:line="312" w:lineRule="auto"/>
        <w:tabs>
          <w:tab w:leader="none" w:pos="98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120" w:hanging="486"/>
        <w:spacing w:after="0" w:line="266"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80" w:hanging="492"/>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486"/>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540" w:hanging="486"/>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Executive Officer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Frank Lee, Chief Executive Officer of Photronics, Inc. (the “Company”), certify, to my knowledge, pursuant to Section 906 of the Sarbanes-Oxley Act of 2002, 18 U.S.C. Section 1350, that:</w:t>
      </w:r>
    </w:p>
    <w:p>
      <w:pPr>
        <w:spacing w:after="0" w:line="162" w:lineRule="exact"/>
        <w:rPr>
          <w:sz w:val="20"/>
          <w:szCs w:val="20"/>
          <w:color w:val="auto"/>
        </w:rPr>
      </w:pPr>
    </w:p>
    <w:p>
      <w:pPr>
        <w:ind w:left="500" w:right="28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April 28, 2024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Financial Officer</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 Eric Rivera, Chief Financial Officer of Photronics, Inc. (the “Company”), certify, to my knowledge, pursuant to Section 906 of the Sarbanes-Oxley Act of 2002, 18 U.S.C. Section 1350, that:</w:t>
      </w:r>
    </w:p>
    <w:p>
      <w:pPr>
        <w:spacing w:after="0" w:line="162" w:lineRule="exact"/>
        <w:rPr>
          <w:sz w:val="20"/>
          <w:szCs w:val="20"/>
          <w:color w:val="auto"/>
        </w:rPr>
      </w:pPr>
    </w:p>
    <w:p>
      <w:pPr>
        <w:ind w:left="500" w:right="28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April 28, 2024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26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2024-06-07T05:23:27Z</dcterms:created>
  <dcterms:modified xsi:type="dcterms:W3CDTF">2024-06-07T05:23:27Z</dcterms:modified>
</cp:coreProperties>
</file>