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 w:lineRule="exact"/>
        <w:rPr>
          <w:sz w:val="24"/>
          <w:szCs w:val="24"/>
          <w:color w:val="auto"/>
        </w:rPr>
      </w:pPr>
    </w:p>
    <w:p>
      <w:pPr>
        <w:ind w:left="3880" w:right="1600" w:hanging="3872"/>
        <w:spacing w:after="0" w:line="266" w:lineRule="auto"/>
        <w:tabs>
          <w:tab w:leader="none" w:pos="503"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 (d) OF THE SECURITIES EXCHANGE ACT OF 1934 For the quarterly period ended April 30, 2023</w:t>
      </w:r>
    </w:p>
    <w:p>
      <w:pPr>
        <w:spacing w:after="0" w:line="176" w:lineRule="exact"/>
        <w:rPr>
          <w:sz w:val="24"/>
          <w:szCs w:val="24"/>
          <w:color w:val="auto"/>
        </w:rPr>
      </w:pPr>
    </w:p>
    <w:p>
      <w:pPr>
        <w:ind w:left="4060" w:right="1580" w:hanging="4052"/>
        <w:spacing w:after="0" w:line="500" w:lineRule="auto"/>
        <w:tabs>
          <w:tab w:leader="none" w:pos="504"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 (d) OF THE SECURITIES EXCHANGE ACT OF 1934 For the transition period from ___ to ___</w:t>
      </w:r>
    </w:p>
    <w:p>
      <w:pPr>
        <w:spacing w:after="0" w:line="1" w:lineRule="exact"/>
        <w:rPr>
          <w:rFonts w:ascii="MS PGothic" w:cs="MS PGothic" w:eastAsia="MS PGothic" w:hAnsi="MS PGothic"/>
          <w:sz w:val="18"/>
          <w:szCs w:val="18"/>
          <w:color w:val="auto"/>
        </w:rPr>
      </w:pPr>
    </w:p>
    <w:p>
      <w:pPr>
        <w:ind w:left="426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001-39063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3305175</wp:posOffset>
            </wp:positionH>
            <wp:positionV relativeFrom="paragraph">
              <wp:posOffset>154305</wp:posOffset>
            </wp:positionV>
            <wp:extent cx="531495" cy="5740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1495" cy="5740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PHOTRONICS,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0" w:type="dxa"/>
        <w:tblCellMar>
          <w:top w:w="0" w:type="dxa"/>
          <w:left w:w="0" w:type="dxa"/>
          <w:bottom w:w="0" w:type="dxa"/>
          <w:right w:w="0" w:type="dxa"/>
        </w:tblCellMar>
      </w:tblPr>
      <w:tr>
        <w:trPr>
          <w:trHeight w:val="220"/>
        </w:trPr>
        <w:tc>
          <w:tcPr>
            <w:tcW w:w="4920" w:type="dxa"/>
            <w:vAlign w:val="bottom"/>
            <w:gridSpan w:val="2"/>
          </w:tcPr>
          <w:p>
            <w:pPr>
              <w:jc w:val="center"/>
              <w:ind w:left="510"/>
              <w:spacing w:after="0"/>
              <w:rPr>
                <w:sz w:val="20"/>
                <w:szCs w:val="20"/>
                <w:color w:val="auto"/>
              </w:rPr>
            </w:pPr>
            <w:r>
              <w:rPr>
                <w:rFonts w:ascii="Arial" w:cs="Arial" w:eastAsia="Arial" w:hAnsi="Arial"/>
                <w:sz w:val="18"/>
                <w:szCs w:val="18"/>
                <w:b w:val="1"/>
                <w:bCs w:val="1"/>
                <w:color w:val="auto"/>
                <w:w w:val="88"/>
              </w:rPr>
              <w:t>Connecticut</w:t>
            </w:r>
          </w:p>
        </w:tc>
        <w:tc>
          <w:tcPr>
            <w:tcW w:w="1860" w:type="dxa"/>
            <w:vAlign w:val="bottom"/>
          </w:tcPr>
          <w:p>
            <w:pPr>
              <w:spacing w:after="0"/>
              <w:rPr>
                <w:sz w:val="19"/>
                <w:szCs w:val="19"/>
                <w:color w:val="auto"/>
              </w:rPr>
            </w:pPr>
          </w:p>
        </w:tc>
        <w:tc>
          <w:tcPr>
            <w:tcW w:w="4460" w:type="dxa"/>
            <w:vAlign w:val="bottom"/>
            <w:gridSpan w:val="2"/>
          </w:tcPr>
          <w:p>
            <w:pPr>
              <w:jc w:val="center"/>
              <w:ind w:right="950"/>
              <w:spacing w:after="0"/>
              <w:rPr>
                <w:sz w:val="20"/>
                <w:szCs w:val="20"/>
                <w:color w:val="auto"/>
              </w:rPr>
            </w:pPr>
            <w:r>
              <w:rPr>
                <w:rFonts w:ascii="Arial" w:cs="Arial" w:eastAsia="Arial" w:hAnsi="Arial"/>
                <w:sz w:val="18"/>
                <w:szCs w:val="18"/>
                <w:b w:val="1"/>
                <w:bCs w:val="1"/>
                <w:color w:val="auto"/>
                <w:w w:val="89"/>
              </w:rPr>
              <w:t>06-0854886</w:t>
            </w:r>
          </w:p>
        </w:tc>
      </w:tr>
      <w:tr>
        <w:trPr>
          <w:trHeight w:val="230"/>
        </w:trPr>
        <w:tc>
          <w:tcPr>
            <w:tcW w:w="4920" w:type="dxa"/>
            <w:vAlign w:val="bottom"/>
            <w:gridSpan w:val="2"/>
          </w:tcPr>
          <w:p>
            <w:pPr>
              <w:jc w:val="center"/>
              <w:ind w:left="51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1860" w:type="dxa"/>
            <w:vAlign w:val="bottom"/>
          </w:tcPr>
          <w:p>
            <w:pPr>
              <w:spacing w:after="0"/>
              <w:rPr>
                <w:sz w:val="20"/>
                <w:szCs w:val="20"/>
                <w:color w:val="auto"/>
              </w:rPr>
            </w:pPr>
          </w:p>
        </w:tc>
        <w:tc>
          <w:tcPr>
            <w:tcW w:w="4460" w:type="dxa"/>
            <w:vAlign w:val="bottom"/>
            <w:gridSpan w:val="2"/>
          </w:tcPr>
          <w:p>
            <w:pPr>
              <w:jc w:val="center"/>
              <w:ind w:right="970"/>
              <w:spacing w:after="0"/>
              <w:rPr>
                <w:sz w:val="20"/>
                <w:szCs w:val="20"/>
                <w:color w:val="auto"/>
              </w:rPr>
            </w:pPr>
            <w:r>
              <w:rPr>
                <w:rFonts w:ascii="Arial" w:cs="Arial" w:eastAsia="Arial" w:hAnsi="Arial"/>
                <w:sz w:val="18"/>
                <w:szCs w:val="18"/>
                <w:color w:val="auto"/>
                <w:w w:val="94"/>
              </w:rPr>
              <w:t>(IRS Employer Identification No.)</w:t>
            </w:r>
          </w:p>
        </w:tc>
      </w:tr>
      <w:tr>
        <w:trPr>
          <w:trHeight w:val="418"/>
        </w:trPr>
        <w:tc>
          <w:tcPr>
            <w:tcW w:w="4920" w:type="dxa"/>
            <w:vAlign w:val="bottom"/>
            <w:gridSpan w:val="2"/>
          </w:tcPr>
          <w:p>
            <w:pPr>
              <w:jc w:val="center"/>
              <w:ind w:left="510"/>
              <w:spacing w:after="0"/>
              <w:rPr>
                <w:sz w:val="20"/>
                <w:szCs w:val="20"/>
                <w:color w:val="auto"/>
              </w:rPr>
            </w:pPr>
            <w:r>
              <w:rPr>
                <w:rFonts w:ascii="Arial" w:cs="Arial" w:eastAsia="Arial" w:hAnsi="Arial"/>
                <w:sz w:val="18"/>
                <w:szCs w:val="18"/>
                <w:b w:val="1"/>
                <w:bCs w:val="1"/>
                <w:color w:val="auto"/>
                <w:w w:val="89"/>
              </w:rPr>
              <w:t>15 Secor Road, Brookfield, Connecticut</w:t>
            </w:r>
          </w:p>
        </w:tc>
        <w:tc>
          <w:tcPr>
            <w:tcW w:w="1860" w:type="dxa"/>
            <w:vAlign w:val="bottom"/>
          </w:tcPr>
          <w:p>
            <w:pPr>
              <w:spacing w:after="0"/>
              <w:rPr>
                <w:sz w:val="24"/>
                <w:szCs w:val="24"/>
                <w:color w:val="auto"/>
              </w:rPr>
            </w:pPr>
          </w:p>
        </w:tc>
        <w:tc>
          <w:tcPr>
            <w:tcW w:w="4460" w:type="dxa"/>
            <w:vAlign w:val="bottom"/>
            <w:gridSpan w:val="2"/>
          </w:tcPr>
          <w:p>
            <w:pPr>
              <w:jc w:val="center"/>
              <w:ind w:right="950"/>
              <w:spacing w:after="0"/>
              <w:rPr>
                <w:sz w:val="20"/>
                <w:szCs w:val="20"/>
                <w:color w:val="auto"/>
              </w:rPr>
            </w:pPr>
            <w:r>
              <w:rPr>
                <w:rFonts w:ascii="Arial" w:cs="Arial" w:eastAsia="Arial" w:hAnsi="Arial"/>
                <w:sz w:val="18"/>
                <w:szCs w:val="18"/>
                <w:b w:val="1"/>
                <w:bCs w:val="1"/>
                <w:color w:val="auto"/>
                <w:w w:val="91"/>
              </w:rPr>
              <w:t>06804</w:t>
            </w:r>
          </w:p>
        </w:tc>
      </w:tr>
      <w:tr>
        <w:trPr>
          <w:trHeight w:val="230"/>
        </w:trPr>
        <w:tc>
          <w:tcPr>
            <w:tcW w:w="4920" w:type="dxa"/>
            <w:vAlign w:val="bottom"/>
            <w:gridSpan w:val="2"/>
          </w:tcPr>
          <w:p>
            <w:pPr>
              <w:jc w:val="center"/>
              <w:ind w:left="510"/>
              <w:spacing w:after="0"/>
              <w:rPr>
                <w:sz w:val="20"/>
                <w:szCs w:val="20"/>
                <w:color w:val="auto"/>
              </w:rPr>
            </w:pPr>
            <w:r>
              <w:rPr>
                <w:rFonts w:ascii="Arial" w:cs="Arial" w:eastAsia="Arial" w:hAnsi="Arial"/>
                <w:sz w:val="18"/>
                <w:szCs w:val="18"/>
                <w:color w:val="auto"/>
                <w:w w:val="92"/>
              </w:rPr>
              <w:t>(Address of principal executive offices)</w:t>
            </w:r>
          </w:p>
        </w:tc>
        <w:tc>
          <w:tcPr>
            <w:tcW w:w="18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700" w:type="dxa"/>
            <w:vAlign w:val="bottom"/>
          </w:tcPr>
          <w:p>
            <w:pPr>
              <w:jc w:val="center"/>
              <w:ind w:right="1710"/>
              <w:spacing w:after="0"/>
              <w:rPr>
                <w:sz w:val="20"/>
                <w:szCs w:val="20"/>
                <w:color w:val="auto"/>
              </w:rPr>
            </w:pPr>
            <w:r>
              <w:rPr>
                <w:rFonts w:ascii="Arial" w:cs="Arial" w:eastAsia="Arial" w:hAnsi="Arial"/>
                <w:sz w:val="18"/>
                <w:szCs w:val="18"/>
                <w:color w:val="auto"/>
                <w:w w:val="91"/>
              </w:rPr>
              <w:t>(Zip Code)</w:t>
            </w:r>
          </w:p>
        </w:tc>
      </w:tr>
      <w:tr>
        <w:trPr>
          <w:trHeight w:val="432"/>
        </w:trPr>
        <w:tc>
          <w:tcPr>
            <w:tcW w:w="4920" w:type="dxa"/>
            <w:vAlign w:val="bottom"/>
            <w:gridSpan w:val="2"/>
          </w:tcPr>
          <w:p>
            <w:pPr>
              <w:jc w:val="center"/>
              <w:ind w:left="510"/>
              <w:spacing w:after="0"/>
              <w:rPr>
                <w:sz w:val="20"/>
                <w:szCs w:val="20"/>
                <w:color w:val="auto"/>
              </w:rPr>
            </w:pPr>
            <w:r>
              <w:rPr>
                <w:rFonts w:ascii="Arial" w:cs="Arial" w:eastAsia="Arial" w:hAnsi="Arial"/>
                <w:sz w:val="18"/>
                <w:szCs w:val="18"/>
                <w:color w:val="auto"/>
                <w:w w:val="89"/>
              </w:rPr>
              <w:t>Registrant’s telephone number, including area code</w:t>
            </w:r>
          </w:p>
        </w:tc>
        <w:tc>
          <w:tcPr>
            <w:tcW w:w="1860" w:type="dxa"/>
            <w:vAlign w:val="bottom"/>
          </w:tcPr>
          <w:p>
            <w:pPr>
              <w:spacing w:after="0"/>
              <w:rPr>
                <w:sz w:val="24"/>
                <w:szCs w:val="24"/>
                <w:color w:val="auto"/>
              </w:rPr>
            </w:pPr>
          </w:p>
        </w:tc>
        <w:tc>
          <w:tcPr>
            <w:tcW w:w="4460" w:type="dxa"/>
            <w:vAlign w:val="bottom"/>
            <w:gridSpan w:val="2"/>
          </w:tcPr>
          <w:p>
            <w:pPr>
              <w:jc w:val="center"/>
              <w:ind w:right="950"/>
              <w:spacing w:after="0"/>
              <w:rPr>
                <w:sz w:val="20"/>
                <w:szCs w:val="20"/>
                <w:color w:val="auto"/>
              </w:rPr>
            </w:pPr>
            <w:r>
              <w:rPr>
                <w:rFonts w:ascii="Arial" w:cs="Arial" w:eastAsia="Arial" w:hAnsi="Arial"/>
                <w:sz w:val="18"/>
                <w:szCs w:val="18"/>
                <w:b w:val="1"/>
                <w:bCs w:val="1"/>
                <w:color w:val="auto"/>
                <w:w w:val="92"/>
              </w:rPr>
              <w:t>(203) 775-9000</w:t>
            </w:r>
          </w:p>
        </w:tc>
      </w:tr>
      <w:tr>
        <w:trPr>
          <w:trHeight w:val="432"/>
        </w:trPr>
        <w:tc>
          <w:tcPr>
            <w:tcW w:w="11240" w:type="dxa"/>
            <w:vAlign w:val="bottom"/>
            <w:gridSpan w:val="5"/>
          </w:tcPr>
          <w:p>
            <w:pPr>
              <w:jc w:val="center"/>
              <w:spacing w:after="0"/>
              <w:rPr>
                <w:sz w:val="20"/>
                <w:szCs w:val="20"/>
                <w:color w:val="auto"/>
              </w:rPr>
            </w:pPr>
            <w:r>
              <w:rPr>
                <w:rFonts w:ascii="Arial" w:cs="Arial" w:eastAsia="Arial" w:hAnsi="Arial"/>
                <w:sz w:val="18"/>
                <w:szCs w:val="18"/>
                <w:color w:val="231F20"/>
                <w:w w:val="90"/>
              </w:rPr>
              <w:t>Securities registered pursuant to Section 12(b) of the Act:</w:t>
            </w:r>
          </w:p>
        </w:tc>
      </w:tr>
      <w:tr>
        <w:trPr>
          <w:trHeight w:val="223"/>
        </w:trPr>
        <w:tc>
          <w:tcPr>
            <w:tcW w:w="37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700" w:type="dxa"/>
            <w:vAlign w:val="bottom"/>
            <w:tcBorders>
              <w:bottom w:val="single" w:sz="8" w:color="auto"/>
            </w:tcBorders>
          </w:tcPr>
          <w:p>
            <w:pPr>
              <w:spacing w:after="0"/>
              <w:rPr>
                <w:sz w:val="19"/>
                <w:szCs w:val="19"/>
                <w:color w:val="auto"/>
              </w:rPr>
            </w:pPr>
          </w:p>
        </w:tc>
      </w:tr>
      <w:tr>
        <w:trPr>
          <w:trHeight w:val="223"/>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231F20"/>
                <w:w w:val="90"/>
              </w:rPr>
              <w:t>Title of each class</w:t>
            </w:r>
          </w:p>
        </w:tc>
        <w:tc>
          <w:tcPr>
            <w:tcW w:w="11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center"/>
              <w:ind w:right="370"/>
              <w:spacing w:after="0"/>
              <w:rPr>
                <w:sz w:val="20"/>
                <w:szCs w:val="20"/>
                <w:color w:val="auto"/>
              </w:rPr>
            </w:pPr>
            <w:r>
              <w:rPr>
                <w:rFonts w:ascii="Arial" w:cs="Arial" w:eastAsia="Arial" w:hAnsi="Arial"/>
                <w:sz w:val="18"/>
                <w:szCs w:val="18"/>
                <w:color w:val="231F20"/>
                <w:w w:val="92"/>
              </w:rPr>
              <w:t>Trading Symbol(s)</w:t>
            </w:r>
          </w:p>
        </w:tc>
        <w:tc>
          <w:tcPr>
            <w:tcW w:w="760" w:type="dxa"/>
            <w:vAlign w:val="bottom"/>
            <w:tcBorders>
              <w:bottom w:val="single" w:sz="8" w:color="auto"/>
              <w:right w:val="single" w:sz="8" w:color="auto"/>
            </w:tcBorders>
          </w:tcPr>
          <w:p>
            <w:pPr>
              <w:spacing w:after="0"/>
              <w:rPr>
                <w:sz w:val="19"/>
                <w:szCs w:val="19"/>
                <w:color w:val="auto"/>
              </w:rPr>
            </w:pPr>
          </w:p>
        </w:tc>
        <w:tc>
          <w:tcPr>
            <w:tcW w:w="3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231F20"/>
                <w:w w:val="89"/>
              </w:rPr>
              <w:t>Name of each exchange on which registered</w:t>
            </w:r>
          </w:p>
        </w:tc>
      </w:tr>
      <w:tr>
        <w:trPr>
          <w:trHeight w:val="223"/>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COMMON</w:t>
            </w:r>
          </w:p>
        </w:tc>
        <w:tc>
          <w:tcPr>
            <w:tcW w:w="11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center"/>
              <w:ind w:right="350"/>
              <w:spacing w:after="0"/>
              <w:rPr>
                <w:sz w:val="20"/>
                <w:szCs w:val="20"/>
                <w:color w:val="auto"/>
              </w:rPr>
            </w:pPr>
            <w:r>
              <w:rPr>
                <w:rFonts w:ascii="Arial" w:cs="Arial" w:eastAsia="Arial" w:hAnsi="Arial"/>
                <w:sz w:val="18"/>
                <w:szCs w:val="18"/>
                <w:color w:val="auto"/>
                <w:w w:val="99"/>
              </w:rPr>
              <w:t>PLAB</w:t>
            </w:r>
          </w:p>
        </w:tc>
        <w:tc>
          <w:tcPr>
            <w:tcW w:w="760" w:type="dxa"/>
            <w:vAlign w:val="bottom"/>
            <w:tcBorders>
              <w:bottom w:val="single" w:sz="8" w:color="auto"/>
              <w:right w:val="single" w:sz="8" w:color="auto"/>
            </w:tcBorders>
          </w:tcPr>
          <w:p>
            <w:pPr>
              <w:spacing w:after="0"/>
              <w:rPr>
                <w:sz w:val="19"/>
                <w:szCs w:val="19"/>
                <w:color w:val="auto"/>
              </w:rPr>
            </w:pPr>
          </w:p>
        </w:tc>
        <w:tc>
          <w:tcPr>
            <w:tcW w:w="3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NASDAQ Global Select Market</w:t>
            </w:r>
          </w:p>
        </w:tc>
      </w:tr>
    </w:tbl>
    <w:p>
      <w:pPr>
        <w:spacing w:after="0" w:line="202" w:lineRule="exact"/>
        <w:rPr>
          <w:sz w:val="24"/>
          <w:szCs w:val="24"/>
          <w:color w:val="auto"/>
        </w:rPr>
      </w:pPr>
    </w:p>
    <w:p>
      <w:pPr>
        <w:jc w:val="both"/>
        <w:ind w:right="30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periods that the registrant was required to file such reports), and (2) has been subject to such filing requirements for the past 90 days.</w:t>
      </w:r>
    </w:p>
    <w:p>
      <w:pPr>
        <w:ind w:left="10260"/>
        <w:spacing w:after="0" w:line="184" w:lineRule="exact"/>
        <w:rPr>
          <w:sz w:val="20"/>
          <w:szCs w:val="20"/>
          <w:color w:val="auto"/>
        </w:rPr>
      </w:pPr>
      <w:r>
        <w:rPr>
          <w:rFonts w:ascii="Arial" w:cs="Arial" w:eastAsia="Arial" w:hAnsi="Arial"/>
          <w:sz w:val="16"/>
          <w:szCs w:val="16"/>
          <w:b w:val="1"/>
          <w:bCs w:val="1"/>
          <w:color w:val="auto"/>
        </w:rPr>
        <w:t xml:space="preserve">Yes </w:t>
      </w: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 xml:space="preserve"> No </w:t>
      </w:r>
      <w:r>
        <w:rPr>
          <w:rFonts w:ascii="MS PGothic" w:cs="MS PGothic" w:eastAsia="MS PGothic" w:hAnsi="MS PGothic"/>
          <w:sz w:val="16"/>
          <w:szCs w:val="16"/>
          <w:color w:val="auto"/>
          <w:highlight w:val="black"/>
        </w:rPr>
        <w:t>☐</w:t>
      </w:r>
    </w:p>
    <w:p>
      <w:pPr>
        <w:spacing w:after="0" w:line="239" w:lineRule="exact"/>
        <w:rPr>
          <w:sz w:val="24"/>
          <w:szCs w:val="24"/>
          <w:color w:val="auto"/>
        </w:rPr>
      </w:pPr>
    </w:p>
    <w:p>
      <w:pPr>
        <w:jc w:val="both"/>
        <w:ind w:right="300"/>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w:t>
      </w:r>
    </w:p>
    <w:p>
      <w:pPr>
        <w:ind w:left="10260"/>
        <w:spacing w:after="0" w:line="184" w:lineRule="exact"/>
        <w:rPr>
          <w:sz w:val="20"/>
          <w:szCs w:val="20"/>
          <w:color w:val="auto"/>
        </w:rPr>
      </w:pPr>
      <w:r>
        <w:rPr>
          <w:rFonts w:ascii="Arial" w:cs="Arial" w:eastAsia="Arial" w:hAnsi="Arial"/>
          <w:sz w:val="16"/>
          <w:szCs w:val="16"/>
          <w:b w:val="1"/>
          <w:bCs w:val="1"/>
          <w:color w:val="auto"/>
        </w:rPr>
        <w:t xml:space="preserve">Yes </w:t>
      </w: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 xml:space="preserve"> No </w:t>
      </w:r>
      <w:r>
        <w:rPr>
          <w:rFonts w:ascii="MS PGothic" w:cs="MS PGothic" w:eastAsia="MS PGothic" w:hAnsi="MS PGothic"/>
          <w:sz w:val="16"/>
          <w:szCs w:val="16"/>
          <w:color w:val="auto"/>
          <w:highlight w:val="black"/>
        </w:rPr>
        <w:t>☐</w:t>
      </w:r>
    </w:p>
    <w:p>
      <w:pPr>
        <w:spacing w:after="0" w:line="239" w:lineRule="exact"/>
        <w:rPr>
          <w:sz w:val="24"/>
          <w:szCs w:val="24"/>
          <w:color w:val="auto"/>
        </w:rPr>
      </w:pPr>
    </w:p>
    <w:p>
      <w:pPr>
        <w:ind w:right="3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576" w:right="339" w:bottom="1440" w:gutter="0" w:footer="0" w:header="0"/>
        </w:sectPr>
      </w:pPr>
    </w:p>
    <w:p>
      <w:pPr>
        <w:spacing w:after="0" w:line="13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Large Accelerated Filer</w:t>
      </w:r>
      <w:r>
        <w:rPr>
          <w:rFonts w:ascii="MS PGothic" w:cs="MS PGothic" w:eastAsia="MS PGothic" w:hAnsi="MS PGothic"/>
          <w:sz w:val="16"/>
          <w:szCs w:val="16"/>
          <w:color w:val="auto"/>
          <w:highlight w:val="black"/>
        </w:rPr>
        <w:t>☒</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ind w:firstLine="45"/>
        <w:spacing w:after="0" w:line="342" w:lineRule="auto"/>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spacing w:after="0" w:line="308" w:lineRule="auto"/>
        <w:rPr>
          <w:sz w:val="20"/>
          <w:szCs w:val="20"/>
          <w:color w:val="auto"/>
        </w:rPr>
      </w:pPr>
      <w:r>
        <w:rPr>
          <w:rFonts w:ascii="Arial" w:cs="Arial" w:eastAsia="Arial" w:hAnsi="Arial"/>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jc w:val="center"/>
        <w:ind w:right="400"/>
        <w:spacing w:after="0" w:line="161" w:lineRule="exact"/>
        <w:rPr>
          <w:sz w:val="20"/>
          <w:szCs w:val="20"/>
          <w:color w:val="auto"/>
        </w:rPr>
      </w:pPr>
      <w:r>
        <w:rPr>
          <w:rFonts w:ascii="MS PGothic" w:cs="MS PGothic" w:eastAsia="MS PGothic" w:hAnsi="MS PGothic"/>
          <w:sz w:val="16"/>
          <w:szCs w:val="16"/>
          <w:color w:val="auto"/>
        </w:rPr>
        <w:t>☐</w:t>
      </w:r>
    </w:p>
    <w:p>
      <w:pPr>
        <w:spacing w:after="0" w:line="533" w:lineRule="exact"/>
        <w:rPr>
          <w:sz w:val="24"/>
          <w:szCs w:val="24"/>
          <w:color w:val="auto"/>
        </w:rPr>
      </w:pPr>
    </w:p>
    <w:p>
      <w:pPr>
        <w:sectPr>
          <w:pgSz w:w="11900" w:h="16838" w:orient="portrait"/>
          <w:cols w:equalWidth="0" w:num="9">
            <w:col w:w="1880" w:space="380"/>
            <w:col w:w="1240" w:space="460"/>
            <w:col w:w="160" w:space="380"/>
            <w:col w:w="1600" w:space="100"/>
            <w:col w:w="160" w:space="380"/>
            <w:col w:w="1360" w:space="340"/>
            <w:col w:w="160" w:space="380"/>
            <w:col w:w="1300" w:space="400"/>
            <w:col w:w="560"/>
          </w:cols>
          <w:pgMar w:left="320" w:top="576" w:right="339" w:bottom="1440" w:gutter="0" w:footer="0" w:header="0"/>
          <w:type w:val="continuous"/>
        </w:sect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highlight w:val="black"/>
        </w:rPr>
        <w:t>☒</w:t>
      </w:r>
    </w:p>
    <w:p>
      <w:pPr>
        <w:spacing w:after="0" w:line="216" w:lineRule="exact"/>
        <w:rPr>
          <w:sz w:val="24"/>
          <w:szCs w:val="24"/>
          <w:color w:val="auto"/>
        </w:rPr>
      </w:pPr>
    </w:p>
    <w:p>
      <w:pPr>
        <w:spacing w:after="0"/>
        <w:rPr>
          <w:sz w:val="20"/>
          <w:szCs w:val="20"/>
          <w:color w:val="auto"/>
        </w:rPr>
      </w:pPr>
      <w:r>
        <w:rPr>
          <w:rFonts w:ascii="Arial" w:cs="Arial" w:eastAsia="Arial" w:hAnsi="Arial"/>
          <w:sz w:val="18"/>
          <w:szCs w:val="18"/>
          <w:color w:val="auto"/>
        </w:rPr>
        <w:t>The registrant had 62,518,181 shares of common stock outstanding as of June 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PHOTRONICS,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April 30, 2023</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580" w:type="dxa"/>
            <w:vAlign w:val="bottom"/>
            <w:gridSpan w:val="18"/>
            <w:shd w:val="clear" w:color="auto" w:fill="CCEEFF"/>
          </w:tcPr>
          <w:p>
            <w:pPr>
              <w:spacing w:after="0"/>
              <w:rPr>
                <w:sz w:val="20"/>
                <w:szCs w:val="20"/>
                <w:color w:val="auto"/>
              </w:rPr>
            </w:pPr>
            <w:r>
              <w:rPr>
                <w:rFonts w:ascii="Arial" w:cs="Arial" w:eastAsia="Arial" w:hAnsi="Arial"/>
                <w:sz w:val="18"/>
                <w:szCs w:val="18"/>
                <w:color w:val="0000EE"/>
              </w:rPr>
              <w:t>Glossary of Terms and Acronyms</w:t>
            </w:r>
          </w:p>
        </w:tc>
        <w:tc>
          <w:tcPr>
            <w:tcW w:w="3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140" w:type="dxa"/>
            <w:vAlign w:val="bottom"/>
            <w:tcBorders>
              <w:top w:val="single" w:sz="8" w:color="0000EE"/>
            </w:tcBorders>
            <w:gridSpan w:val="2"/>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3660" w:type="dxa"/>
            <w:vAlign w:val="bottom"/>
            <w:tcBorders>
              <w:top w:val="single" w:sz="8" w:color="CCEEFF"/>
            </w:tcBorders>
          </w:tcPr>
          <w:p>
            <w:pPr>
              <w:spacing w:after="0"/>
              <w:rPr>
                <w:sz w:val="18"/>
                <w:szCs w:val="18"/>
                <w:color w:val="auto"/>
              </w:rPr>
            </w:pPr>
          </w:p>
        </w:tc>
      </w:tr>
      <w:tr>
        <w:trPr>
          <w:trHeight w:val="196"/>
        </w:trPr>
        <w:tc>
          <w:tcPr>
            <w:tcW w:w="7580" w:type="dxa"/>
            <w:vAlign w:val="bottom"/>
            <w:gridSpan w:val="18"/>
            <w:shd w:val="clear" w:color="auto" w:fill="CCEEFF"/>
          </w:tcPr>
          <w:p>
            <w:pPr>
              <w:spacing w:after="0" w:line="176" w:lineRule="exact"/>
              <w:rPr>
                <w:sz w:val="20"/>
                <w:szCs w:val="20"/>
                <w:color w:val="auto"/>
              </w:rPr>
            </w:pPr>
            <w:r>
              <w:rPr>
                <w:rFonts w:ascii="Arial" w:cs="Arial" w:eastAsia="Arial" w:hAnsi="Arial"/>
                <w:sz w:val="18"/>
                <w:szCs w:val="18"/>
                <w:color w:val="0000EE"/>
              </w:rPr>
              <w:t>Forward-Looking Statements</w:t>
            </w:r>
          </w:p>
        </w:tc>
        <w:tc>
          <w:tcPr>
            <w:tcW w:w="3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r>
      <w:tr>
        <w:trPr>
          <w:trHeight w:val="216"/>
        </w:trPr>
        <w:tc>
          <w:tcPr>
            <w:tcW w:w="9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3660" w:type="dxa"/>
            <w:vAlign w:val="bottom"/>
            <w:tcBorders>
              <w:top w:val="single" w:sz="8" w:color="CCEEFF"/>
            </w:tcBorders>
          </w:tcPr>
          <w:p>
            <w:pPr>
              <w:spacing w:after="0"/>
              <w:rPr>
                <w:sz w:val="18"/>
                <w:szCs w:val="18"/>
                <w:color w:val="auto"/>
              </w:rPr>
            </w:pPr>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w:t>
            </w:r>
          </w:p>
        </w:tc>
        <w:tc>
          <w:tcPr>
            <w:tcW w:w="6660" w:type="dxa"/>
            <w:vAlign w:val="bottom"/>
            <w:gridSpan w:val="17"/>
            <w:shd w:val="clear" w:color="auto" w:fill="CCEEFF"/>
          </w:tcPr>
          <w:p>
            <w:pPr>
              <w:ind w:left="220"/>
              <w:spacing w:after="0"/>
              <w:rPr>
                <w:sz w:val="20"/>
                <w:szCs w:val="20"/>
                <w:color w:val="auto"/>
              </w:rPr>
            </w:pPr>
            <w:r>
              <w:rPr>
                <w:rFonts w:ascii="Arial" w:cs="Arial" w:eastAsia="Arial" w:hAnsi="Arial"/>
                <w:sz w:val="18"/>
                <w:szCs w:val="18"/>
                <w:b w:val="1"/>
                <w:bCs w:val="1"/>
                <w:color w:val="auto"/>
              </w:rPr>
              <w:t>FINANCIAL INFORMATION</w:t>
            </w:r>
          </w:p>
        </w:tc>
        <w:tc>
          <w:tcPr>
            <w:tcW w:w="366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660" w:type="dxa"/>
            <w:vAlign w:val="bottom"/>
          </w:tcPr>
          <w:p>
            <w:pPr>
              <w:spacing w:after="0"/>
              <w:rPr>
                <w:sz w:val="18"/>
                <w:szCs w:val="18"/>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6660" w:type="dxa"/>
            <w:vAlign w:val="bottom"/>
            <w:gridSpan w:val="17"/>
            <w:shd w:val="clear" w:color="auto" w:fill="CCEEFF"/>
          </w:tcPr>
          <w:p>
            <w:pPr>
              <w:ind w:left="220"/>
              <w:spacing w:after="0" w:line="176" w:lineRule="exact"/>
              <w:rPr>
                <w:sz w:val="20"/>
                <w:szCs w:val="20"/>
                <w:color w:val="auto"/>
              </w:rPr>
            </w:pPr>
            <w:r>
              <w:rPr>
                <w:rFonts w:ascii="Arial" w:cs="Arial" w:eastAsia="Arial" w:hAnsi="Arial"/>
                <w:sz w:val="18"/>
                <w:szCs w:val="18"/>
                <w:color w:val="0000EE"/>
              </w:rPr>
              <w:t>Condensed Consolidated Financial Statements (unaudited)</w:t>
            </w:r>
          </w:p>
        </w:tc>
        <w:tc>
          <w:tcPr>
            <w:tcW w:w="3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r>
      <w:tr>
        <w:trPr>
          <w:trHeight w:val="216"/>
        </w:trPr>
        <w:tc>
          <w:tcPr>
            <w:tcW w:w="9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3660" w:type="dxa"/>
            <w:vAlign w:val="bottom"/>
            <w:tcBorders>
              <w:top w:val="single" w:sz="8" w:color="CCEEFF"/>
            </w:tcBorders>
          </w:tcPr>
          <w:p>
            <w:pPr>
              <w:spacing w:after="0"/>
              <w:rPr>
                <w:sz w:val="18"/>
                <w:szCs w:val="18"/>
                <w:color w:val="auto"/>
              </w:rPr>
            </w:pPr>
          </w:p>
        </w:tc>
      </w:tr>
      <w:tr>
        <w:trPr>
          <w:trHeight w:val="196"/>
        </w:trPr>
        <w:tc>
          <w:tcPr>
            <w:tcW w:w="920" w:type="dxa"/>
            <w:vAlign w:val="bottom"/>
            <w:shd w:val="clear" w:color="auto" w:fill="CCEEFF"/>
          </w:tcPr>
          <w:p>
            <w:pPr>
              <w:spacing w:after="0"/>
              <w:rPr>
                <w:sz w:val="17"/>
                <w:szCs w:val="17"/>
                <w:color w:val="auto"/>
              </w:rPr>
            </w:pPr>
          </w:p>
        </w:tc>
        <w:tc>
          <w:tcPr>
            <w:tcW w:w="6660" w:type="dxa"/>
            <w:vAlign w:val="bottom"/>
            <w:gridSpan w:val="17"/>
            <w:shd w:val="clear" w:color="auto" w:fill="CCEEFF"/>
          </w:tcPr>
          <w:p>
            <w:pPr>
              <w:ind w:left="220"/>
              <w:spacing w:after="0" w:line="176" w:lineRule="exact"/>
              <w:rPr>
                <w:sz w:val="20"/>
                <w:szCs w:val="20"/>
                <w:color w:val="auto"/>
              </w:rPr>
            </w:pPr>
            <w:r>
              <w:rPr>
                <w:rFonts w:ascii="Arial" w:cs="Arial" w:eastAsia="Arial" w:hAnsi="Arial"/>
                <w:sz w:val="18"/>
                <w:szCs w:val="18"/>
                <w:color w:val="0000EE"/>
              </w:rPr>
              <w:t>Condensed Consolidated Balance Sheets</w:t>
            </w:r>
          </w:p>
        </w:tc>
        <w:tc>
          <w:tcPr>
            <w:tcW w:w="3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r>
      <w:tr>
        <w:trPr>
          <w:trHeight w:val="216"/>
        </w:trPr>
        <w:tc>
          <w:tcPr>
            <w:tcW w:w="9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3660" w:type="dxa"/>
            <w:vAlign w:val="bottom"/>
            <w:tcBorders>
              <w:top w:val="single" w:sz="8" w:color="CCEEFF"/>
            </w:tcBorders>
          </w:tcPr>
          <w:p>
            <w:pPr>
              <w:spacing w:after="0"/>
              <w:rPr>
                <w:sz w:val="18"/>
                <w:szCs w:val="18"/>
                <w:color w:val="auto"/>
              </w:rPr>
            </w:pPr>
          </w:p>
        </w:tc>
      </w:tr>
      <w:tr>
        <w:trPr>
          <w:trHeight w:val="196"/>
        </w:trPr>
        <w:tc>
          <w:tcPr>
            <w:tcW w:w="920" w:type="dxa"/>
            <w:vAlign w:val="bottom"/>
            <w:shd w:val="clear" w:color="auto" w:fill="CCEEFF"/>
          </w:tcPr>
          <w:p>
            <w:pPr>
              <w:spacing w:after="0"/>
              <w:rPr>
                <w:sz w:val="17"/>
                <w:szCs w:val="17"/>
                <w:color w:val="auto"/>
              </w:rPr>
            </w:pPr>
          </w:p>
        </w:tc>
        <w:tc>
          <w:tcPr>
            <w:tcW w:w="6660" w:type="dxa"/>
            <w:vAlign w:val="bottom"/>
            <w:gridSpan w:val="17"/>
            <w:shd w:val="clear" w:color="auto" w:fill="CCEEFF"/>
          </w:tcPr>
          <w:p>
            <w:pPr>
              <w:ind w:left="220"/>
              <w:spacing w:after="0" w:line="176" w:lineRule="exact"/>
              <w:rPr>
                <w:sz w:val="20"/>
                <w:szCs w:val="20"/>
                <w:color w:val="auto"/>
              </w:rPr>
            </w:pPr>
            <w:r>
              <w:rPr>
                <w:rFonts w:ascii="Arial" w:cs="Arial" w:eastAsia="Arial" w:hAnsi="Arial"/>
                <w:sz w:val="18"/>
                <w:szCs w:val="18"/>
                <w:color w:val="0000EE"/>
              </w:rPr>
              <w:t>Condensed Consolidated Statements of Income</w:t>
            </w:r>
          </w:p>
        </w:tc>
        <w:tc>
          <w:tcPr>
            <w:tcW w:w="3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w:t>
            </w:r>
          </w:p>
        </w:tc>
      </w:tr>
      <w:tr>
        <w:trPr>
          <w:trHeight w:val="216"/>
        </w:trPr>
        <w:tc>
          <w:tcPr>
            <w:tcW w:w="9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3660" w:type="dxa"/>
            <w:vAlign w:val="bottom"/>
            <w:tcBorders>
              <w:top w:val="single" w:sz="8" w:color="CCEEFF"/>
            </w:tcBorders>
          </w:tcPr>
          <w:p>
            <w:pPr>
              <w:spacing w:after="0"/>
              <w:rPr>
                <w:sz w:val="18"/>
                <w:szCs w:val="18"/>
                <w:color w:val="auto"/>
              </w:rPr>
            </w:pPr>
          </w:p>
        </w:tc>
      </w:tr>
      <w:tr>
        <w:trPr>
          <w:trHeight w:val="196"/>
        </w:trPr>
        <w:tc>
          <w:tcPr>
            <w:tcW w:w="920" w:type="dxa"/>
            <w:vAlign w:val="bottom"/>
            <w:shd w:val="clear" w:color="auto" w:fill="CCEEFF"/>
          </w:tcPr>
          <w:p>
            <w:pPr>
              <w:spacing w:after="0"/>
              <w:rPr>
                <w:sz w:val="17"/>
                <w:szCs w:val="17"/>
                <w:color w:val="auto"/>
              </w:rPr>
            </w:pPr>
          </w:p>
        </w:tc>
        <w:tc>
          <w:tcPr>
            <w:tcW w:w="6660" w:type="dxa"/>
            <w:vAlign w:val="bottom"/>
            <w:gridSpan w:val="17"/>
            <w:shd w:val="clear" w:color="auto" w:fill="CCEEFF"/>
          </w:tcPr>
          <w:p>
            <w:pPr>
              <w:ind w:left="220"/>
              <w:spacing w:after="0" w:line="176" w:lineRule="exact"/>
              <w:rPr>
                <w:sz w:val="20"/>
                <w:szCs w:val="20"/>
                <w:color w:val="auto"/>
              </w:rPr>
            </w:pPr>
            <w:r>
              <w:rPr>
                <w:rFonts w:ascii="Arial" w:cs="Arial" w:eastAsia="Arial" w:hAnsi="Arial"/>
                <w:sz w:val="18"/>
                <w:szCs w:val="18"/>
                <w:color w:val="0000EE"/>
              </w:rPr>
              <w:t>Condensed Consolidated Statements of Comprehensive Income</w:t>
            </w:r>
          </w:p>
        </w:tc>
        <w:tc>
          <w:tcPr>
            <w:tcW w:w="3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w:t>
            </w:r>
          </w:p>
        </w:tc>
      </w:tr>
      <w:tr>
        <w:trPr>
          <w:trHeight w:val="216"/>
        </w:trPr>
        <w:tc>
          <w:tcPr>
            <w:tcW w:w="9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3660" w:type="dxa"/>
            <w:vAlign w:val="bottom"/>
            <w:tcBorders>
              <w:top w:val="single" w:sz="8" w:color="CCEEFF"/>
            </w:tcBorders>
          </w:tcPr>
          <w:p>
            <w:pPr>
              <w:spacing w:after="0"/>
              <w:rPr>
                <w:sz w:val="18"/>
                <w:szCs w:val="18"/>
                <w:color w:val="auto"/>
              </w:rPr>
            </w:pPr>
          </w:p>
        </w:tc>
      </w:tr>
      <w:tr>
        <w:trPr>
          <w:trHeight w:val="196"/>
        </w:trPr>
        <w:tc>
          <w:tcPr>
            <w:tcW w:w="920" w:type="dxa"/>
            <w:vAlign w:val="bottom"/>
            <w:shd w:val="clear" w:color="auto" w:fill="CCEEFF"/>
          </w:tcPr>
          <w:p>
            <w:pPr>
              <w:spacing w:after="0"/>
              <w:rPr>
                <w:sz w:val="17"/>
                <w:szCs w:val="17"/>
                <w:color w:val="auto"/>
              </w:rPr>
            </w:pPr>
          </w:p>
        </w:tc>
        <w:tc>
          <w:tcPr>
            <w:tcW w:w="6660" w:type="dxa"/>
            <w:vAlign w:val="bottom"/>
            <w:gridSpan w:val="17"/>
            <w:shd w:val="clear" w:color="auto" w:fill="CCEEFF"/>
          </w:tcPr>
          <w:p>
            <w:pPr>
              <w:ind w:left="220"/>
              <w:spacing w:after="0" w:line="176" w:lineRule="exact"/>
              <w:rPr>
                <w:sz w:val="20"/>
                <w:szCs w:val="20"/>
                <w:color w:val="auto"/>
              </w:rPr>
            </w:pPr>
            <w:r>
              <w:rPr>
                <w:rFonts w:ascii="Arial" w:cs="Arial" w:eastAsia="Arial" w:hAnsi="Arial"/>
                <w:sz w:val="18"/>
                <w:szCs w:val="18"/>
                <w:color w:val="0000EE"/>
              </w:rPr>
              <w:t>Condensed Consolidated Statements of Equity</w:t>
            </w:r>
          </w:p>
        </w:tc>
        <w:tc>
          <w:tcPr>
            <w:tcW w:w="3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w:t>
            </w:r>
          </w:p>
        </w:tc>
      </w:tr>
      <w:tr>
        <w:trPr>
          <w:trHeight w:val="216"/>
        </w:trPr>
        <w:tc>
          <w:tcPr>
            <w:tcW w:w="9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3660" w:type="dxa"/>
            <w:vAlign w:val="bottom"/>
            <w:tcBorders>
              <w:top w:val="single" w:sz="8" w:color="CCEEFF"/>
            </w:tcBorders>
          </w:tcPr>
          <w:p>
            <w:pPr>
              <w:spacing w:after="0"/>
              <w:rPr>
                <w:sz w:val="18"/>
                <w:szCs w:val="18"/>
                <w:color w:val="auto"/>
              </w:rPr>
            </w:pPr>
          </w:p>
        </w:tc>
      </w:tr>
      <w:tr>
        <w:trPr>
          <w:trHeight w:val="196"/>
        </w:trPr>
        <w:tc>
          <w:tcPr>
            <w:tcW w:w="920" w:type="dxa"/>
            <w:vAlign w:val="bottom"/>
            <w:shd w:val="clear" w:color="auto" w:fill="CCEEFF"/>
          </w:tcPr>
          <w:p>
            <w:pPr>
              <w:spacing w:after="0"/>
              <w:rPr>
                <w:sz w:val="17"/>
                <w:szCs w:val="17"/>
                <w:color w:val="auto"/>
              </w:rPr>
            </w:pPr>
          </w:p>
        </w:tc>
        <w:tc>
          <w:tcPr>
            <w:tcW w:w="6660" w:type="dxa"/>
            <w:vAlign w:val="bottom"/>
            <w:gridSpan w:val="17"/>
            <w:shd w:val="clear" w:color="auto" w:fill="CCEEFF"/>
          </w:tcPr>
          <w:p>
            <w:pPr>
              <w:ind w:left="220"/>
              <w:spacing w:after="0" w:line="176" w:lineRule="exact"/>
              <w:rPr>
                <w:sz w:val="20"/>
                <w:szCs w:val="20"/>
                <w:color w:val="auto"/>
              </w:rPr>
            </w:pPr>
            <w:r>
              <w:rPr>
                <w:rFonts w:ascii="Arial" w:cs="Arial" w:eastAsia="Arial" w:hAnsi="Arial"/>
                <w:sz w:val="18"/>
                <w:szCs w:val="18"/>
                <w:color w:val="0000EE"/>
              </w:rPr>
              <w:t>Condensed Consolidated Statements of Cash Flows</w:t>
            </w:r>
          </w:p>
        </w:tc>
        <w:tc>
          <w:tcPr>
            <w:tcW w:w="3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w:t>
            </w:r>
          </w:p>
        </w:tc>
      </w:tr>
      <w:tr>
        <w:trPr>
          <w:trHeight w:val="216"/>
        </w:trPr>
        <w:tc>
          <w:tcPr>
            <w:tcW w:w="9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3660" w:type="dxa"/>
            <w:vAlign w:val="bottom"/>
            <w:tcBorders>
              <w:top w:val="single" w:sz="8" w:color="CCEEFF"/>
            </w:tcBorders>
          </w:tcPr>
          <w:p>
            <w:pPr>
              <w:spacing w:after="0"/>
              <w:rPr>
                <w:sz w:val="18"/>
                <w:szCs w:val="18"/>
                <w:color w:val="auto"/>
              </w:rPr>
            </w:pPr>
          </w:p>
        </w:tc>
      </w:tr>
      <w:tr>
        <w:trPr>
          <w:trHeight w:val="196"/>
        </w:trPr>
        <w:tc>
          <w:tcPr>
            <w:tcW w:w="920" w:type="dxa"/>
            <w:vAlign w:val="bottom"/>
            <w:shd w:val="clear" w:color="auto" w:fill="CCEEFF"/>
          </w:tcPr>
          <w:p>
            <w:pPr>
              <w:spacing w:after="0"/>
              <w:rPr>
                <w:sz w:val="17"/>
                <w:szCs w:val="17"/>
                <w:color w:val="auto"/>
              </w:rPr>
            </w:pPr>
          </w:p>
        </w:tc>
        <w:tc>
          <w:tcPr>
            <w:tcW w:w="6660" w:type="dxa"/>
            <w:vAlign w:val="bottom"/>
            <w:gridSpan w:val="17"/>
            <w:shd w:val="clear" w:color="auto" w:fill="CCEEFF"/>
          </w:tcPr>
          <w:p>
            <w:pPr>
              <w:ind w:left="220"/>
              <w:spacing w:after="0" w:line="176" w:lineRule="exact"/>
              <w:rPr>
                <w:sz w:val="20"/>
                <w:szCs w:val="20"/>
                <w:color w:val="auto"/>
              </w:rPr>
            </w:pPr>
            <w:r>
              <w:rPr>
                <w:rFonts w:ascii="Arial" w:cs="Arial" w:eastAsia="Arial" w:hAnsi="Arial"/>
                <w:sz w:val="18"/>
                <w:szCs w:val="18"/>
                <w:color w:val="0000EE"/>
              </w:rPr>
              <w:t>Notes to Condensed Consolidated Financial Statements</w:t>
            </w:r>
          </w:p>
        </w:tc>
        <w:tc>
          <w:tcPr>
            <w:tcW w:w="3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w:t>
            </w:r>
          </w:p>
        </w:tc>
      </w:tr>
      <w:tr>
        <w:trPr>
          <w:trHeight w:val="216"/>
        </w:trPr>
        <w:tc>
          <w:tcPr>
            <w:tcW w:w="9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3660" w:type="dxa"/>
            <w:vAlign w:val="bottom"/>
            <w:tcBorders>
              <w:top w:val="single" w:sz="8" w:color="CCEEFF"/>
            </w:tcBorders>
          </w:tcPr>
          <w:p>
            <w:pPr>
              <w:spacing w:after="0"/>
              <w:rPr>
                <w:sz w:val="18"/>
                <w:szCs w:val="18"/>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6660" w:type="dxa"/>
            <w:vAlign w:val="bottom"/>
            <w:gridSpan w:val="17"/>
            <w:shd w:val="clear" w:color="auto" w:fill="CCEEFF"/>
          </w:tcPr>
          <w:p>
            <w:pPr>
              <w:ind w:left="220"/>
              <w:spacing w:after="0" w:line="176" w:lineRule="exact"/>
              <w:rPr>
                <w:sz w:val="20"/>
                <w:szCs w:val="20"/>
                <w:color w:val="auto"/>
              </w:rPr>
            </w:pPr>
            <w:r>
              <w:rPr>
                <w:rFonts w:ascii="Arial" w:cs="Arial" w:eastAsia="Arial" w:hAnsi="Arial"/>
                <w:sz w:val="18"/>
                <w:szCs w:val="18"/>
                <w:color w:val="0000EE"/>
                <w:w w:val="90"/>
              </w:rPr>
              <w:t>Management’s Discussion and Analysis of Financial Condition and Results of Operations</w:t>
            </w:r>
          </w:p>
        </w:tc>
        <w:tc>
          <w:tcPr>
            <w:tcW w:w="3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27</w:t>
            </w:r>
          </w:p>
        </w:tc>
      </w:tr>
      <w:tr>
        <w:trPr>
          <w:trHeight w:val="216"/>
        </w:trPr>
        <w:tc>
          <w:tcPr>
            <w:tcW w:w="9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3660" w:type="dxa"/>
            <w:vAlign w:val="bottom"/>
            <w:tcBorders>
              <w:top w:val="single" w:sz="8" w:color="CCEEFF"/>
            </w:tcBorders>
          </w:tcPr>
          <w:p>
            <w:pPr>
              <w:spacing w:after="0"/>
              <w:rPr>
                <w:sz w:val="18"/>
                <w:szCs w:val="18"/>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6660" w:type="dxa"/>
            <w:vAlign w:val="bottom"/>
            <w:gridSpan w:val="17"/>
            <w:shd w:val="clear" w:color="auto" w:fill="CCEEFF"/>
          </w:tcPr>
          <w:p>
            <w:pPr>
              <w:ind w:left="220"/>
              <w:spacing w:after="0" w:line="176" w:lineRule="exact"/>
              <w:rPr>
                <w:sz w:val="20"/>
                <w:szCs w:val="20"/>
                <w:color w:val="auto"/>
              </w:rPr>
            </w:pPr>
            <w:r>
              <w:rPr>
                <w:rFonts w:ascii="Arial" w:cs="Arial" w:eastAsia="Arial" w:hAnsi="Arial"/>
                <w:sz w:val="18"/>
                <w:szCs w:val="18"/>
                <w:color w:val="0000EE"/>
              </w:rPr>
              <w:t>Quantitative and Qualitative Disclosures about Market Risk</w:t>
            </w:r>
          </w:p>
        </w:tc>
        <w:tc>
          <w:tcPr>
            <w:tcW w:w="3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35</w:t>
            </w:r>
          </w:p>
        </w:tc>
      </w:tr>
      <w:tr>
        <w:trPr>
          <w:trHeight w:val="216"/>
        </w:trPr>
        <w:tc>
          <w:tcPr>
            <w:tcW w:w="9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3660" w:type="dxa"/>
            <w:vAlign w:val="bottom"/>
            <w:tcBorders>
              <w:top w:val="single" w:sz="8" w:color="CCEEFF"/>
            </w:tcBorders>
          </w:tcPr>
          <w:p>
            <w:pPr>
              <w:spacing w:after="0"/>
              <w:rPr>
                <w:sz w:val="18"/>
                <w:szCs w:val="18"/>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6660" w:type="dxa"/>
            <w:vAlign w:val="bottom"/>
            <w:gridSpan w:val="17"/>
            <w:shd w:val="clear" w:color="auto" w:fill="CCEEFF"/>
          </w:tcPr>
          <w:p>
            <w:pPr>
              <w:ind w:left="220"/>
              <w:spacing w:after="0" w:line="176" w:lineRule="exact"/>
              <w:rPr>
                <w:sz w:val="20"/>
                <w:szCs w:val="20"/>
                <w:color w:val="auto"/>
              </w:rPr>
            </w:pPr>
            <w:r>
              <w:rPr>
                <w:rFonts w:ascii="Arial" w:cs="Arial" w:eastAsia="Arial" w:hAnsi="Arial"/>
                <w:sz w:val="18"/>
                <w:szCs w:val="18"/>
                <w:color w:val="0000EE"/>
              </w:rPr>
              <w:t>Controls and Procedures</w:t>
            </w:r>
          </w:p>
        </w:tc>
        <w:tc>
          <w:tcPr>
            <w:tcW w:w="3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36</w:t>
            </w:r>
          </w:p>
        </w:tc>
      </w:tr>
      <w:tr>
        <w:trPr>
          <w:trHeight w:val="216"/>
        </w:trPr>
        <w:tc>
          <w:tcPr>
            <w:tcW w:w="9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3660" w:type="dxa"/>
            <w:vAlign w:val="bottom"/>
            <w:tcBorders>
              <w:top w:val="single" w:sz="8" w:color="CCEEFF"/>
            </w:tcBorders>
          </w:tcPr>
          <w:p>
            <w:pPr>
              <w:spacing w:after="0"/>
              <w:rPr>
                <w:sz w:val="18"/>
                <w:szCs w:val="18"/>
                <w:color w:val="auto"/>
              </w:rPr>
            </w:pPr>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II.</w:t>
            </w:r>
          </w:p>
        </w:tc>
        <w:tc>
          <w:tcPr>
            <w:tcW w:w="6660" w:type="dxa"/>
            <w:vAlign w:val="bottom"/>
            <w:gridSpan w:val="17"/>
            <w:shd w:val="clear" w:color="auto" w:fill="CCEEFF"/>
          </w:tcPr>
          <w:p>
            <w:pPr>
              <w:ind w:left="220"/>
              <w:spacing w:after="0"/>
              <w:rPr>
                <w:sz w:val="20"/>
                <w:szCs w:val="20"/>
                <w:color w:val="auto"/>
              </w:rPr>
            </w:pPr>
            <w:r>
              <w:rPr>
                <w:rFonts w:ascii="Arial" w:cs="Arial" w:eastAsia="Arial" w:hAnsi="Arial"/>
                <w:sz w:val="18"/>
                <w:szCs w:val="18"/>
                <w:b w:val="1"/>
                <w:bCs w:val="1"/>
                <w:color w:val="auto"/>
              </w:rPr>
              <w:t>OTHER INFORMATION</w:t>
            </w:r>
          </w:p>
        </w:tc>
        <w:tc>
          <w:tcPr>
            <w:tcW w:w="366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660" w:type="dxa"/>
            <w:vAlign w:val="bottom"/>
          </w:tcPr>
          <w:p>
            <w:pPr>
              <w:spacing w:after="0"/>
              <w:rPr>
                <w:sz w:val="18"/>
                <w:szCs w:val="18"/>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6660" w:type="dxa"/>
            <w:vAlign w:val="bottom"/>
            <w:gridSpan w:val="17"/>
            <w:shd w:val="clear" w:color="auto" w:fill="CCEEFF"/>
          </w:tcPr>
          <w:p>
            <w:pPr>
              <w:ind w:left="220"/>
              <w:spacing w:after="0" w:line="176" w:lineRule="exact"/>
              <w:rPr>
                <w:sz w:val="20"/>
                <w:szCs w:val="20"/>
                <w:color w:val="auto"/>
              </w:rPr>
            </w:pPr>
            <w:r>
              <w:rPr>
                <w:rFonts w:ascii="Arial" w:cs="Arial" w:eastAsia="Arial" w:hAnsi="Arial"/>
                <w:sz w:val="18"/>
                <w:szCs w:val="18"/>
                <w:color w:val="0000EE"/>
              </w:rPr>
              <w:t>Legal Proceedings</w:t>
            </w:r>
          </w:p>
        </w:tc>
        <w:tc>
          <w:tcPr>
            <w:tcW w:w="3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37</w:t>
            </w:r>
          </w:p>
        </w:tc>
      </w:tr>
      <w:tr>
        <w:trPr>
          <w:trHeight w:val="216"/>
        </w:trPr>
        <w:tc>
          <w:tcPr>
            <w:tcW w:w="9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3660" w:type="dxa"/>
            <w:vAlign w:val="bottom"/>
            <w:tcBorders>
              <w:top w:val="single" w:sz="8" w:color="CCEEFF"/>
            </w:tcBorders>
          </w:tcPr>
          <w:p>
            <w:pPr>
              <w:spacing w:after="0"/>
              <w:rPr>
                <w:sz w:val="18"/>
                <w:szCs w:val="18"/>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6660" w:type="dxa"/>
            <w:vAlign w:val="bottom"/>
            <w:gridSpan w:val="17"/>
            <w:shd w:val="clear" w:color="auto" w:fill="CCEEFF"/>
          </w:tcPr>
          <w:p>
            <w:pPr>
              <w:ind w:left="220"/>
              <w:spacing w:after="0" w:line="176" w:lineRule="exact"/>
              <w:rPr>
                <w:sz w:val="20"/>
                <w:szCs w:val="20"/>
                <w:color w:val="auto"/>
              </w:rPr>
            </w:pPr>
            <w:r>
              <w:rPr>
                <w:rFonts w:ascii="Arial" w:cs="Arial" w:eastAsia="Arial" w:hAnsi="Arial"/>
                <w:sz w:val="18"/>
                <w:szCs w:val="18"/>
                <w:color w:val="0000EE"/>
              </w:rPr>
              <w:t>Risk Factors</w:t>
            </w:r>
          </w:p>
        </w:tc>
        <w:tc>
          <w:tcPr>
            <w:tcW w:w="3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37</w:t>
            </w:r>
          </w:p>
        </w:tc>
      </w:tr>
      <w:tr>
        <w:trPr>
          <w:trHeight w:val="216"/>
        </w:trPr>
        <w:tc>
          <w:tcPr>
            <w:tcW w:w="9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3660" w:type="dxa"/>
            <w:vAlign w:val="bottom"/>
            <w:tcBorders>
              <w:top w:val="single" w:sz="8" w:color="CCEEFF"/>
            </w:tcBorders>
          </w:tcPr>
          <w:p>
            <w:pPr>
              <w:spacing w:after="0"/>
              <w:rPr>
                <w:sz w:val="18"/>
                <w:szCs w:val="18"/>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6660" w:type="dxa"/>
            <w:vAlign w:val="bottom"/>
            <w:gridSpan w:val="17"/>
            <w:shd w:val="clear" w:color="auto" w:fill="CCEEFF"/>
          </w:tcPr>
          <w:p>
            <w:pPr>
              <w:ind w:left="220"/>
              <w:spacing w:after="0" w:line="176" w:lineRule="exact"/>
              <w:rPr>
                <w:sz w:val="20"/>
                <w:szCs w:val="20"/>
                <w:color w:val="auto"/>
              </w:rPr>
            </w:pPr>
            <w:r>
              <w:rPr>
                <w:rFonts w:ascii="Arial" w:cs="Arial" w:eastAsia="Arial" w:hAnsi="Arial"/>
                <w:sz w:val="18"/>
                <w:szCs w:val="18"/>
                <w:color w:val="0000EE"/>
              </w:rPr>
              <w:t>Unregistered Sales of Equity Securities and Use of Proceeds</w:t>
            </w:r>
          </w:p>
        </w:tc>
        <w:tc>
          <w:tcPr>
            <w:tcW w:w="3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37</w:t>
            </w:r>
          </w:p>
        </w:tc>
      </w:tr>
      <w:tr>
        <w:trPr>
          <w:trHeight w:val="216"/>
        </w:trPr>
        <w:tc>
          <w:tcPr>
            <w:tcW w:w="9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3660" w:type="dxa"/>
            <w:vAlign w:val="bottom"/>
            <w:tcBorders>
              <w:top w:val="single" w:sz="8" w:color="CCEEFF"/>
            </w:tcBorders>
          </w:tcPr>
          <w:p>
            <w:pPr>
              <w:spacing w:after="0"/>
              <w:rPr>
                <w:sz w:val="18"/>
                <w:szCs w:val="18"/>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6660" w:type="dxa"/>
            <w:vAlign w:val="bottom"/>
            <w:gridSpan w:val="17"/>
            <w:shd w:val="clear" w:color="auto" w:fill="CCEEFF"/>
          </w:tcPr>
          <w:p>
            <w:pPr>
              <w:ind w:left="220"/>
              <w:spacing w:after="0" w:line="176" w:lineRule="exact"/>
              <w:rPr>
                <w:sz w:val="20"/>
                <w:szCs w:val="20"/>
                <w:color w:val="auto"/>
              </w:rPr>
            </w:pPr>
            <w:r>
              <w:rPr>
                <w:rFonts w:ascii="Arial" w:cs="Arial" w:eastAsia="Arial" w:hAnsi="Arial"/>
                <w:sz w:val="18"/>
                <w:szCs w:val="18"/>
                <w:color w:val="0000EE"/>
              </w:rPr>
              <w:t>Exhibits</w:t>
            </w:r>
          </w:p>
        </w:tc>
        <w:tc>
          <w:tcPr>
            <w:tcW w:w="3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38</w:t>
            </w:r>
          </w:p>
        </w:tc>
      </w:tr>
      <w:tr>
        <w:trPr>
          <w:trHeight w:val="555"/>
        </w:trPr>
        <w:tc>
          <w:tcPr>
            <w:tcW w:w="9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980" w:type="dxa"/>
            <w:vAlign w:val="bottom"/>
            <w:tcBorders>
              <w:top w:val="single" w:sz="8" w:color="CCEEFF"/>
            </w:tcBorders>
            <w:gridSpan w:val="14"/>
          </w:tcPr>
          <w:p>
            <w:pPr>
              <w:jc w:val="right"/>
              <w:ind w:right="60"/>
              <w:spacing w:after="0"/>
              <w:rPr>
                <w:sz w:val="20"/>
                <w:szCs w:val="20"/>
                <w:color w:val="auto"/>
              </w:rPr>
            </w:pPr>
            <w:r>
              <w:rPr>
                <w:rFonts w:ascii="Arial" w:cs="Arial" w:eastAsia="Arial" w:hAnsi="Arial"/>
                <w:sz w:val="14"/>
                <w:szCs w:val="14"/>
                <w:color w:val="auto"/>
              </w:rPr>
              <w:t>2</w:t>
            </w:r>
          </w:p>
        </w:tc>
        <w:tc>
          <w:tcPr>
            <w:tcW w:w="1860" w:type="dxa"/>
            <w:vAlign w:val="bottom"/>
            <w:tcBorders>
              <w:top w:val="single" w:sz="8" w:color="CCEEFF"/>
            </w:tcBorders>
          </w:tcPr>
          <w:p>
            <w:pPr>
              <w:spacing w:after="0"/>
              <w:rPr>
                <w:sz w:val="24"/>
                <w:szCs w:val="24"/>
                <w:color w:val="auto"/>
              </w:rPr>
            </w:pPr>
          </w:p>
        </w:tc>
        <w:tc>
          <w:tcPr>
            <w:tcW w:w="3660" w:type="dxa"/>
            <w:vAlign w:val="bottom"/>
            <w:tcBorders>
              <w:top w:val="single" w:sz="8" w:color="CCEEFF"/>
            </w:tcBorders>
          </w:tcPr>
          <w:p>
            <w:pPr>
              <w:spacing w:after="0"/>
              <w:rPr>
                <w:sz w:val="24"/>
                <w:szCs w:val="24"/>
                <w:color w:val="auto"/>
              </w:rPr>
            </w:pPr>
          </w:p>
        </w:tc>
      </w:tr>
      <w:tr>
        <w:trPr>
          <w:trHeight w:val="46"/>
        </w:trPr>
        <w:tc>
          <w:tcPr>
            <w:tcW w:w="9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366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40" w:type="dxa"/>
            <w:vAlign w:val="bottom"/>
          </w:tcPr>
          <w:p>
            <w:pPr>
              <w:spacing w:after="0"/>
              <w:rPr>
                <w:sz w:val="20"/>
                <w:szCs w:val="20"/>
                <w:color w:val="auto"/>
              </w:rPr>
            </w:pPr>
          </w:p>
        </w:tc>
        <w:tc>
          <w:tcPr>
            <w:tcW w:w="9200" w:type="dxa"/>
            <w:vAlign w:val="bottom"/>
          </w:tcPr>
          <w:p>
            <w:pPr>
              <w:ind w:left="2300"/>
              <w:spacing w:after="0"/>
              <w:rPr>
                <w:sz w:val="20"/>
                <w:szCs w:val="20"/>
                <w:color w:val="auto"/>
              </w:rPr>
            </w:pPr>
            <w:r>
              <w:rPr>
                <w:rFonts w:ascii="Arial" w:cs="Arial" w:eastAsia="Arial" w:hAnsi="Arial"/>
                <w:sz w:val="18"/>
                <w:szCs w:val="18"/>
                <w:b w:val="1"/>
                <w:bCs w:val="1"/>
                <w:color w:val="auto"/>
              </w:rPr>
              <w:t>Glossary of Terms and Acronyms</w:t>
            </w:r>
          </w:p>
        </w:tc>
      </w:tr>
      <w:tr>
        <w:trPr>
          <w:trHeight w:val="432"/>
        </w:trPr>
        <w:tc>
          <w:tcPr>
            <w:tcW w:w="11240" w:type="dxa"/>
            <w:vAlign w:val="bottom"/>
            <w:gridSpan w:val="2"/>
          </w:tcPr>
          <w:p>
            <w:pPr>
              <w:spacing w:after="0"/>
              <w:rPr>
                <w:sz w:val="20"/>
                <w:szCs w:val="20"/>
                <w:color w:val="auto"/>
              </w:rPr>
            </w:pPr>
            <w:r>
              <w:rPr>
                <w:rFonts w:ascii="Arial" w:cs="Arial" w:eastAsia="Arial" w:hAnsi="Arial"/>
                <w:sz w:val="18"/>
                <w:szCs w:val="18"/>
                <w:color w:val="auto"/>
              </w:rPr>
              <w:t>Definitions of certain terms and acronyms that may appear in this report are provided below.</w:t>
            </w:r>
          </w:p>
        </w:tc>
      </w:tr>
      <w:tr>
        <w:trPr>
          <w:trHeight w:val="216"/>
        </w:trPr>
        <w:tc>
          <w:tcPr>
            <w:tcW w:w="2040" w:type="dxa"/>
            <w:vAlign w:val="bottom"/>
          </w:tcPr>
          <w:p>
            <w:pPr>
              <w:spacing w:after="0"/>
              <w:rPr>
                <w:sz w:val="18"/>
                <w:szCs w:val="18"/>
                <w:color w:val="auto"/>
              </w:rPr>
            </w:pPr>
          </w:p>
        </w:tc>
        <w:tc>
          <w:tcPr>
            <w:tcW w:w="9200" w:type="dxa"/>
            <w:vAlign w:val="bottom"/>
          </w:tcPr>
          <w:p>
            <w:pPr>
              <w:spacing w:after="0"/>
              <w:rPr>
                <w:sz w:val="18"/>
                <w:szCs w:val="18"/>
                <w:color w:val="auto"/>
              </w:rPr>
            </w:pPr>
          </w:p>
        </w:tc>
      </w:tr>
      <w:tr>
        <w:trPr>
          <w:trHeight w:val="216"/>
        </w:trPr>
        <w:tc>
          <w:tcPr>
            <w:tcW w:w="2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AMOLED</w:t>
            </w:r>
          </w:p>
        </w:tc>
        <w:tc>
          <w:tcPr>
            <w:tcW w:w="9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Active-matrix organic light-emitting diode. A technology used in mobile devices.</w:t>
            </w:r>
          </w:p>
        </w:tc>
      </w:tr>
      <w:tr>
        <w:trPr>
          <w:trHeight w:val="216"/>
        </w:trPr>
        <w:tc>
          <w:tcPr>
            <w:tcW w:w="2040" w:type="dxa"/>
            <w:vAlign w:val="bottom"/>
          </w:tcPr>
          <w:p>
            <w:pPr>
              <w:spacing w:after="0"/>
              <w:rPr>
                <w:sz w:val="20"/>
                <w:szCs w:val="20"/>
                <w:color w:val="auto"/>
              </w:rPr>
            </w:pPr>
            <w:r>
              <w:rPr>
                <w:rFonts w:ascii="Arial" w:cs="Arial" w:eastAsia="Arial" w:hAnsi="Arial"/>
                <w:sz w:val="18"/>
                <w:szCs w:val="18"/>
                <w:b w:val="1"/>
                <w:bCs w:val="1"/>
                <w:color w:val="auto"/>
              </w:rPr>
              <w:t>Application-specific IC</w:t>
            </w:r>
          </w:p>
        </w:tc>
        <w:tc>
          <w:tcPr>
            <w:tcW w:w="9200" w:type="dxa"/>
            <w:vAlign w:val="bottom"/>
          </w:tcPr>
          <w:p>
            <w:pPr>
              <w:ind w:left="220"/>
              <w:spacing w:after="0"/>
              <w:rPr>
                <w:sz w:val="20"/>
                <w:szCs w:val="20"/>
                <w:color w:val="auto"/>
              </w:rPr>
            </w:pPr>
            <w:r>
              <w:rPr>
                <w:rFonts w:ascii="Arial" w:cs="Arial" w:eastAsia="Arial" w:hAnsi="Arial"/>
                <w:sz w:val="18"/>
                <w:szCs w:val="18"/>
                <w:color w:val="auto"/>
              </w:rPr>
              <w:t>An integrated circuit customized for a particular use, rather than intended for general-purpose use</w:t>
            </w:r>
          </w:p>
        </w:tc>
      </w:tr>
      <w:tr>
        <w:trPr>
          <w:trHeight w:val="216"/>
        </w:trPr>
        <w:tc>
          <w:tcPr>
            <w:tcW w:w="2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ASC</w:t>
            </w:r>
          </w:p>
        </w:tc>
        <w:tc>
          <w:tcPr>
            <w:tcW w:w="9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Accounting Standards Codification</w:t>
            </w:r>
          </w:p>
        </w:tc>
      </w:tr>
      <w:tr>
        <w:trPr>
          <w:trHeight w:val="216"/>
        </w:trPr>
        <w:tc>
          <w:tcPr>
            <w:tcW w:w="2040" w:type="dxa"/>
            <w:vAlign w:val="bottom"/>
          </w:tcPr>
          <w:p>
            <w:pPr>
              <w:spacing w:after="0"/>
              <w:rPr>
                <w:sz w:val="20"/>
                <w:szCs w:val="20"/>
                <w:color w:val="auto"/>
              </w:rPr>
            </w:pPr>
            <w:r>
              <w:rPr>
                <w:rFonts w:ascii="Arial" w:cs="Arial" w:eastAsia="Arial" w:hAnsi="Arial"/>
                <w:sz w:val="18"/>
                <w:szCs w:val="18"/>
                <w:b w:val="1"/>
                <w:bCs w:val="1"/>
                <w:color w:val="auto"/>
              </w:rPr>
              <w:t>ASP</w:t>
            </w:r>
          </w:p>
        </w:tc>
        <w:tc>
          <w:tcPr>
            <w:tcW w:w="9200" w:type="dxa"/>
            <w:vAlign w:val="bottom"/>
          </w:tcPr>
          <w:p>
            <w:pPr>
              <w:ind w:left="220"/>
              <w:spacing w:after="0"/>
              <w:rPr>
                <w:sz w:val="20"/>
                <w:szCs w:val="20"/>
                <w:color w:val="auto"/>
              </w:rPr>
            </w:pPr>
            <w:r>
              <w:rPr>
                <w:rFonts w:ascii="Arial" w:cs="Arial" w:eastAsia="Arial" w:hAnsi="Arial"/>
                <w:sz w:val="18"/>
                <w:szCs w:val="18"/>
                <w:color w:val="auto"/>
              </w:rPr>
              <w:t>Average Selling Price</w:t>
            </w:r>
          </w:p>
        </w:tc>
      </w:tr>
      <w:tr>
        <w:trPr>
          <w:trHeight w:val="216"/>
        </w:trPr>
        <w:tc>
          <w:tcPr>
            <w:tcW w:w="2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ASU</w:t>
            </w:r>
          </w:p>
        </w:tc>
        <w:tc>
          <w:tcPr>
            <w:tcW w:w="9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Accounting Standards Update</w:t>
            </w:r>
          </w:p>
        </w:tc>
      </w:tr>
      <w:tr>
        <w:trPr>
          <w:trHeight w:val="202"/>
        </w:trPr>
        <w:tc>
          <w:tcPr>
            <w:tcW w:w="2040" w:type="dxa"/>
            <w:vAlign w:val="bottom"/>
          </w:tcPr>
          <w:p>
            <w:pPr>
              <w:spacing w:after="0" w:line="201" w:lineRule="exact"/>
              <w:rPr>
                <w:sz w:val="20"/>
                <w:szCs w:val="20"/>
                <w:color w:val="auto"/>
              </w:rPr>
            </w:pPr>
            <w:r>
              <w:rPr>
                <w:rFonts w:ascii="Arial" w:cs="Arial" w:eastAsia="Arial" w:hAnsi="Arial"/>
                <w:sz w:val="18"/>
                <w:szCs w:val="18"/>
                <w:b w:val="1"/>
                <w:bCs w:val="1"/>
                <w:color w:val="auto"/>
              </w:rPr>
              <w:t>Chip stacking</w:t>
            </w:r>
          </w:p>
        </w:tc>
        <w:tc>
          <w:tcPr>
            <w:tcW w:w="9200" w:type="dxa"/>
            <w:vAlign w:val="bottom"/>
          </w:tcPr>
          <w:p>
            <w:pPr>
              <w:ind w:left="220"/>
              <w:spacing w:after="0" w:line="201" w:lineRule="exact"/>
              <w:rPr>
                <w:sz w:val="20"/>
                <w:szCs w:val="20"/>
                <w:color w:val="auto"/>
              </w:rPr>
            </w:pPr>
            <w:r>
              <w:rPr>
                <w:rFonts w:ascii="Arial" w:cs="Arial" w:eastAsia="Arial" w:hAnsi="Arial"/>
                <w:sz w:val="18"/>
                <w:szCs w:val="18"/>
                <w:color w:val="auto"/>
                <w:w w:val="91"/>
              </w:rPr>
              <w:t>Placement of an integrated circuit on top of another integrated circuit, resulting in the reduction of the distance between the</w:t>
            </w:r>
          </w:p>
        </w:tc>
      </w:tr>
      <w:tr>
        <w:trPr>
          <w:trHeight w:val="230"/>
        </w:trPr>
        <w:tc>
          <w:tcPr>
            <w:tcW w:w="2040" w:type="dxa"/>
            <w:vAlign w:val="bottom"/>
          </w:tcPr>
          <w:p>
            <w:pPr>
              <w:spacing w:after="0"/>
              <w:rPr>
                <w:sz w:val="20"/>
                <w:szCs w:val="20"/>
                <w:color w:val="auto"/>
              </w:rPr>
            </w:pPr>
          </w:p>
        </w:tc>
        <w:tc>
          <w:tcPr>
            <w:tcW w:w="9200" w:type="dxa"/>
            <w:vAlign w:val="bottom"/>
          </w:tcPr>
          <w:p>
            <w:pPr>
              <w:ind w:left="220"/>
              <w:spacing w:after="0"/>
              <w:rPr>
                <w:sz w:val="20"/>
                <w:szCs w:val="20"/>
                <w:color w:val="auto"/>
              </w:rPr>
            </w:pPr>
            <w:r>
              <w:rPr>
                <w:rFonts w:ascii="Arial" w:cs="Arial" w:eastAsia="Arial" w:hAnsi="Arial"/>
                <w:sz w:val="18"/>
                <w:szCs w:val="18"/>
                <w:color w:val="auto"/>
              </w:rPr>
              <w:t>chips in a circuit board</w:t>
            </w:r>
          </w:p>
        </w:tc>
      </w:tr>
      <w:tr>
        <w:trPr>
          <w:trHeight w:val="216"/>
        </w:trPr>
        <w:tc>
          <w:tcPr>
            <w:tcW w:w="2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COVID-19</w:t>
            </w:r>
          </w:p>
        </w:tc>
        <w:tc>
          <w:tcPr>
            <w:tcW w:w="92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Covid virus 2019, an infectious disease that was declared a pandemic by the World Health Organization in March 2020</w:t>
            </w:r>
          </w:p>
        </w:tc>
      </w:tr>
      <w:tr>
        <w:trPr>
          <w:trHeight w:val="216"/>
        </w:trPr>
        <w:tc>
          <w:tcPr>
            <w:tcW w:w="2040" w:type="dxa"/>
            <w:vAlign w:val="bottom"/>
          </w:tcPr>
          <w:p>
            <w:pPr>
              <w:spacing w:after="0"/>
              <w:rPr>
                <w:sz w:val="20"/>
                <w:szCs w:val="20"/>
                <w:color w:val="auto"/>
              </w:rPr>
            </w:pPr>
            <w:r>
              <w:rPr>
                <w:rFonts w:ascii="Arial" w:cs="Arial" w:eastAsia="Arial" w:hAnsi="Arial"/>
                <w:sz w:val="18"/>
                <w:szCs w:val="18"/>
                <w:b w:val="1"/>
                <w:bCs w:val="1"/>
                <w:color w:val="auto"/>
              </w:rPr>
              <w:t>DNP</w:t>
            </w:r>
          </w:p>
        </w:tc>
        <w:tc>
          <w:tcPr>
            <w:tcW w:w="9200" w:type="dxa"/>
            <w:vAlign w:val="bottom"/>
          </w:tcPr>
          <w:p>
            <w:pPr>
              <w:ind w:left="220"/>
              <w:spacing w:after="0"/>
              <w:rPr>
                <w:sz w:val="20"/>
                <w:szCs w:val="20"/>
                <w:color w:val="auto"/>
              </w:rPr>
            </w:pPr>
            <w:r>
              <w:rPr>
                <w:rFonts w:ascii="Arial" w:cs="Arial" w:eastAsia="Arial" w:hAnsi="Arial"/>
                <w:sz w:val="18"/>
                <w:szCs w:val="18"/>
                <w:color w:val="auto"/>
              </w:rPr>
              <w:t>Dai Nippon Printing Co., Ltd.</w:t>
            </w:r>
          </w:p>
        </w:tc>
      </w:tr>
      <w:tr>
        <w:trPr>
          <w:trHeight w:val="202"/>
        </w:trPr>
        <w:tc>
          <w:tcPr>
            <w:tcW w:w="20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EUV</w:t>
            </w:r>
          </w:p>
        </w:tc>
        <w:tc>
          <w:tcPr>
            <w:tcW w:w="92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7"/>
              </w:rPr>
              <w:t>A wafer lithography technology using the industry standard extreme ultraviolet (EUV) wavelength. EUV photomasks</w:t>
            </w:r>
          </w:p>
        </w:tc>
      </w:tr>
      <w:tr>
        <w:trPr>
          <w:trHeight w:val="216"/>
        </w:trPr>
        <w:tc>
          <w:tcPr>
            <w:tcW w:w="2040" w:type="dxa"/>
            <w:vAlign w:val="bottom"/>
            <w:shd w:val="clear" w:color="auto" w:fill="CCEEFF"/>
          </w:tcPr>
          <w:p>
            <w:pPr>
              <w:spacing w:after="0"/>
              <w:rPr>
                <w:sz w:val="18"/>
                <w:szCs w:val="18"/>
                <w:color w:val="auto"/>
              </w:rPr>
            </w:pPr>
          </w:p>
        </w:tc>
        <w:tc>
          <w:tcPr>
            <w:tcW w:w="92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5"/>
              </w:rPr>
              <w:t>function by selectively reflecting or blocking light, in contrast to conventional photomasks which function by selectively</w:t>
            </w:r>
          </w:p>
        </w:tc>
      </w:tr>
      <w:tr>
        <w:trPr>
          <w:trHeight w:val="230"/>
        </w:trPr>
        <w:tc>
          <w:tcPr>
            <w:tcW w:w="2040" w:type="dxa"/>
            <w:vAlign w:val="bottom"/>
            <w:shd w:val="clear" w:color="auto" w:fill="CCEEFF"/>
          </w:tcPr>
          <w:p>
            <w:pPr>
              <w:spacing w:after="0"/>
              <w:rPr>
                <w:sz w:val="20"/>
                <w:szCs w:val="20"/>
                <w:color w:val="auto"/>
              </w:rPr>
            </w:pPr>
          </w:p>
        </w:tc>
        <w:tc>
          <w:tcPr>
            <w:tcW w:w="9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transmitting or blocking light</w:t>
            </w:r>
          </w:p>
        </w:tc>
      </w:tr>
      <w:tr>
        <w:trPr>
          <w:trHeight w:val="216"/>
        </w:trPr>
        <w:tc>
          <w:tcPr>
            <w:tcW w:w="2040" w:type="dxa"/>
            <w:vAlign w:val="bottom"/>
          </w:tcPr>
          <w:p>
            <w:pPr>
              <w:spacing w:after="0"/>
              <w:rPr>
                <w:sz w:val="20"/>
                <w:szCs w:val="20"/>
                <w:color w:val="auto"/>
              </w:rPr>
            </w:pPr>
            <w:r>
              <w:rPr>
                <w:rFonts w:ascii="Arial" w:cs="Arial" w:eastAsia="Arial" w:hAnsi="Arial"/>
                <w:sz w:val="18"/>
                <w:szCs w:val="18"/>
                <w:b w:val="1"/>
                <w:bCs w:val="1"/>
                <w:color w:val="auto"/>
              </w:rPr>
              <w:t>Exchange Act</w:t>
            </w:r>
          </w:p>
        </w:tc>
        <w:tc>
          <w:tcPr>
            <w:tcW w:w="9200" w:type="dxa"/>
            <w:vAlign w:val="bottom"/>
          </w:tcPr>
          <w:p>
            <w:pPr>
              <w:ind w:left="220"/>
              <w:spacing w:after="0"/>
              <w:rPr>
                <w:sz w:val="20"/>
                <w:szCs w:val="20"/>
                <w:color w:val="auto"/>
              </w:rPr>
            </w:pPr>
            <w:r>
              <w:rPr>
                <w:rFonts w:ascii="Arial" w:cs="Arial" w:eastAsia="Arial" w:hAnsi="Arial"/>
                <w:sz w:val="18"/>
                <w:szCs w:val="18"/>
                <w:color w:val="auto"/>
              </w:rPr>
              <w:t>The Securities Exchange Act of 1934 (as amended)</w:t>
            </w:r>
          </w:p>
        </w:tc>
      </w:tr>
      <w:tr>
        <w:trPr>
          <w:trHeight w:val="216"/>
        </w:trPr>
        <w:tc>
          <w:tcPr>
            <w:tcW w:w="2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FASB</w:t>
            </w:r>
          </w:p>
        </w:tc>
        <w:tc>
          <w:tcPr>
            <w:tcW w:w="9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Financial Accounting Standards Board</w:t>
            </w:r>
          </w:p>
        </w:tc>
      </w:tr>
      <w:tr>
        <w:trPr>
          <w:trHeight w:val="216"/>
        </w:trPr>
        <w:tc>
          <w:tcPr>
            <w:tcW w:w="2040" w:type="dxa"/>
            <w:vAlign w:val="bottom"/>
          </w:tcPr>
          <w:p>
            <w:pPr>
              <w:spacing w:after="0"/>
              <w:rPr>
                <w:sz w:val="20"/>
                <w:szCs w:val="20"/>
                <w:color w:val="auto"/>
              </w:rPr>
            </w:pPr>
            <w:r>
              <w:rPr>
                <w:rFonts w:ascii="Arial" w:cs="Arial" w:eastAsia="Arial" w:hAnsi="Arial"/>
                <w:sz w:val="18"/>
                <w:szCs w:val="18"/>
                <w:b w:val="1"/>
                <w:bCs w:val="1"/>
                <w:color w:val="auto"/>
              </w:rPr>
              <w:t>Form 10-K</w:t>
            </w:r>
          </w:p>
        </w:tc>
        <w:tc>
          <w:tcPr>
            <w:tcW w:w="9200" w:type="dxa"/>
            <w:vAlign w:val="bottom"/>
          </w:tcPr>
          <w:p>
            <w:pPr>
              <w:ind w:left="220"/>
              <w:spacing w:after="0"/>
              <w:rPr>
                <w:sz w:val="20"/>
                <w:szCs w:val="20"/>
                <w:color w:val="auto"/>
              </w:rPr>
            </w:pPr>
            <w:r>
              <w:rPr>
                <w:rFonts w:ascii="Arial" w:cs="Arial" w:eastAsia="Arial" w:hAnsi="Arial"/>
                <w:sz w:val="18"/>
                <w:szCs w:val="18"/>
                <w:color w:val="auto"/>
              </w:rPr>
              <w:t>Annual Report on Form 10-K</w:t>
            </w:r>
          </w:p>
        </w:tc>
      </w:tr>
      <w:tr>
        <w:trPr>
          <w:trHeight w:val="216"/>
        </w:trPr>
        <w:tc>
          <w:tcPr>
            <w:tcW w:w="2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Form 10-Q</w:t>
            </w:r>
          </w:p>
        </w:tc>
        <w:tc>
          <w:tcPr>
            <w:tcW w:w="9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Quarterly Report on Form 10-Q</w:t>
            </w:r>
          </w:p>
        </w:tc>
      </w:tr>
      <w:tr>
        <w:trPr>
          <w:trHeight w:val="216"/>
        </w:trPr>
        <w:tc>
          <w:tcPr>
            <w:tcW w:w="2040" w:type="dxa"/>
            <w:vAlign w:val="bottom"/>
          </w:tcPr>
          <w:p>
            <w:pPr>
              <w:spacing w:after="0"/>
              <w:rPr>
                <w:sz w:val="20"/>
                <w:szCs w:val="20"/>
                <w:color w:val="auto"/>
              </w:rPr>
            </w:pPr>
            <w:r>
              <w:rPr>
                <w:rFonts w:ascii="Arial" w:cs="Arial" w:eastAsia="Arial" w:hAnsi="Arial"/>
                <w:sz w:val="18"/>
                <w:szCs w:val="18"/>
                <w:b w:val="1"/>
                <w:bCs w:val="1"/>
                <w:color w:val="auto"/>
              </w:rPr>
              <w:t>FPDs</w:t>
            </w:r>
          </w:p>
        </w:tc>
        <w:tc>
          <w:tcPr>
            <w:tcW w:w="9200" w:type="dxa"/>
            <w:vAlign w:val="bottom"/>
          </w:tcPr>
          <w:p>
            <w:pPr>
              <w:ind w:left="220"/>
              <w:spacing w:after="0"/>
              <w:rPr>
                <w:sz w:val="20"/>
                <w:szCs w:val="20"/>
                <w:color w:val="auto"/>
              </w:rPr>
            </w:pPr>
            <w:r>
              <w:rPr>
                <w:rFonts w:ascii="Arial" w:cs="Arial" w:eastAsia="Arial" w:hAnsi="Arial"/>
                <w:sz w:val="18"/>
                <w:szCs w:val="18"/>
                <w:color w:val="auto"/>
              </w:rPr>
              <w:t>Flat-panel displays, or “displays”</w:t>
            </w:r>
          </w:p>
        </w:tc>
      </w:tr>
      <w:tr>
        <w:trPr>
          <w:trHeight w:val="202"/>
        </w:trPr>
        <w:tc>
          <w:tcPr>
            <w:tcW w:w="20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Generation</w:t>
            </w:r>
          </w:p>
        </w:tc>
        <w:tc>
          <w:tcPr>
            <w:tcW w:w="92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5"/>
              </w:rPr>
              <w:t>In reference to flat-panel displays, refers to the size range of the underlying substrate to which a photomask is applied.</w:t>
            </w:r>
          </w:p>
        </w:tc>
      </w:tr>
      <w:tr>
        <w:trPr>
          <w:trHeight w:val="230"/>
        </w:trPr>
        <w:tc>
          <w:tcPr>
            <w:tcW w:w="2040" w:type="dxa"/>
            <w:vAlign w:val="bottom"/>
            <w:shd w:val="clear" w:color="auto" w:fill="CCEEFF"/>
          </w:tcPr>
          <w:p>
            <w:pPr>
              <w:spacing w:after="0"/>
              <w:rPr>
                <w:sz w:val="20"/>
                <w:szCs w:val="20"/>
                <w:color w:val="auto"/>
              </w:rPr>
            </w:pPr>
          </w:p>
        </w:tc>
        <w:tc>
          <w:tcPr>
            <w:tcW w:w="9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Higher generation (or “G”) numbers represent larger substrates</w:t>
            </w:r>
          </w:p>
        </w:tc>
      </w:tr>
      <w:tr>
        <w:trPr>
          <w:trHeight w:val="216"/>
        </w:trPr>
        <w:tc>
          <w:tcPr>
            <w:tcW w:w="2040" w:type="dxa"/>
            <w:vAlign w:val="bottom"/>
          </w:tcPr>
          <w:p>
            <w:pPr>
              <w:spacing w:after="0"/>
              <w:rPr>
                <w:sz w:val="20"/>
                <w:szCs w:val="20"/>
                <w:color w:val="auto"/>
              </w:rPr>
            </w:pPr>
            <w:r>
              <w:rPr>
                <w:rFonts w:ascii="Arial" w:cs="Arial" w:eastAsia="Arial" w:hAnsi="Arial"/>
                <w:sz w:val="18"/>
                <w:szCs w:val="18"/>
                <w:b w:val="1"/>
                <w:bCs w:val="1"/>
                <w:color w:val="auto"/>
              </w:rPr>
              <w:t>High-end (photomasks)</w:t>
            </w:r>
          </w:p>
        </w:tc>
        <w:tc>
          <w:tcPr>
            <w:tcW w:w="9200" w:type="dxa"/>
            <w:vAlign w:val="bottom"/>
          </w:tcPr>
          <w:p>
            <w:pPr>
              <w:ind w:left="220"/>
              <w:spacing w:after="0"/>
              <w:rPr>
                <w:sz w:val="20"/>
                <w:szCs w:val="20"/>
                <w:color w:val="auto"/>
              </w:rPr>
            </w:pPr>
            <w:r>
              <w:rPr>
                <w:rFonts w:ascii="Arial" w:cs="Arial" w:eastAsia="Arial" w:hAnsi="Arial"/>
                <w:sz w:val="18"/>
                <w:szCs w:val="18"/>
                <w:color w:val="auto"/>
              </w:rPr>
              <w:t>For IC, photomasks that are 28nm or smaller; for FPD, AMOLED, G10.5+, and LTPS photomasks</w:t>
            </w:r>
          </w:p>
        </w:tc>
      </w:tr>
      <w:tr>
        <w:trPr>
          <w:trHeight w:val="216"/>
        </w:trPr>
        <w:tc>
          <w:tcPr>
            <w:tcW w:w="2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ICs</w:t>
            </w:r>
          </w:p>
        </w:tc>
        <w:tc>
          <w:tcPr>
            <w:tcW w:w="9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Integrated circuits, or semiconductors</w:t>
            </w:r>
          </w:p>
        </w:tc>
      </w:tr>
      <w:tr>
        <w:trPr>
          <w:trHeight w:val="216"/>
        </w:trPr>
        <w:tc>
          <w:tcPr>
            <w:tcW w:w="2040" w:type="dxa"/>
            <w:vAlign w:val="bottom"/>
          </w:tcPr>
          <w:p>
            <w:pPr>
              <w:spacing w:after="0"/>
              <w:rPr>
                <w:sz w:val="20"/>
                <w:szCs w:val="20"/>
                <w:color w:val="auto"/>
              </w:rPr>
            </w:pPr>
            <w:r>
              <w:rPr>
                <w:rFonts w:ascii="Arial" w:cs="Arial" w:eastAsia="Arial" w:hAnsi="Arial"/>
                <w:sz w:val="18"/>
                <w:szCs w:val="18"/>
                <w:b w:val="1"/>
                <w:bCs w:val="1"/>
                <w:color w:val="auto"/>
              </w:rPr>
              <w:t>LIBOR</w:t>
            </w:r>
          </w:p>
        </w:tc>
        <w:tc>
          <w:tcPr>
            <w:tcW w:w="9200" w:type="dxa"/>
            <w:vAlign w:val="bottom"/>
          </w:tcPr>
          <w:p>
            <w:pPr>
              <w:ind w:left="220"/>
              <w:spacing w:after="0"/>
              <w:rPr>
                <w:sz w:val="20"/>
                <w:szCs w:val="20"/>
                <w:color w:val="auto"/>
              </w:rPr>
            </w:pPr>
            <w:r>
              <w:rPr>
                <w:rFonts w:ascii="Arial" w:cs="Arial" w:eastAsia="Arial" w:hAnsi="Arial"/>
                <w:sz w:val="18"/>
                <w:szCs w:val="18"/>
                <w:color w:val="auto"/>
              </w:rPr>
              <w:t>London Inter-Bank Offered Rate</w:t>
            </w:r>
          </w:p>
        </w:tc>
      </w:tr>
      <w:tr>
        <w:trPr>
          <w:trHeight w:val="202"/>
        </w:trPr>
        <w:tc>
          <w:tcPr>
            <w:tcW w:w="20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LTPS</w:t>
            </w:r>
          </w:p>
        </w:tc>
        <w:tc>
          <w:tcPr>
            <w:tcW w:w="92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2"/>
              </w:rPr>
              <w:t>Low-Temperature Poly Silicon, a polycrystalline silicon synthesized at relatively low temperatures; polycrystalline silicon in</w:t>
            </w:r>
          </w:p>
        </w:tc>
      </w:tr>
      <w:tr>
        <w:trPr>
          <w:trHeight w:val="216"/>
        </w:trPr>
        <w:tc>
          <w:tcPr>
            <w:tcW w:w="2040" w:type="dxa"/>
            <w:vAlign w:val="bottom"/>
            <w:shd w:val="clear" w:color="auto" w:fill="CCEEFF"/>
          </w:tcPr>
          <w:p>
            <w:pPr>
              <w:spacing w:after="0"/>
              <w:rPr>
                <w:sz w:val="18"/>
                <w:szCs w:val="18"/>
                <w:color w:val="auto"/>
              </w:rPr>
            </w:pPr>
          </w:p>
        </w:tc>
        <w:tc>
          <w:tcPr>
            <w:tcW w:w="92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6"/>
              </w:rPr>
              <w:t>thin-film transistors (TFTs) are used in liquid-crystal display (LCD) flat panels and to drive organic light-emitting diode</w:t>
            </w:r>
          </w:p>
        </w:tc>
      </w:tr>
      <w:tr>
        <w:trPr>
          <w:trHeight w:val="230"/>
        </w:trPr>
        <w:tc>
          <w:tcPr>
            <w:tcW w:w="2040" w:type="dxa"/>
            <w:vAlign w:val="bottom"/>
            <w:shd w:val="clear" w:color="auto" w:fill="CCEEFF"/>
          </w:tcPr>
          <w:p>
            <w:pPr>
              <w:spacing w:after="0"/>
              <w:rPr>
                <w:sz w:val="20"/>
                <w:szCs w:val="20"/>
                <w:color w:val="auto"/>
              </w:rPr>
            </w:pPr>
          </w:p>
        </w:tc>
        <w:tc>
          <w:tcPr>
            <w:tcW w:w="9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(OLED) displays</w:t>
            </w:r>
          </w:p>
        </w:tc>
      </w:tr>
      <w:tr>
        <w:trPr>
          <w:trHeight w:val="216"/>
        </w:trPr>
        <w:tc>
          <w:tcPr>
            <w:tcW w:w="2040" w:type="dxa"/>
            <w:vAlign w:val="bottom"/>
          </w:tcPr>
          <w:p>
            <w:pPr>
              <w:spacing w:after="0"/>
              <w:rPr>
                <w:sz w:val="20"/>
                <w:szCs w:val="20"/>
                <w:color w:val="auto"/>
              </w:rPr>
            </w:pPr>
            <w:r>
              <w:rPr>
                <w:rFonts w:ascii="Arial" w:cs="Arial" w:eastAsia="Arial" w:hAnsi="Arial"/>
                <w:sz w:val="18"/>
                <w:szCs w:val="18"/>
                <w:b w:val="1"/>
                <w:bCs w:val="1"/>
                <w:color w:val="auto"/>
              </w:rPr>
              <w:t>MLA</w:t>
            </w:r>
          </w:p>
        </w:tc>
        <w:tc>
          <w:tcPr>
            <w:tcW w:w="9200" w:type="dxa"/>
            <w:vAlign w:val="bottom"/>
          </w:tcPr>
          <w:p>
            <w:pPr>
              <w:ind w:left="220"/>
              <w:spacing w:after="0"/>
              <w:rPr>
                <w:sz w:val="20"/>
                <w:szCs w:val="20"/>
                <w:color w:val="auto"/>
              </w:rPr>
            </w:pPr>
            <w:r>
              <w:rPr>
                <w:rFonts w:ascii="Arial" w:cs="Arial" w:eastAsia="Arial" w:hAnsi="Arial"/>
                <w:sz w:val="18"/>
                <w:szCs w:val="18"/>
                <w:color w:val="auto"/>
              </w:rPr>
              <w:t>Master Lease Agreement</w:t>
            </w:r>
          </w:p>
        </w:tc>
      </w:tr>
      <w:tr>
        <w:trPr>
          <w:trHeight w:val="202"/>
        </w:trPr>
        <w:tc>
          <w:tcPr>
            <w:tcW w:w="11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7"/>
              </w:rPr>
              <w:t xml:space="preserve">Optical proximity correction </w:t>
            </w:r>
            <w:r>
              <w:rPr>
                <w:rFonts w:ascii="Arial" w:cs="Arial" w:eastAsia="Arial" w:hAnsi="Arial"/>
                <w:sz w:val="18"/>
                <w:szCs w:val="18"/>
                <w:color w:val="auto"/>
                <w:w w:val="97"/>
              </w:rPr>
              <w:t>A photolithography enhancement technique applied to compensate for the limitations of light to maintain the edge</w:t>
            </w:r>
          </w:p>
        </w:tc>
      </w:tr>
      <w:tr>
        <w:trPr>
          <w:trHeight w:val="230"/>
        </w:trPr>
        <w:tc>
          <w:tcPr>
            <w:tcW w:w="2040" w:type="dxa"/>
            <w:vAlign w:val="bottom"/>
            <w:shd w:val="clear" w:color="auto" w:fill="CCEEFF"/>
          </w:tcPr>
          <w:p>
            <w:pPr>
              <w:spacing w:after="0"/>
              <w:rPr>
                <w:sz w:val="20"/>
                <w:szCs w:val="20"/>
                <w:color w:val="auto"/>
              </w:rPr>
            </w:pPr>
          </w:p>
        </w:tc>
        <w:tc>
          <w:tcPr>
            <w:tcW w:w="9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placement integrity of an original design, imaged onto a silicon wafer, for further processing to an etched pattern.</w:t>
            </w:r>
          </w:p>
        </w:tc>
      </w:tr>
      <w:tr>
        <w:trPr>
          <w:trHeight w:val="216"/>
        </w:trPr>
        <w:tc>
          <w:tcPr>
            <w:tcW w:w="2040" w:type="dxa"/>
            <w:vAlign w:val="bottom"/>
          </w:tcPr>
          <w:p>
            <w:pPr>
              <w:spacing w:after="0"/>
              <w:rPr>
                <w:sz w:val="20"/>
                <w:szCs w:val="20"/>
                <w:color w:val="auto"/>
              </w:rPr>
            </w:pPr>
            <w:r>
              <w:rPr>
                <w:rFonts w:ascii="Arial" w:cs="Arial" w:eastAsia="Arial" w:hAnsi="Arial"/>
                <w:sz w:val="18"/>
                <w:szCs w:val="18"/>
                <w:b w:val="1"/>
                <w:bCs w:val="1"/>
                <w:color w:val="auto"/>
              </w:rPr>
              <w:t>PDMCX</w:t>
            </w:r>
          </w:p>
        </w:tc>
        <w:tc>
          <w:tcPr>
            <w:tcW w:w="9200" w:type="dxa"/>
            <w:vAlign w:val="bottom"/>
          </w:tcPr>
          <w:p>
            <w:pPr>
              <w:ind w:left="220"/>
              <w:spacing w:after="0"/>
              <w:rPr>
                <w:sz w:val="20"/>
                <w:szCs w:val="20"/>
                <w:color w:val="auto"/>
              </w:rPr>
            </w:pPr>
            <w:r>
              <w:rPr>
                <w:rFonts w:ascii="Arial" w:cs="Arial" w:eastAsia="Arial" w:hAnsi="Arial"/>
                <w:sz w:val="18"/>
                <w:szCs w:val="18"/>
                <w:color w:val="auto"/>
              </w:rPr>
              <w:t>Xiamen American Japan Photronics Mask Co., Ltd., a joint venture of Photronics and DNP</w:t>
            </w:r>
          </w:p>
        </w:tc>
      </w:tr>
      <w:tr>
        <w:trPr>
          <w:trHeight w:val="202"/>
        </w:trPr>
        <w:tc>
          <w:tcPr>
            <w:tcW w:w="20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7"/>
              </w:rPr>
              <w:t>Phase-shift photomasks</w:t>
            </w:r>
          </w:p>
        </w:tc>
        <w:tc>
          <w:tcPr>
            <w:tcW w:w="92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7"/>
              </w:rPr>
              <w:t>Photomasks that take advantage of the interference generated by phase differences to improve image resolution in</w:t>
            </w:r>
          </w:p>
        </w:tc>
      </w:tr>
      <w:tr>
        <w:trPr>
          <w:trHeight w:val="230"/>
        </w:trPr>
        <w:tc>
          <w:tcPr>
            <w:tcW w:w="2040" w:type="dxa"/>
            <w:vAlign w:val="bottom"/>
            <w:shd w:val="clear" w:color="auto" w:fill="CCEEFF"/>
          </w:tcPr>
          <w:p>
            <w:pPr>
              <w:spacing w:after="0"/>
              <w:rPr>
                <w:sz w:val="20"/>
                <w:szCs w:val="20"/>
                <w:color w:val="auto"/>
              </w:rPr>
            </w:pPr>
          </w:p>
        </w:tc>
        <w:tc>
          <w:tcPr>
            <w:tcW w:w="9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photolithography</w:t>
            </w:r>
          </w:p>
        </w:tc>
      </w:tr>
      <w:tr>
        <w:trPr>
          <w:trHeight w:val="202"/>
        </w:trPr>
        <w:tc>
          <w:tcPr>
            <w:tcW w:w="2040" w:type="dxa"/>
            <w:vAlign w:val="bottom"/>
          </w:tcPr>
          <w:p>
            <w:pPr>
              <w:spacing w:after="0" w:line="201" w:lineRule="exact"/>
              <w:rPr>
                <w:sz w:val="20"/>
                <w:szCs w:val="20"/>
                <w:color w:val="auto"/>
              </w:rPr>
            </w:pPr>
            <w:r>
              <w:rPr>
                <w:rFonts w:ascii="Arial" w:cs="Arial" w:eastAsia="Arial" w:hAnsi="Arial"/>
                <w:sz w:val="18"/>
                <w:szCs w:val="18"/>
                <w:b w:val="1"/>
                <w:bCs w:val="1"/>
                <w:color w:val="auto"/>
              </w:rPr>
              <w:t>Pure-play foundry</w:t>
            </w:r>
          </w:p>
        </w:tc>
        <w:tc>
          <w:tcPr>
            <w:tcW w:w="9200" w:type="dxa"/>
            <w:vAlign w:val="bottom"/>
          </w:tcPr>
          <w:p>
            <w:pPr>
              <w:ind w:left="220"/>
              <w:spacing w:after="0" w:line="201" w:lineRule="exact"/>
              <w:rPr>
                <w:sz w:val="20"/>
                <w:szCs w:val="20"/>
                <w:color w:val="auto"/>
              </w:rPr>
            </w:pPr>
            <w:r>
              <w:rPr>
                <w:rFonts w:ascii="Arial" w:cs="Arial" w:eastAsia="Arial" w:hAnsi="Arial"/>
                <w:sz w:val="18"/>
                <w:szCs w:val="18"/>
                <w:color w:val="auto"/>
                <w:w w:val="93"/>
              </w:rPr>
              <w:t>A company that does not produce a significant volume of IC products of its own design, but rather operates IC fabrication</w:t>
            </w:r>
          </w:p>
        </w:tc>
      </w:tr>
      <w:tr>
        <w:trPr>
          <w:trHeight w:val="230"/>
        </w:trPr>
        <w:tc>
          <w:tcPr>
            <w:tcW w:w="2040" w:type="dxa"/>
            <w:vAlign w:val="bottom"/>
          </w:tcPr>
          <w:p>
            <w:pPr>
              <w:spacing w:after="0"/>
              <w:rPr>
                <w:sz w:val="20"/>
                <w:szCs w:val="20"/>
                <w:color w:val="auto"/>
              </w:rPr>
            </w:pPr>
          </w:p>
        </w:tc>
        <w:tc>
          <w:tcPr>
            <w:tcW w:w="9200" w:type="dxa"/>
            <w:vAlign w:val="bottom"/>
          </w:tcPr>
          <w:p>
            <w:pPr>
              <w:ind w:left="220"/>
              <w:spacing w:after="0"/>
              <w:rPr>
                <w:sz w:val="20"/>
                <w:szCs w:val="20"/>
                <w:color w:val="auto"/>
              </w:rPr>
            </w:pPr>
            <w:r>
              <w:rPr>
                <w:rFonts w:ascii="Arial" w:cs="Arial" w:eastAsia="Arial" w:hAnsi="Arial"/>
                <w:sz w:val="18"/>
                <w:szCs w:val="18"/>
                <w:color w:val="auto"/>
              </w:rPr>
              <w:t>plants dedicated to producing ICs for other companies</w:t>
            </w:r>
          </w:p>
        </w:tc>
      </w:tr>
      <w:tr>
        <w:trPr>
          <w:trHeight w:val="216"/>
        </w:trPr>
        <w:tc>
          <w:tcPr>
            <w:tcW w:w="2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RMB</w:t>
            </w:r>
          </w:p>
        </w:tc>
        <w:tc>
          <w:tcPr>
            <w:tcW w:w="9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Chinese renminbi</w:t>
            </w:r>
          </w:p>
        </w:tc>
      </w:tr>
      <w:tr>
        <w:trPr>
          <w:trHeight w:val="216"/>
        </w:trPr>
        <w:tc>
          <w:tcPr>
            <w:tcW w:w="2040" w:type="dxa"/>
            <w:vAlign w:val="bottom"/>
          </w:tcPr>
          <w:p>
            <w:pPr>
              <w:spacing w:after="0"/>
              <w:rPr>
                <w:sz w:val="20"/>
                <w:szCs w:val="20"/>
                <w:color w:val="auto"/>
              </w:rPr>
            </w:pPr>
            <w:r>
              <w:rPr>
                <w:rFonts w:ascii="Arial" w:cs="Arial" w:eastAsia="Arial" w:hAnsi="Arial"/>
                <w:sz w:val="18"/>
                <w:szCs w:val="18"/>
                <w:b w:val="1"/>
                <w:bCs w:val="1"/>
                <w:color w:val="auto"/>
              </w:rPr>
              <w:t>ROU (assets)</w:t>
            </w:r>
          </w:p>
        </w:tc>
        <w:tc>
          <w:tcPr>
            <w:tcW w:w="9200" w:type="dxa"/>
            <w:vAlign w:val="bottom"/>
          </w:tcPr>
          <w:p>
            <w:pPr>
              <w:ind w:left="220"/>
              <w:spacing w:after="0"/>
              <w:rPr>
                <w:sz w:val="20"/>
                <w:szCs w:val="20"/>
                <w:color w:val="auto"/>
              </w:rPr>
            </w:pPr>
            <w:r>
              <w:rPr>
                <w:rFonts w:ascii="Arial" w:cs="Arial" w:eastAsia="Arial" w:hAnsi="Arial"/>
                <w:sz w:val="18"/>
                <w:szCs w:val="18"/>
                <w:color w:val="auto"/>
              </w:rPr>
              <w:t>Right-of-use asset</w:t>
            </w:r>
          </w:p>
        </w:tc>
      </w:tr>
      <w:tr>
        <w:trPr>
          <w:trHeight w:val="216"/>
        </w:trPr>
        <w:tc>
          <w:tcPr>
            <w:tcW w:w="2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w:t>
            </w:r>
          </w:p>
        </w:tc>
        <w:tc>
          <w:tcPr>
            <w:tcW w:w="9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Securities and Exchange Commission</w:t>
            </w:r>
          </w:p>
        </w:tc>
      </w:tr>
      <w:tr>
        <w:trPr>
          <w:trHeight w:val="216"/>
        </w:trPr>
        <w:tc>
          <w:tcPr>
            <w:tcW w:w="2040" w:type="dxa"/>
            <w:vAlign w:val="bottom"/>
          </w:tcPr>
          <w:p>
            <w:pPr>
              <w:spacing w:after="0"/>
              <w:rPr>
                <w:sz w:val="20"/>
                <w:szCs w:val="20"/>
                <w:color w:val="auto"/>
              </w:rPr>
            </w:pPr>
            <w:r>
              <w:rPr>
                <w:rFonts w:ascii="Arial" w:cs="Arial" w:eastAsia="Arial" w:hAnsi="Arial"/>
                <w:sz w:val="18"/>
                <w:szCs w:val="18"/>
                <w:b w:val="1"/>
                <w:bCs w:val="1"/>
                <w:color w:val="auto"/>
              </w:rPr>
              <w:t>Securities Act</w:t>
            </w:r>
          </w:p>
        </w:tc>
        <w:tc>
          <w:tcPr>
            <w:tcW w:w="9200" w:type="dxa"/>
            <w:vAlign w:val="bottom"/>
          </w:tcPr>
          <w:p>
            <w:pPr>
              <w:ind w:left="220"/>
              <w:spacing w:after="0"/>
              <w:rPr>
                <w:sz w:val="20"/>
                <w:szCs w:val="20"/>
                <w:color w:val="auto"/>
              </w:rPr>
            </w:pPr>
            <w:r>
              <w:rPr>
                <w:rFonts w:ascii="Arial" w:cs="Arial" w:eastAsia="Arial" w:hAnsi="Arial"/>
                <w:sz w:val="18"/>
                <w:szCs w:val="18"/>
                <w:color w:val="auto"/>
              </w:rPr>
              <w:t>The Securities Act of 1933 (as amended)</w:t>
            </w:r>
          </w:p>
        </w:tc>
      </w:tr>
      <w:tr>
        <w:trPr>
          <w:trHeight w:val="202"/>
        </w:trPr>
        <w:tc>
          <w:tcPr>
            <w:tcW w:w="20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Sputtering</w:t>
            </w:r>
          </w:p>
        </w:tc>
        <w:tc>
          <w:tcPr>
            <w:tcW w:w="92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6"/>
              </w:rPr>
              <w:t>The bombardment of a material with energetic particles to cause microscopic particles of the material to eject from its</w:t>
            </w:r>
          </w:p>
        </w:tc>
      </w:tr>
      <w:tr>
        <w:trPr>
          <w:trHeight w:val="230"/>
        </w:trPr>
        <w:tc>
          <w:tcPr>
            <w:tcW w:w="2040" w:type="dxa"/>
            <w:vAlign w:val="bottom"/>
            <w:shd w:val="clear" w:color="auto" w:fill="CCEEFF"/>
          </w:tcPr>
          <w:p>
            <w:pPr>
              <w:spacing w:after="0"/>
              <w:rPr>
                <w:sz w:val="20"/>
                <w:szCs w:val="20"/>
                <w:color w:val="auto"/>
              </w:rPr>
            </w:pPr>
          </w:p>
        </w:tc>
        <w:tc>
          <w:tcPr>
            <w:tcW w:w="9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surface.</w:t>
            </w:r>
          </w:p>
        </w:tc>
      </w:tr>
      <w:tr>
        <w:trPr>
          <w:trHeight w:val="216"/>
        </w:trPr>
        <w:tc>
          <w:tcPr>
            <w:tcW w:w="2040" w:type="dxa"/>
            <w:vAlign w:val="bottom"/>
          </w:tcPr>
          <w:p>
            <w:pPr>
              <w:spacing w:after="0"/>
              <w:rPr>
                <w:sz w:val="20"/>
                <w:szCs w:val="20"/>
                <w:color w:val="auto"/>
              </w:rPr>
            </w:pPr>
            <w:r>
              <w:rPr>
                <w:rFonts w:ascii="Arial" w:cs="Arial" w:eastAsia="Arial" w:hAnsi="Arial"/>
                <w:sz w:val="18"/>
                <w:szCs w:val="18"/>
                <w:b w:val="1"/>
                <w:bCs w:val="1"/>
                <w:color w:val="auto"/>
              </w:rPr>
              <w:t>U.S. GAAP</w:t>
            </w:r>
          </w:p>
        </w:tc>
        <w:tc>
          <w:tcPr>
            <w:tcW w:w="9200" w:type="dxa"/>
            <w:vAlign w:val="bottom"/>
          </w:tcPr>
          <w:p>
            <w:pPr>
              <w:ind w:left="220"/>
              <w:spacing w:after="0"/>
              <w:rPr>
                <w:sz w:val="20"/>
                <w:szCs w:val="20"/>
                <w:color w:val="auto"/>
              </w:rPr>
            </w:pPr>
            <w:r>
              <w:rPr>
                <w:rFonts w:ascii="Arial" w:cs="Arial" w:eastAsia="Arial" w:hAnsi="Arial"/>
                <w:sz w:val="18"/>
                <w:szCs w:val="18"/>
                <w:color w:val="auto"/>
              </w:rPr>
              <w:t>Accounting principles generally accepted in the United States of America</w:t>
            </w:r>
          </w:p>
        </w:tc>
      </w:tr>
      <w:tr>
        <w:trPr>
          <w:trHeight w:val="202"/>
        </w:trPr>
        <w:tc>
          <w:tcPr>
            <w:tcW w:w="20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Wafer</w:t>
            </w:r>
          </w:p>
        </w:tc>
        <w:tc>
          <w:tcPr>
            <w:tcW w:w="92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2"/>
              </w:rPr>
              <w:t>A wafer, or silicon wafer, is a thin slice of semiconductor material that, in the fabrication of microelectronics, serves as the</w:t>
            </w:r>
          </w:p>
        </w:tc>
      </w:tr>
      <w:tr>
        <w:trPr>
          <w:trHeight w:val="230"/>
        </w:trPr>
        <w:tc>
          <w:tcPr>
            <w:tcW w:w="2040" w:type="dxa"/>
            <w:vAlign w:val="bottom"/>
            <w:shd w:val="clear" w:color="auto" w:fill="CCEEFF"/>
          </w:tcPr>
          <w:p>
            <w:pPr>
              <w:spacing w:after="0"/>
              <w:rPr>
                <w:sz w:val="20"/>
                <w:szCs w:val="20"/>
                <w:color w:val="auto"/>
              </w:rPr>
            </w:pPr>
          </w:p>
        </w:tc>
        <w:tc>
          <w:tcPr>
            <w:tcW w:w="9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substrate for microelectronic devices built in and upon the wafer</w:t>
            </w:r>
          </w:p>
        </w:tc>
      </w:tr>
      <w:tr>
        <w:trPr>
          <w:trHeight w:val="569"/>
        </w:trPr>
        <w:tc>
          <w:tcPr>
            <w:tcW w:w="2040" w:type="dxa"/>
            <w:vAlign w:val="bottom"/>
          </w:tcPr>
          <w:p>
            <w:pPr>
              <w:spacing w:after="0"/>
              <w:rPr>
                <w:sz w:val="24"/>
                <w:szCs w:val="24"/>
                <w:color w:val="auto"/>
              </w:rPr>
            </w:pPr>
          </w:p>
        </w:tc>
        <w:tc>
          <w:tcPr>
            <w:tcW w:w="9200" w:type="dxa"/>
            <w:vAlign w:val="bottom"/>
          </w:tcPr>
          <w:p>
            <w:pPr>
              <w:ind w:left="3540"/>
              <w:spacing w:after="0"/>
              <w:rPr>
                <w:sz w:val="20"/>
                <w:szCs w:val="20"/>
                <w:color w:val="auto"/>
              </w:rPr>
            </w:pPr>
            <w:r>
              <w:rPr>
                <w:rFonts w:ascii="Arial" w:cs="Arial" w:eastAsia="Arial" w:hAnsi="Arial"/>
                <w:sz w:val="14"/>
                <w:szCs w:val="14"/>
                <w:color w:val="auto"/>
              </w:rPr>
              <w:t>3</w:t>
            </w:r>
          </w:p>
        </w:tc>
      </w:tr>
      <w:tr>
        <w:trPr>
          <w:trHeight w:val="46"/>
        </w:trPr>
        <w:tc>
          <w:tcPr>
            <w:tcW w:w="2040" w:type="dxa"/>
            <w:vAlign w:val="bottom"/>
            <w:tcBorders>
              <w:bottom w:val="single" w:sz="8" w:color="auto"/>
            </w:tcBorders>
          </w:tcPr>
          <w:p>
            <w:pPr>
              <w:spacing w:after="0"/>
              <w:rPr>
                <w:sz w:val="4"/>
                <w:szCs w:val="4"/>
                <w:color w:val="auto"/>
              </w:rPr>
            </w:pPr>
          </w:p>
        </w:tc>
        <w:tc>
          <w:tcPr>
            <w:tcW w:w="92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40" w:firstLine="162"/>
        <w:spacing w:after="0" w:line="291" w:lineRule="auto"/>
        <w:rPr>
          <w:sz w:val="20"/>
          <w:szCs w:val="20"/>
          <w:color w:val="auto"/>
        </w:rPr>
      </w:pPr>
      <w:r>
        <w:rPr>
          <w:rFonts w:ascii="Arial" w:cs="Arial" w:eastAsia="Arial" w:hAnsi="Arial"/>
          <w:sz w:val="16"/>
          <w:szCs w:val="16"/>
          <w:color w:val="auto"/>
        </w:rPr>
        <w:t>This Form 10-Q contains forward-looking statements, as defined by the SEC. The Private Securities Litigation Reform Act of 1995 provides a “safe harbor” for forward-looking statements made by us, or on our behalf. Forward-looking statements are statements other than statements of historical fact, including, without limitation, those statements that include such words as “anticipates”, “believes”, “estimates”, “expects”, “intends”, “may”, “plans”, “predicts”, and similar expressions, and, without limitation, may address our future plans, objectives, goals, strategies, events, or performance, as well as underlying assumptions and other statements that are other than statements of historical facts. On occasion, in other documents filed with the SEC, press releases, conferences, or by other means, we may discuss, publish, disseminate, or otherwise make available, forward-looking statements, including statements contained within Part I, Item 2 – “Management’s Discussion &amp; Analysis of Financial Condition and Results of Operations” of this Form 10-Q.</w:t>
      </w:r>
    </w:p>
    <w:p>
      <w:pPr>
        <w:spacing w:after="0" w:line="166" w:lineRule="exact"/>
        <w:rPr>
          <w:sz w:val="20"/>
          <w:szCs w:val="20"/>
          <w:color w:val="auto"/>
        </w:rPr>
      </w:pPr>
    </w:p>
    <w:p>
      <w:pPr>
        <w:ind w:firstLine="162"/>
        <w:spacing w:after="0" w:line="279" w:lineRule="auto"/>
        <w:rPr>
          <w:sz w:val="20"/>
          <w:szCs w:val="20"/>
          <w:color w:val="auto"/>
        </w:rPr>
      </w:pPr>
      <w:r>
        <w:rPr>
          <w:rFonts w:ascii="Arial" w:cs="Arial" w:eastAsia="Arial" w:hAnsi="Arial"/>
          <w:sz w:val="17"/>
          <w:szCs w:val="17"/>
          <w:color w:val="auto"/>
        </w:rPr>
        <w:t>Forward-looking statements involve risks and uncertainties, which could cause actual results or outcomes to differ materially from those expressed. Our expectations, beliefs, and projections are expressed in good faith and are believed by us to have a reasonable basis, including, without limitation, management’s examination of historical operating trends, information contained in our records, and information we’ve obtained from other parties. However, we can offer no assurance that our expectations, beliefs, or projections will be realized, accomplished, or achieved.</w:t>
      </w:r>
    </w:p>
    <w:p>
      <w:pPr>
        <w:spacing w:after="0" w:line="171" w:lineRule="exact"/>
        <w:rPr>
          <w:sz w:val="20"/>
          <w:szCs w:val="20"/>
          <w:color w:val="auto"/>
        </w:rPr>
      </w:pPr>
    </w:p>
    <w:p>
      <w:pPr>
        <w:ind w:right="60" w:firstLine="162"/>
        <w:spacing w:after="0" w:line="255" w:lineRule="auto"/>
        <w:rPr>
          <w:sz w:val="20"/>
          <w:szCs w:val="20"/>
          <w:color w:val="auto"/>
        </w:rPr>
      </w:pPr>
      <w:r>
        <w:rPr>
          <w:rFonts w:ascii="Arial" w:cs="Arial" w:eastAsia="Arial" w:hAnsi="Arial"/>
          <w:sz w:val="18"/>
          <w:szCs w:val="18"/>
          <w:color w:val="auto"/>
        </w:rPr>
        <w:t>Forward-looking statements within this Form 10-Q speak only as of the date of its filing, and we undertake no obligation to update any such statements to reflect changes in events or circumstances that may subsequently occur. Users of this Form 10-Q are cautioned that various factors may cause actual results to differ materially from those contained in any forward-looking statements found within this Form 10-Q and that they should not place undue reliance on any forward-looking statement. In addition, all forward-looking statements, whether written or oral and whether made by us or on our behalf, are expressly qualified by the risk factors provided in Part I, Item 1A “Risk Factors” of our Form 10-K, as well as any additional risk factors we may provide in Part II, Item 1A of our Quarterly Reports on Form 10-Q.</w:t>
      </w:r>
    </w:p>
    <w:p>
      <w:pPr>
        <w:spacing w:after="0" w:line="377"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2" w:right="4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8580" w:type="dxa"/>
            <w:vAlign w:val="bottom"/>
            <w:gridSpan w:val="3"/>
          </w:tcPr>
          <w:p>
            <w:pPr>
              <w:spacing w:after="0"/>
              <w:rPr>
                <w:sz w:val="20"/>
                <w:szCs w:val="20"/>
                <w:color w:val="auto"/>
              </w:rPr>
            </w:pPr>
            <w:r>
              <w:rPr>
                <w:rFonts w:ascii="Arial" w:cs="Arial" w:eastAsia="Arial" w:hAnsi="Arial"/>
                <w:sz w:val="14"/>
                <w:szCs w:val="14"/>
                <w:i w:val="1"/>
                <w:iCs w:val="1"/>
                <w:color w:val="0000EE"/>
              </w:rPr>
              <w:t>Table of Contents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8"/>
        </w:trPr>
        <w:tc>
          <w:tcPr>
            <w:tcW w:w="98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color w:val="auto"/>
              </w:rPr>
              <w:t>PART I.</w:t>
            </w:r>
          </w:p>
        </w:tc>
        <w:tc>
          <w:tcPr>
            <w:tcW w:w="40" w:type="dxa"/>
            <w:vAlign w:val="bottom"/>
            <w:tcBorders>
              <w:top w:val="single" w:sz="8" w:color="0000EE"/>
            </w:tcBorders>
          </w:tcPr>
          <w:p>
            <w:pPr>
              <w:spacing w:after="0"/>
              <w:rPr>
                <w:sz w:val="19"/>
                <w:szCs w:val="19"/>
                <w:color w:val="auto"/>
              </w:rPr>
            </w:pPr>
          </w:p>
        </w:tc>
        <w:tc>
          <w:tcPr>
            <w:tcW w:w="7560" w:type="dxa"/>
            <w:vAlign w:val="bottom"/>
          </w:tcPr>
          <w:p>
            <w:pPr>
              <w:spacing w:after="0"/>
              <w:rPr>
                <w:sz w:val="20"/>
                <w:szCs w:val="20"/>
                <w:color w:val="auto"/>
              </w:rPr>
            </w:pPr>
            <w:r>
              <w:rPr>
                <w:rFonts w:ascii="Arial" w:cs="Arial" w:eastAsia="Arial" w:hAnsi="Arial"/>
                <w:sz w:val="18"/>
                <w:szCs w:val="18"/>
                <w:b w:val="1"/>
                <w:bCs w:val="1"/>
                <w:color w:val="auto"/>
              </w:rPr>
              <w:t>FINANCIAL INFORMATION</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4"/>
        </w:trPr>
        <w:tc>
          <w:tcPr>
            <w:tcW w:w="9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600" w:type="dxa"/>
            <w:vAlign w:val="bottom"/>
            <w:gridSpan w:val="2"/>
          </w:tcPr>
          <w:p>
            <w:pPr>
              <w:spacing w:after="0"/>
              <w:rPr>
                <w:sz w:val="20"/>
                <w:szCs w:val="20"/>
                <w:color w:val="auto"/>
              </w:rPr>
            </w:pPr>
            <w:r>
              <w:rPr>
                <w:rFonts w:ascii="Arial" w:cs="Arial" w:eastAsia="Arial" w:hAnsi="Arial"/>
                <w:sz w:val="18"/>
                <w:szCs w:val="18"/>
                <w:b w:val="1"/>
                <w:bCs w:val="1"/>
                <w:color w:val="auto"/>
              </w:rPr>
              <w:t>CONDENSED CONSOLIDATED FINANCIAL STATEMENTS</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560" w:type="dxa"/>
            <w:vAlign w:val="bottom"/>
          </w:tcPr>
          <w:p>
            <w:pPr>
              <w:jc w:val="center"/>
              <w:ind w:left="1550"/>
              <w:spacing w:after="0"/>
              <w:rPr>
                <w:sz w:val="20"/>
                <w:szCs w:val="20"/>
                <w:color w:val="auto"/>
              </w:rPr>
            </w:pPr>
            <w:r>
              <w:rPr>
                <w:rFonts w:ascii="Arial" w:cs="Arial" w:eastAsia="Arial" w:hAnsi="Arial"/>
                <w:sz w:val="18"/>
                <w:szCs w:val="18"/>
                <w:b w:val="1"/>
                <w:bCs w:val="1"/>
                <w:color w:val="auto"/>
              </w:rPr>
              <w:t>PHOTRONICS, INC.</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560" w:type="dxa"/>
            <w:vAlign w:val="bottom"/>
          </w:tcPr>
          <w:p>
            <w:pPr>
              <w:jc w:val="center"/>
              <w:ind w:left="157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560" w:type="dxa"/>
            <w:vAlign w:val="bottom"/>
          </w:tcPr>
          <w:p>
            <w:pPr>
              <w:jc w:val="center"/>
              <w:ind w:left="1570"/>
              <w:spacing w:after="0"/>
              <w:rPr>
                <w:sz w:val="20"/>
                <w:szCs w:val="20"/>
                <w:color w:val="auto"/>
              </w:rPr>
            </w:pPr>
            <w:r>
              <w:rPr>
                <w:rFonts w:ascii="Arial" w:cs="Arial" w:eastAsia="Arial" w:hAnsi="Arial"/>
                <w:sz w:val="18"/>
                <w:szCs w:val="18"/>
                <w:b w:val="1"/>
                <w:bCs w:val="1"/>
                <w:i w:val="1"/>
                <w:iCs w:val="1"/>
                <w:color w:val="auto"/>
                <w:w w:val="85"/>
              </w:rPr>
              <w:t>(in thousands, except per share amounts)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560" w:type="dxa"/>
            <w:vAlign w:val="bottom"/>
          </w:tcPr>
          <w:p>
            <w:pPr>
              <w:jc w:val="center"/>
              <w:ind w:left="1550"/>
              <w:spacing w:after="0"/>
              <w:rPr>
                <w:sz w:val="20"/>
                <w:szCs w:val="20"/>
                <w:color w:val="auto"/>
              </w:rPr>
            </w:pPr>
            <w:r>
              <w:rPr>
                <w:rFonts w:ascii="Arial" w:cs="Arial" w:eastAsia="Arial" w:hAnsi="Arial"/>
                <w:sz w:val="18"/>
                <w:szCs w:val="18"/>
                <w:b w:val="1"/>
                <w:bCs w:val="1"/>
                <w:i w:val="1"/>
                <w:iCs w:val="1"/>
                <w:color w:val="auto"/>
                <w:w w:val="89"/>
              </w:rPr>
              <w:t>(unaudited)</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April 30,</w:t>
            </w:r>
          </w:p>
        </w:tc>
        <w:tc>
          <w:tcPr>
            <w:tcW w:w="10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0"/>
              </w:rPr>
              <w:t>October 31,</w:t>
            </w:r>
          </w:p>
        </w:tc>
      </w:tr>
      <w:tr>
        <w:trPr>
          <w:trHeight w:val="241"/>
        </w:trPr>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02"/>
        </w:trPr>
        <w:tc>
          <w:tcPr>
            <w:tcW w:w="980" w:type="dxa"/>
            <w:vAlign w:val="bottom"/>
          </w:tcPr>
          <w:p>
            <w:pPr>
              <w:spacing w:after="0" w:line="201" w:lineRule="exact"/>
              <w:rPr>
                <w:sz w:val="20"/>
                <w:szCs w:val="20"/>
                <w:color w:val="auto"/>
              </w:rPr>
            </w:pPr>
            <w:r>
              <w:rPr>
                <w:rFonts w:ascii="Arial" w:cs="Arial" w:eastAsia="Arial" w:hAnsi="Arial"/>
                <w:sz w:val="18"/>
                <w:szCs w:val="18"/>
                <w:b w:val="1"/>
                <w:bCs w:val="1"/>
                <w:color w:val="auto"/>
              </w:rPr>
              <w:t>ASSETS</w:t>
            </w:r>
          </w:p>
        </w:tc>
        <w:tc>
          <w:tcPr>
            <w:tcW w:w="40" w:type="dxa"/>
            <w:vAlign w:val="bottom"/>
          </w:tcPr>
          <w:p>
            <w:pPr>
              <w:spacing w:after="0"/>
              <w:rPr>
                <w:sz w:val="17"/>
                <w:szCs w:val="17"/>
                <w:color w:val="auto"/>
              </w:rPr>
            </w:pPr>
          </w:p>
        </w:tc>
        <w:tc>
          <w:tcPr>
            <w:tcW w:w="7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58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5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367,485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319,680</w:t>
            </w:r>
          </w:p>
        </w:tc>
        <w:tc>
          <w:tcPr>
            <w:tcW w:w="100" w:type="dxa"/>
            <w:vAlign w:val="bottom"/>
            <w:shd w:val="clear" w:color="auto" w:fill="CCEEFF"/>
          </w:tcPr>
          <w:p>
            <w:pPr>
              <w:spacing w:after="0"/>
              <w:rPr>
                <w:sz w:val="18"/>
                <w:szCs w:val="18"/>
                <w:color w:val="auto"/>
              </w:rPr>
            </w:pPr>
          </w:p>
        </w:tc>
      </w:tr>
      <w:tr>
        <w:trPr>
          <w:trHeight w:val="216"/>
        </w:trPr>
        <w:tc>
          <w:tcPr>
            <w:tcW w:w="8580" w:type="dxa"/>
            <w:vAlign w:val="bottom"/>
            <w:gridSpan w:val="3"/>
          </w:tcPr>
          <w:p>
            <w:pPr>
              <w:ind w:left="180"/>
              <w:spacing w:after="0"/>
              <w:rPr>
                <w:sz w:val="20"/>
                <w:szCs w:val="20"/>
                <w:color w:val="auto"/>
              </w:rPr>
            </w:pPr>
            <w:r>
              <w:rPr>
                <w:rFonts w:ascii="Arial" w:cs="Arial" w:eastAsia="Arial" w:hAnsi="Arial"/>
                <w:sz w:val="18"/>
                <w:szCs w:val="18"/>
                <w:color w:val="auto"/>
              </w:rPr>
              <w:t>Short-term investments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45,431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38,820</w:t>
            </w:r>
          </w:p>
        </w:tc>
        <w:tc>
          <w:tcPr>
            <w:tcW w:w="100" w:type="dxa"/>
            <w:vAlign w:val="bottom"/>
          </w:tcPr>
          <w:p>
            <w:pPr>
              <w:spacing w:after="0"/>
              <w:rPr>
                <w:sz w:val="18"/>
                <w:szCs w:val="18"/>
                <w:color w:val="auto"/>
              </w:rPr>
            </w:pPr>
          </w:p>
        </w:tc>
      </w:tr>
      <w:tr>
        <w:trPr>
          <w:trHeight w:val="216"/>
        </w:trPr>
        <w:tc>
          <w:tcPr>
            <w:tcW w:w="85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Accounts receivable, net of allowance of $1,172 in 2023 and $1,002 in 2022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214,464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198,147</w:t>
            </w:r>
          </w:p>
        </w:tc>
        <w:tc>
          <w:tcPr>
            <w:tcW w:w="100" w:type="dxa"/>
            <w:vAlign w:val="bottom"/>
            <w:shd w:val="clear" w:color="auto" w:fill="CCEEFF"/>
          </w:tcPr>
          <w:p>
            <w:pPr>
              <w:spacing w:after="0"/>
              <w:rPr>
                <w:sz w:val="18"/>
                <w:szCs w:val="18"/>
                <w:color w:val="auto"/>
              </w:rPr>
            </w:pPr>
          </w:p>
        </w:tc>
      </w:tr>
      <w:tr>
        <w:trPr>
          <w:trHeight w:val="216"/>
        </w:trPr>
        <w:tc>
          <w:tcPr>
            <w:tcW w:w="980" w:type="dxa"/>
            <w:vAlign w:val="bottom"/>
          </w:tcPr>
          <w:p>
            <w:pPr>
              <w:ind w:left="180"/>
              <w:spacing w:after="0"/>
              <w:rPr>
                <w:sz w:val="20"/>
                <w:szCs w:val="20"/>
                <w:color w:val="auto"/>
              </w:rPr>
            </w:pPr>
            <w:r>
              <w:rPr>
                <w:rFonts w:ascii="Arial" w:cs="Arial" w:eastAsia="Arial" w:hAnsi="Arial"/>
                <w:sz w:val="18"/>
                <w:szCs w:val="18"/>
                <w:color w:val="auto"/>
                <w:w w:val="88"/>
              </w:rPr>
              <w:t>Inventories</w:t>
            </w:r>
          </w:p>
        </w:tc>
        <w:tc>
          <w:tcPr>
            <w:tcW w:w="4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54,940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50,753</w:t>
            </w:r>
          </w:p>
        </w:tc>
        <w:tc>
          <w:tcPr>
            <w:tcW w:w="100" w:type="dxa"/>
            <w:vAlign w:val="bottom"/>
          </w:tcPr>
          <w:p>
            <w:pPr>
              <w:spacing w:after="0"/>
              <w:rPr>
                <w:sz w:val="18"/>
                <w:szCs w:val="18"/>
                <w:color w:val="auto"/>
              </w:rPr>
            </w:pPr>
          </w:p>
        </w:tc>
      </w:tr>
      <w:tr>
        <w:trPr>
          <w:trHeight w:val="223"/>
        </w:trPr>
        <w:tc>
          <w:tcPr>
            <w:tcW w:w="85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37,796</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37,252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580" w:type="dxa"/>
            <w:vAlign w:val="bottom"/>
            <w:gridSpan w:val="3"/>
          </w:tcPr>
          <w:p>
            <w:pPr>
              <w:ind w:left="340"/>
              <w:spacing w:after="0"/>
              <w:rPr>
                <w:sz w:val="20"/>
                <w:szCs w:val="20"/>
                <w:color w:val="auto"/>
              </w:rPr>
            </w:pPr>
            <w:r>
              <w:rPr>
                <w:rFonts w:ascii="Arial" w:cs="Arial" w:eastAsia="Arial" w:hAnsi="Arial"/>
                <w:sz w:val="18"/>
                <w:szCs w:val="18"/>
                <w:color w:val="auto"/>
              </w:rPr>
              <w:t>Total current assets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720,116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644,652</w:t>
            </w:r>
          </w:p>
        </w:tc>
        <w:tc>
          <w:tcPr>
            <w:tcW w:w="100" w:type="dxa"/>
            <w:vAlign w:val="bottom"/>
          </w:tcPr>
          <w:p>
            <w:pPr>
              <w:spacing w:after="0"/>
              <w:rPr>
                <w:sz w:val="18"/>
                <w:szCs w:val="18"/>
                <w:color w:val="auto"/>
              </w:rPr>
            </w:pPr>
          </w:p>
        </w:tc>
      </w:tr>
      <w:tr>
        <w:trPr>
          <w:trHeight w:val="216"/>
        </w:trPr>
        <w:tc>
          <w:tcPr>
            <w:tcW w:w="1020" w:type="dxa"/>
            <w:vAlign w:val="bottom"/>
            <w:gridSpan w:val="2"/>
            <w:shd w:val="clear" w:color="auto" w:fill="CCEEFF"/>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580" w:type="dxa"/>
            <w:vAlign w:val="bottom"/>
            <w:gridSpan w:val="3"/>
          </w:tcPr>
          <w:p>
            <w:pPr>
              <w:spacing w:after="0"/>
              <w:rPr>
                <w:sz w:val="20"/>
                <w:szCs w:val="20"/>
                <w:color w:val="auto"/>
              </w:rPr>
            </w:pPr>
            <w:r>
              <w:rPr>
                <w:rFonts w:ascii="Arial" w:cs="Arial" w:eastAsia="Arial" w:hAnsi="Arial"/>
                <w:sz w:val="18"/>
                <w:szCs w:val="18"/>
                <w:color w:val="auto"/>
              </w:rPr>
              <w:t>Property, plant and equipment, net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699,917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643,873</w:t>
            </w:r>
          </w:p>
        </w:tc>
        <w:tc>
          <w:tcPr>
            <w:tcW w:w="100" w:type="dxa"/>
            <w:vAlign w:val="bottom"/>
          </w:tcPr>
          <w:p>
            <w:pPr>
              <w:spacing w:after="0"/>
              <w:rPr>
                <w:sz w:val="18"/>
                <w:szCs w:val="18"/>
                <w:color w:val="auto"/>
              </w:rPr>
            </w:pPr>
          </w:p>
        </w:tc>
      </w:tr>
      <w:tr>
        <w:trPr>
          <w:trHeight w:val="216"/>
        </w:trPr>
        <w:tc>
          <w:tcPr>
            <w:tcW w:w="8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19,302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19,816</w:t>
            </w:r>
          </w:p>
        </w:tc>
        <w:tc>
          <w:tcPr>
            <w:tcW w:w="100" w:type="dxa"/>
            <w:vAlign w:val="bottom"/>
            <w:shd w:val="clear" w:color="auto" w:fill="CCEEFF"/>
          </w:tcPr>
          <w:p>
            <w:pPr>
              <w:spacing w:after="0"/>
              <w:rPr>
                <w:sz w:val="18"/>
                <w:szCs w:val="18"/>
                <w:color w:val="auto"/>
              </w:rPr>
            </w:pPr>
          </w:p>
        </w:tc>
      </w:tr>
      <w:tr>
        <w:trPr>
          <w:trHeight w:val="223"/>
        </w:trPr>
        <w:tc>
          <w:tcPr>
            <w:tcW w:w="980" w:type="dxa"/>
            <w:vAlign w:val="bottom"/>
          </w:tcPr>
          <w:p>
            <w:pPr>
              <w:spacing w:after="0"/>
              <w:rPr>
                <w:sz w:val="20"/>
                <w:szCs w:val="20"/>
                <w:color w:val="auto"/>
              </w:rPr>
            </w:pPr>
            <w:r>
              <w:rPr>
                <w:rFonts w:ascii="Arial" w:cs="Arial" w:eastAsia="Arial" w:hAnsi="Arial"/>
                <w:sz w:val="18"/>
                <w:szCs w:val="18"/>
                <w:color w:val="auto"/>
                <w:w w:val="94"/>
              </w:rPr>
              <w:t>Other assets</w:t>
            </w:r>
          </w:p>
        </w:tc>
        <w:tc>
          <w:tcPr>
            <w:tcW w:w="40" w:type="dxa"/>
            <w:vAlign w:val="bottom"/>
          </w:tcPr>
          <w:p>
            <w:pPr>
              <w:spacing w:after="0"/>
              <w:rPr>
                <w:sz w:val="19"/>
                <w:szCs w:val="19"/>
                <w:color w:val="auto"/>
              </w:rPr>
            </w:pPr>
          </w:p>
        </w:tc>
        <w:tc>
          <w:tcPr>
            <w:tcW w:w="7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11,690</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7,489</w:t>
            </w:r>
          </w:p>
        </w:tc>
        <w:tc>
          <w:tcPr>
            <w:tcW w:w="100" w:type="dxa"/>
            <w:vAlign w:val="bottom"/>
          </w:tcPr>
          <w:p>
            <w:pPr>
              <w:spacing w:after="0"/>
              <w:rPr>
                <w:sz w:val="19"/>
                <w:szCs w:val="19"/>
                <w:color w:val="auto"/>
              </w:rPr>
            </w:pPr>
          </w:p>
        </w:tc>
      </w:tr>
      <w:tr>
        <w:trPr>
          <w:trHeight w:val="257"/>
        </w:trPr>
        <w:tc>
          <w:tcPr>
            <w:tcW w:w="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Total assets</w:t>
            </w:r>
          </w:p>
        </w:tc>
        <w:tc>
          <w:tcPr>
            <w:tcW w:w="40" w:type="dxa"/>
            <w:vAlign w:val="bottom"/>
            <w:tcBorders>
              <w:bottom w:val="single" w:sz="8" w:color="CCEEFF"/>
            </w:tcBorders>
            <w:shd w:val="clear" w:color="auto" w:fill="CCEEFF"/>
          </w:tcPr>
          <w:p>
            <w:pPr>
              <w:spacing w:after="0"/>
              <w:rPr>
                <w:sz w:val="22"/>
                <w:szCs w:val="22"/>
                <w:color w:val="auto"/>
              </w:rPr>
            </w:pPr>
          </w:p>
        </w:tc>
        <w:tc>
          <w:tcPr>
            <w:tcW w:w="7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1,451,025</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1,315,830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1020" w:type="dxa"/>
            <w:vAlign w:val="bottom"/>
            <w:gridSpan w:val="2"/>
          </w:tcPr>
          <w:p>
            <w:pPr>
              <w:spacing w:after="0"/>
              <w:rPr>
                <w:sz w:val="18"/>
                <w:szCs w:val="18"/>
                <w:color w:val="auto"/>
              </w:rPr>
            </w:pPr>
          </w:p>
        </w:tc>
        <w:tc>
          <w:tcPr>
            <w:tcW w:w="7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5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58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5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Current portion of long-term debt</w:t>
            </w:r>
          </w:p>
        </w:tc>
        <w:tc>
          <w:tcPr>
            <w:tcW w:w="2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10,024</w:t>
            </w:r>
          </w:p>
        </w:tc>
        <w:tc>
          <w:tcPr>
            <w:tcW w:w="100" w:type="dxa"/>
            <w:vAlign w:val="bottom"/>
            <w:shd w:val="clear" w:color="auto" w:fill="CCEEFF"/>
          </w:tcPr>
          <w:p>
            <w:pPr>
              <w:spacing w:after="0"/>
              <w:rPr>
                <w:sz w:val="18"/>
                <w:szCs w:val="18"/>
                <w:color w:val="auto"/>
              </w:rPr>
            </w:pPr>
          </w:p>
        </w:tc>
      </w:tr>
      <w:tr>
        <w:trPr>
          <w:trHeight w:val="216"/>
        </w:trPr>
        <w:tc>
          <w:tcPr>
            <w:tcW w:w="8580" w:type="dxa"/>
            <w:vAlign w:val="bottom"/>
            <w:gridSpan w:val="3"/>
          </w:tcPr>
          <w:p>
            <w:pPr>
              <w:ind w:left="180"/>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92,672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79,566</w:t>
            </w:r>
          </w:p>
        </w:tc>
        <w:tc>
          <w:tcPr>
            <w:tcW w:w="100" w:type="dxa"/>
            <w:vAlign w:val="bottom"/>
          </w:tcPr>
          <w:p>
            <w:pPr>
              <w:spacing w:after="0"/>
              <w:rPr>
                <w:sz w:val="18"/>
                <w:szCs w:val="18"/>
                <w:color w:val="auto"/>
              </w:rPr>
            </w:pPr>
          </w:p>
        </w:tc>
      </w:tr>
      <w:tr>
        <w:trPr>
          <w:trHeight w:val="223"/>
        </w:trPr>
        <w:tc>
          <w:tcPr>
            <w:tcW w:w="85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85,479</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104,207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580" w:type="dxa"/>
            <w:vAlign w:val="bottom"/>
            <w:gridSpan w:val="3"/>
          </w:tcPr>
          <w:p>
            <w:pPr>
              <w:ind w:left="340"/>
              <w:spacing w:after="0"/>
              <w:rPr>
                <w:sz w:val="20"/>
                <w:szCs w:val="20"/>
                <w:color w:val="auto"/>
              </w:rPr>
            </w:pPr>
            <w:r>
              <w:rPr>
                <w:rFonts w:ascii="Arial" w:cs="Arial" w:eastAsia="Arial" w:hAnsi="Arial"/>
                <w:sz w:val="18"/>
                <w:szCs w:val="18"/>
                <w:color w:val="auto"/>
              </w:rPr>
              <w:t>Total current liabilities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185,168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193,797</w:t>
            </w:r>
          </w:p>
        </w:tc>
        <w:tc>
          <w:tcPr>
            <w:tcW w:w="100" w:type="dxa"/>
            <w:vAlign w:val="bottom"/>
          </w:tcPr>
          <w:p>
            <w:pPr>
              <w:spacing w:after="0"/>
              <w:rPr>
                <w:sz w:val="18"/>
                <w:szCs w:val="18"/>
                <w:color w:val="auto"/>
              </w:rPr>
            </w:pPr>
          </w:p>
        </w:tc>
      </w:tr>
      <w:tr>
        <w:trPr>
          <w:trHeight w:val="216"/>
        </w:trPr>
        <w:tc>
          <w:tcPr>
            <w:tcW w:w="1020" w:type="dxa"/>
            <w:vAlign w:val="bottom"/>
            <w:gridSpan w:val="2"/>
            <w:shd w:val="clear" w:color="auto" w:fill="CCEEFF"/>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580" w:type="dxa"/>
            <w:vAlign w:val="bottom"/>
            <w:gridSpan w:val="3"/>
          </w:tcPr>
          <w:p>
            <w:pPr>
              <w:spacing w:after="0"/>
              <w:rPr>
                <w:sz w:val="20"/>
                <w:szCs w:val="20"/>
                <w:color w:val="auto"/>
              </w:rPr>
            </w:pPr>
            <w:r>
              <w:rPr>
                <w:rFonts w:ascii="Arial" w:cs="Arial" w:eastAsia="Arial" w:hAnsi="Arial"/>
                <w:sz w:val="18"/>
                <w:szCs w:val="18"/>
                <w:color w:val="auto"/>
              </w:rPr>
              <w:t>Long-term debt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21,322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32,310</w:t>
            </w:r>
          </w:p>
        </w:tc>
        <w:tc>
          <w:tcPr>
            <w:tcW w:w="100" w:type="dxa"/>
            <w:vAlign w:val="bottom"/>
          </w:tcPr>
          <w:p>
            <w:pPr>
              <w:spacing w:after="0"/>
              <w:rPr>
                <w:sz w:val="18"/>
                <w:szCs w:val="18"/>
                <w:color w:val="auto"/>
              </w:rPr>
            </w:pPr>
          </w:p>
        </w:tc>
      </w:tr>
      <w:tr>
        <w:trPr>
          <w:trHeight w:val="223"/>
        </w:trPr>
        <w:tc>
          <w:tcPr>
            <w:tcW w:w="85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39,851</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27,634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580" w:type="dxa"/>
            <w:vAlign w:val="bottom"/>
            <w:gridSpan w:val="3"/>
          </w:tcPr>
          <w:p>
            <w:pPr>
              <w:ind w:left="340"/>
              <w:spacing w:after="0"/>
              <w:rPr>
                <w:sz w:val="20"/>
                <w:szCs w:val="20"/>
                <w:color w:val="auto"/>
              </w:rPr>
            </w:pPr>
            <w:r>
              <w:rPr>
                <w:rFonts w:ascii="Arial" w:cs="Arial" w:eastAsia="Arial" w:hAnsi="Arial"/>
                <w:sz w:val="18"/>
                <w:szCs w:val="18"/>
                <w:color w:val="auto"/>
              </w:rPr>
              <w:t>Total liabilities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246,341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253,741</w:t>
            </w:r>
          </w:p>
        </w:tc>
        <w:tc>
          <w:tcPr>
            <w:tcW w:w="100" w:type="dxa"/>
            <w:vAlign w:val="bottom"/>
          </w:tcPr>
          <w:p>
            <w:pPr>
              <w:spacing w:after="0"/>
              <w:rPr>
                <w:sz w:val="18"/>
                <w:szCs w:val="18"/>
                <w:color w:val="auto"/>
              </w:rPr>
            </w:pPr>
          </w:p>
        </w:tc>
      </w:tr>
      <w:tr>
        <w:trPr>
          <w:trHeight w:val="216"/>
        </w:trPr>
        <w:tc>
          <w:tcPr>
            <w:tcW w:w="1020" w:type="dxa"/>
            <w:vAlign w:val="bottom"/>
            <w:gridSpan w:val="2"/>
            <w:shd w:val="clear" w:color="auto" w:fill="CCEEFF"/>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580" w:type="dxa"/>
            <w:vAlign w:val="bottom"/>
            <w:gridSpan w:val="3"/>
          </w:tcPr>
          <w:p>
            <w:pPr>
              <w:spacing w:after="0"/>
              <w:rPr>
                <w:sz w:val="20"/>
                <w:szCs w:val="20"/>
                <w:color w:val="auto"/>
              </w:rPr>
            </w:pPr>
            <w:r>
              <w:rPr>
                <w:rFonts w:ascii="Arial" w:cs="Arial" w:eastAsia="Arial" w:hAnsi="Arial"/>
                <w:sz w:val="18"/>
                <w:szCs w:val="18"/>
                <w:color w:val="auto"/>
              </w:rPr>
              <w:t>Commitments and contingencies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Equity:</w:t>
            </w:r>
          </w:p>
        </w:tc>
        <w:tc>
          <w:tcPr>
            <w:tcW w:w="4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5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Preferred stock, $0.01 par value, 2,000 shares authorized, none issued and outstanding</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02"/>
        </w:trPr>
        <w:tc>
          <w:tcPr>
            <w:tcW w:w="8580" w:type="dxa"/>
            <w:vAlign w:val="bottom"/>
            <w:gridSpan w:val="3"/>
          </w:tcPr>
          <w:p>
            <w:pPr>
              <w:ind w:left="180"/>
              <w:spacing w:after="0" w:line="201" w:lineRule="exact"/>
              <w:rPr>
                <w:sz w:val="20"/>
                <w:szCs w:val="20"/>
                <w:color w:val="auto"/>
              </w:rPr>
            </w:pPr>
            <w:r>
              <w:rPr>
                <w:rFonts w:ascii="Arial" w:cs="Arial" w:eastAsia="Arial" w:hAnsi="Arial"/>
                <w:sz w:val="18"/>
                <w:szCs w:val="18"/>
                <w:color w:val="auto"/>
                <w:w w:val="89"/>
              </w:rPr>
              <w:t>Common stock, $0.01 par value, 150,000 shares authorized, 61,185 shares issued and outstanding at April 30, 2023,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580" w:type="dxa"/>
            <w:vAlign w:val="bottom"/>
            <w:gridSpan w:val="3"/>
          </w:tcPr>
          <w:p>
            <w:pPr>
              <w:ind w:left="340"/>
              <w:spacing w:after="0"/>
              <w:rPr>
                <w:sz w:val="20"/>
                <w:szCs w:val="20"/>
                <w:color w:val="auto"/>
              </w:rPr>
            </w:pPr>
            <w:r>
              <w:rPr>
                <w:rFonts w:ascii="Arial" w:cs="Arial" w:eastAsia="Arial" w:hAnsi="Arial"/>
                <w:sz w:val="18"/>
                <w:szCs w:val="18"/>
                <w:color w:val="auto"/>
              </w:rPr>
              <w:t>and 60,791 shares issued and outstanding at October 31, 2022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20"/>
                <w:szCs w:val="20"/>
                <w:color w:val="auto"/>
              </w:rPr>
            </w:pPr>
          </w:p>
        </w:tc>
      </w:tr>
      <w:tr>
        <w:trPr>
          <w:trHeight w:val="216"/>
        </w:trPr>
        <w:tc>
          <w:tcPr>
            <w:tcW w:w="85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497,391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493,741</w:t>
            </w:r>
          </w:p>
        </w:tc>
        <w:tc>
          <w:tcPr>
            <w:tcW w:w="100" w:type="dxa"/>
            <w:vAlign w:val="bottom"/>
            <w:shd w:val="clear" w:color="auto" w:fill="CCEEFF"/>
          </w:tcPr>
          <w:p>
            <w:pPr>
              <w:spacing w:after="0"/>
              <w:rPr>
                <w:sz w:val="18"/>
                <w:szCs w:val="18"/>
                <w:color w:val="auto"/>
              </w:rPr>
            </w:pPr>
          </w:p>
        </w:tc>
      </w:tr>
      <w:tr>
        <w:trPr>
          <w:trHeight w:val="216"/>
        </w:trPr>
        <w:tc>
          <w:tcPr>
            <w:tcW w:w="8580" w:type="dxa"/>
            <w:vAlign w:val="bottom"/>
            <w:gridSpan w:val="3"/>
          </w:tcPr>
          <w:p>
            <w:pPr>
              <w:ind w:left="180"/>
              <w:spacing w:after="0"/>
              <w:rPr>
                <w:sz w:val="20"/>
                <w:szCs w:val="20"/>
                <w:color w:val="auto"/>
              </w:rPr>
            </w:pPr>
            <w:r>
              <w:rPr>
                <w:rFonts w:ascii="Arial" w:cs="Arial" w:eastAsia="Arial" w:hAnsi="Arial"/>
                <w:sz w:val="18"/>
                <w:szCs w:val="18"/>
                <w:color w:val="auto"/>
              </w:rPr>
              <w:t>Retained earnings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489,549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435,634</w:t>
            </w:r>
          </w:p>
        </w:tc>
        <w:tc>
          <w:tcPr>
            <w:tcW w:w="100" w:type="dxa"/>
            <w:vAlign w:val="bottom"/>
          </w:tcPr>
          <w:p>
            <w:pPr>
              <w:spacing w:after="0"/>
              <w:rPr>
                <w:sz w:val="18"/>
                <w:szCs w:val="18"/>
                <w:color w:val="auto"/>
              </w:rPr>
            </w:pPr>
          </w:p>
        </w:tc>
      </w:tr>
      <w:tr>
        <w:trPr>
          <w:trHeight w:val="223"/>
        </w:trPr>
        <w:tc>
          <w:tcPr>
            <w:tcW w:w="85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(59,505)</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(98,456)</w:t>
            </w:r>
          </w:p>
        </w:tc>
      </w:tr>
      <w:tr>
        <w:trPr>
          <w:trHeight w:val="216"/>
        </w:trPr>
        <w:tc>
          <w:tcPr>
            <w:tcW w:w="8580" w:type="dxa"/>
            <w:vAlign w:val="bottom"/>
            <w:tcBorders>
              <w:top w:val="single" w:sz="8" w:color="CCEEFF"/>
            </w:tcBorders>
            <w:gridSpan w:val="3"/>
          </w:tcPr>
          <w:p>
            <w:pPr>
              <w:ind w:left="180"/>
              <w:spacing w:after="0"/>
              <w:rPr>
                <w:sz w:val="20"/>
                <w:szCs w:val="20"/>
                <w:color w:val="auto"/>
              </w:rPr>
            </w:pPr>
            <w:r>
              <w:rPr>
                <w:rFonts w:ascii="Arial" w:cs="Arial" w:eastAsia="Arial" w:hAnsi="Arial"/>
                <w:sz w:val="18"/>
                <w:szCs w:val="18"/>
                <w:color w:val="auto"/>
              </w:rPr>
              <w:t>Total Photronics, Inc. shareholders’ equity</w:t>
            </w: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928,047</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831,527</w:t>
            </w:r>
          </w:p>
        </w:tc>
        <w:tc>
          <w:tcPr>
            <w:tcW w:w="100" w:type="dxa"/>
            <w:vAlign w:val="bottom"/>
            <w:tcBorders>
              <w:top w:val="single" w:sz="8" w:color="CCEEFF"/>
            </w:tcBorders>
          </w:tcPr>
          <w:p>
            <w:pPr>
              <w:spacing w:after="0"/>
              <w:rPr>
                <w:sz w:val="18"/>
                <w:szCs w:val="18"/>
                <w:color w:val="auto"/>
              </w:rPr>
            </w:pPr>
          </w:p>
        </w:tc>
      </w:tr>
      <w:tr>
        <w:trPr>
          <w:trHeight w:val="223"/>
        </w:trPr>
        <w:tc>
          <w:tcPr>
            <w:tcW w:w="85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Noncontrolling interests</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276,637</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230,562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580" w:type="dxa"/>
            <w:vAlign w:val="bottom"/>
            <w:gridSpan w:val="3"/>
          </w:tcPr>
          <w:p>
            <w:pPr>
              <w:ind w:left="180"/>
              <w:spacing w:after="0"/>
              <w:rPr>
                <w:sz w:val="20"/>
                <w:szCs w:val="20"/>
                <w:color w:val="auto"/>
              </w:rPr>
            </w:pPr>
            <w:r>
              <w:rPr>
                <w:rFonts w:ascii="Arial" w:cs="Arial" w:eastAsia="Arial" w:hAnsi="Arial"/>
                <w:sz w:val="18"/>
                <w:szCs w:val="18"/>
                <w:color w:val="auto"/>
              </w:rPr>
              <w:t>Total equity</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1,204,684</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1,062,089</w:t>
            </w:r>
          </w:p>
        </w:tc>
        <w:tc>
          <w:tcPr>
            <w:tcW w:w="100" w:type="dxa"/>
            <w:vAlign w:val="bottom"/>
          </w:tcPr>
          <w:p>
            <w:pPr>
              <w:spacing w:after="0"/>
              <w:rPr>
                <w:sz w:val="19"/>
                <w:szCs w:val="19"/>
                <w:color w:val="auto"/>
              </w:rPr>
            </w:pPr>
          </w:p>
        </w:tc>
      </w:tr>
      <w:tr>
        <w:trPr>
          <w:trHeight w:val="256"/>
        </w:trPr>
        <w:tc>
          <w:tcPr>
            <w:tcW w:w="85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liabilities and equity</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1,451,025</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1,315,830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 w:name="page6"/>
    <w:bookmarkEnd w:id="5"/>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PHOTRONICS,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0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20" w:type="dxa"/>
            <w:vAlign w:val="bottom"/>
            <w:gridSpan w:val="6"/>
          </w:tcPr>
          <w:p>
            <w:pPr>
              <w:ind w:left="26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2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Six Months Ended</w:t>
            </w:r>
          </w:p>
        </w:tc>
      </w:tr>
      <w:tr>
        <w:trPr>
          <w:trHeight w:val="198"/>
        </w:trPr>
        <w:tc>
          <w:tcPr>
            <w:tcW w:w="50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jc w:val="right"/>
              <w:ind w:right="360"/>
              <w:spacing w:after="0" w:line="198" w:lineRule="exact"/>
              <w:rPr>
                <w:sz w:val="20"/>
                <w:szCs w:val="20"/>
                <w:color w:val="auto"/>
              </w:rPr>
            </w:pPr>
            <w:r>
              <w:rPr>
                <w:rFonts w:ascii="Arial" w:cs="Arial" w:eastAsia="Arial" w:hAnsi="Arial"/>
                <w:sz w:val="18"/>
                <w:szCs w:val="18"/>
                <w:b w:val="1"/>
                <w:bCs w:val="1"/>
                <w:color w:val="auto"/>
              </w:rPr>
              <w:t>April 30,</w:t>
            </w: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210"/>
              <w:spacing w:after="0" w:line="198" w:lineRule="exact"/>
              <w:rPr>
                <w:sz w:val="20"/>
                <w:szCs w:val="20"/>
                <w:color w:val="auto"/>
              </w:rPr>
            </w:pPr>
            <w:r>
              <w:rPr>
                <w:rFonts w:ascii="Arial" w:cs="Arial" w:eastAsia="Arial" w:hAnsi="Arial"/>
                <w:sz w:val="18"/>
                <w:szCs w:val="18"/>
                <w:b w:val="1"/>
                <w:bCs w:val="1"/>
                <w:color w:val="auto"/>
              </w:rPr>
              <w:t>May 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right"/>
              <w:ind w:right="440"/>
              <w:spacing w:after="0" w:line="198" w:lineRule="exact"/>
              <w:rPr>
                <w:sz w:val="20"/>
                <w:szCs w:val="20"/>
                <w:color w:val="auto"/>
              </w:rPr>
            </w:pPr>
            <w:r>
              <w:rPr>
                <w:rFonts w:ascii="Arial" w:cs="Arial" w:eastAsia="Arial" w:hAnsi="Arial"/>
                <w:sz w:val="18"/>
                <w:szCs w:val="18"/>
                <w:b w:val="1"/>
                <w:bCs w:val="1"/>
                <w:color w:val="auto"/>
              </w:rPr>
              <w:t>April 30,</w:t>
            </w: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210"/>
              <w:spacing w:after="0" w:line="198" w:lineRule="exact"/>
              <w:rPr>
                <w:sz w:val="20"/>
                <w:szCs w:val="20"/>
                <w:color w:val="auto"/>
              </w:rPr>
            </w:pPr>
            <w:r>
              <w:rPr>
                <w:rFonts w:ascii="Arial" w:cs="Arial" w:eastAsia="Arial" w:hAnsi="Arial"/>
                <w:sz w:val="18"/>
                <w:szCs w:val="18"/>
                <w:b w:val="1"/>
                <w:bCs w:val="1"/>
                <w:color w:val="auto"/>
              </w:rPr>
              <w:t>May 1,</w:t>
            </w:r>
          </w:p>
        </w:tc>
        <w:tc>
          <w:tcPr>
            <w:tcW w:w="100" w:type="dxa"/>
            <w:vAlign w:val="bottom"/>
          </w:tcPr>
          <w:p>
            <w:pPr>
              <w:spacing w:after="0"/>
              <w:rPr>
                <w:sz w:val="17"/>
                <w:szCs w:val="17"/>
                <w:color w:val="auto"/>
              </w:rPr>
            </w:pPr>
          </w:p>
        </w:tc>
      </w:tr>
      <w:tr>
        <w:trPr>
          <w:trHeight w:val="241"/>
        </w:trPr>
        <w:tc>
          <w:tcPr>
            <w:tcW w:w="50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229,306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204,509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440,397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394,336</w:t>
            </w:r>
          </w:p>
        </w:tc>
        <w:tc>
          <w:tcPr>
            <w:tcW w:w="100" w:type="dxa"/>
            <w:vAlign w:val="bottom"/>
            <w:shd w:val="clear" w:color="auto" w:fill="CCEEFF"/>
          </w:tcPr>
          <w:p>
            <w:pPr>
              <w:spacing w:after="0"/>
              <w:rPr>
                <w:sz w:val="18"/>
                <w:szCs w:val="18"/>
                <w:color w:val="auto"/>
              </w:rPr>
            </w:pPr>
          </w:p>
        </w:tc>
      </w:tr>
      <w:tr>
        <w:trPr>
          <w:trHeight w:val="223"/>
        </w:trPr>
        <w:tc>
          <w:tcPr>
            <w:tcW w:w="5080" w:type="dxa"/>
            <w:vAlign w:val="bottom"/>
          </w:tcPr>
          <w:p>
            <w:pPr>
              <w:spacing w:after="0"/>
              <w:rPr>
                <w:sz w:val="20"/>
                <w:szCs w:val="20"/>
                <w:color w:val="auto"/>
              </w:rPr>
            </w:pPr>
            <w:r>
              <w:rPr>
                <w:rFonts w:ascii="Arial" w:cs="Arial" w:eastAsia="Arial" w:hAnsi="Arial"/>
                <w:sz w:val="18"/>
                <w:szCs w:val="18"/>
                <w:color w:val="auto"/>
              </w:rPr>
              <w:t>Cost of goods sold</w:t>
            </w:r>
          </w:p>
        </w:tc>
        <w:tc>
          <w:tcPr>
            <w:tcW w:w="8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140,904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134,289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275,918</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264,253</w:t>
            </w:r>
          </w:p>
        </w:tc>
        <w:tc>
          <w:tcPr>
            <w:tcW w:w="100" w:type="dxa"/>
            <w:vAlign w:val="bottom"/>
          </w:tcPr>
          <w:p>
            <w:pPr>
              <w:spacing w:after="0"/>
              <w:rPr>
                <w:sz w:val="19"/>
                <w:szCs w:val="19"/>
                <w:color w:val="auto"/>
              </w:rPr>
            </w:pPr>
          </w:p>
        </w:tc>
      </w:tr>
      <w:tr>
        <w:trPr>
          <w:trHeight w:val="216"/>
        </w:trPr>
        <w:tc>
          <w:tcPr>
            <w:tcW w:w="5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Gross profit</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88,402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164,479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130,083</w:t>
            </w: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ind w:left="160"/>
              <w:spacing w:after="0"/>
              <w:rPr>
                <w:sz w:val="20"/>
                <w:szCs w:val="20"/>
                <w:color w:val="auto"/>
              </w:rPr>
            </w:pPr>
            <w:r>
              <w:rPr>
                <w:rFonts w:ascii="Arial" w:cs="Arial" w:eastAsia="Arial" w:hAnsi="Arial"/>
                <w:sz w:val="18"/>
                <w:szCs w:val="18"/>
                <w:color w:val="auto"/>
              </w:rPr>
              <w:t>Selling, general, and administrative</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17,878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16,613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34,696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32,340</w:t>
            </w:r>
          </w:p>
        </w:tc>
        <w:tc>
          <w:tcPr>
            <w:tcW w:w="100" w:type="dxa"/>
            <w:vAlign w:val="bottom"/>
          </w:tcPr>
          <w:p>
            <w:pPr>
              <w:spacing w:after="0"/>
              <w:rPr>
                <w:sz w:val="18"/>
                <w:szCs w:val="18"/>
                <w:color w:val="auto"/>
              </w:rPr>
            </w:pPr>
          </w:p>
        </w:tc>
      </w:tr>
      <w:tr>
        <w:trPr>
          <w:trHeight w:val="223"/>
        </w:trPr>
        <w:tc>
          <w:tcPr>
            <w:tcW w:w="50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8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3,479</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6,781</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5080" w:type="dxa"/>
            <w:vAlign w:val="bottom"/>
          </w:tcPr>
          <w:p>
            <w:pPr>
              <w:ind w:left="160"/>
              <w:spacing w:after="0"/>
              <w:rPr>
                <w:sz w:val="20"/>
                <w:szCs w:val="20"/>
                <w:color w:val="auto"/>
              </w:rPr>
            </w:pPr>
            <w:r>
              <w:rPr>
                <w:rFonts w:ascii="Arial" w:cs="Arial" w:eastAsia="Arial" w:hAnsi="Arial"/>
                <w:sz w:val="18"/>
                <w:szCs w:val="18"/>
                <w:color w:val="auto"/>
              </w:rPr>
              <w:t>Total operating expenses</w:t>
            </w: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21,357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20,819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41,477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42,485</w:t>
            </w:r>
          </w:p>
        </w:tc>
        <w:tc>
          <w:tcPr>
            <w:tcW w:w="100" w:type="dxa"/>
            <w:vAlign w:val="bottom"/>
          </w:tcPr>
          <w:p>
            <w:pPr>
              <w:spacing w:after="0"/>
              <w:rPr>
                <w:sz w:val="19"/>
                <w:szCs w:val="19"/>
                <w:color w:val="auto"/>
              </w:rPr>
            </w:pPr>
          </w:p>
        </w:tc>
      </w:tr>
      <w:tr>
        <w:trPr>
          <w:trHeight w:val="216"/>
        </w:trPr>
        <w:tc>
          <w:tcPr>
            <w:tcW w:w="5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income</w:t>
            </w:r>
          </w:p>
        </w:tc>
        <w:tc>
          <w:tcPr>
            <w:tcW w:w="8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67,045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49,401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123,002</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87,598</w:t>
            </w: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ind w:left="160"/>
              <w:spacing w:after="0"/>
              <w:rPr>
                <w:sz w:val="20"/>
                <w:szCs w:val="20"/>
                <w:color w:val="auto"/>
              </w:rPr>
            </w:pPr>
            <w:r>
              <w:rPr>
                <w:rFonts w:ascii="Arial" w:cs="Arial" w:eastAsia="Arial" w:hAnsi="Arial"/>
                <w:sz w:val="18"/>
                <w:szCs w:val="18"/>
                <w:color w:val="auto"/>
              </w:rPr>
              <w:t>Foreign currency transactions impact, net</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10,718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(6,226)</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13,112</w:t>
            </w: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 and other income, net</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00" w:type="dxa"/>
            <w:vAlign w:val="bottom"/>
            <w:shd w:val="clear" w:color="auto" w:fill="CCEEFF"/>
          </w:tcPr>
          <w:p>
            <w:pPr>
              <w:spacing w:after="0"/>
              <w:rPr>
                <w:sz w:val="18"/>
                <w:szCs w:val="18"/>
                <w:color w:val="auto"/>
              </w:rPr>
            </w:pPr>
          </w:p>
        </w:tc>
      </w:tr>
      <w:tr>
        <w:trPr>
          <w:trHeight w:val="223"/>
        </w:trPr>
        <w:tc>
          <w:tcPr>
            <w:tcW w:w="508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(198)</w:t>
            </w:r>
          </w:p>
        </w:tc>
        <w:tc>
          <w:tcPr>
            <w:tcW w:w="20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(880)</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 provision</w:t>
            </w:r>
          </w:p>
        </w:tc>
        <w:tc>
          <w:tcPr>
            <w:tcW w:w="8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80,616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122,148</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100,326</w:t>
            </w: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14,393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33,925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25,571</w:t>
            </w:r>
          </w:p>
        </w:tc>
        <w:tc>
          <w:tcPr>
            <w:tcW w:w="100" w:type="dxa"/>
            <w:vAlign w:val="bottom"/>
            <w:shd w:val="clear" w:color="auto" w:fill="CCEEFF"/>
          </w:tcPr>
          <w:p>
            <w:pPr>
              <w:spacing w:after="0"/>
              <w:rPr>
                <w:sz w:val="18"/>
                <w:szCs w:val="18"/>
                <w:color w:val="auto"/>
              </w:rPr>
            </w:pPr>
          </w:p>
        </w:tc>
      </w:tr>
      <w:tr>
        <w:trPr>
          <w:trHeight w:val="223"/>
        </w:trPr>
        <w:tc>
          <w:tcPr>
            <w:tcW w:w="50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59,273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43,029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88,223</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74,755</w:t>
            </w: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5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8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19,344</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15,597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34,308</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24,259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08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Photronics, Inc. shareholders</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39,929</w:t>
            </w:r>
          </w:p>
        </w:tc>
        <w:tc>
          <w:tcPr>
            <w:tcW w:w="14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27,432</w:t>
            </w:r>
          </w:p>
        </w:tc>
        <w:tc>
          <w:tcPr>
            <w:tcW w:w="2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53,915</w:t>
            </w: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50,496</w:t>
            </w:r>
          </w:p>
        </w:tc>
        <w:tc>
          <w:tcPr>
            <w:tcW w:w="100" w:type="dxa"/>
            <w:vAlign w:val="bottom"/>
            <w:shd w:val="clear" w:color="auto" w:fill="CCEEFF"/>
          </w:tcPr>
          <w:p>
            <w:pPr>
              <w:spacing w:after="0"/>
              <w:rPr>
                <w:sz w:val="22"/>
                <w:szCs w:val="22"/>
                <w:color w:val="auto"/>
              </w:rPr>
            </w:pPr>
          </w:p>
        </w:tc>
      </w:tr>
      <w:tr>
        <w:trPr>
          <w:trHeight w:val="210"/>
        </w:trPr>
        <w:tc>
          <w:tcPr>
            <w:tcW w:w="50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ind w:left="160"/>
              <w:spacing w:after="0"/>
              <w:rPr>
                <w:sz w:val="20"/>
                <w:szCs w:val="20"/>
                <w:color w:val="auto"/>
              </w:rPr>
            </w:pPr>
            <w:r>
              <w:rPr>
                <w:rFonts w:ascii="Arial" w:cs="Arial" w:eastAsia="Arial" w:hAnsi="Arial"/>
                <w:sz w:val="18"/>
                <w:szCs w:val="18"/>
                <w:color w:val="auto"/>
              </w:rPr>
              <w:t>Basic</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0.65</w:t>
            </w:r>
          </w:p>
        </w:tc>
        <w:tc>
          <w:tcPr>
            <w:tcW w:w="140" w:type="dxa"/>
            <w:vAlign w:val="bottom"/>
          </w:tcPr>
          <w:p>
            <w:pPr>
              <w:spacing w:after="0"/>
              <w:rPr>
                <w:sz w:val="18"/>
                <w:szCs w:val="18"/>
                <w:color w:val="auto"/>
              </w:rPr>
            </w:pPr>
          </w:p>
        </w:tc>
        <w:tc>
          <w:tcPr>
            <w:tcW w:w="2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0.45</w:t>
            </w:r>
          </w:p>
        </w:tc>
        <w:tc>
          <w:tcPr>
            <w:tcW w:w="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0.88</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0.84</w:t>
            </w:r>
          </w:p>
        </w:tc>
        <w:tc>
          <w:tcPr>
            <w:tcW w:w="100" w:type="dxa"/>
            <w:vAlign w:val="bottom"/>
          </w:tcPr>
          <w:p>
            <w:pPr>
              <w:spacing w:after="0"/>
              <w:rPr>
                <w:sz w:val="18"/>
                <w:szCs w:val="18"/>
                <w:color w:val="auto"/>
              </w:rPr>
            </w:pPr>
          </w:p>
        </w:tc>
      </w:tr>
      <w:tr>
        <w:trPr>
          <w:trHeight w:val="257"/>
        </w:trPr>
        <w:tc>
          <w:tcPr>
            <w:tcW w:w="5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14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0.45</w:t>
            </w:r>
          </w:p>
        </w:tc>
        <w:tc>
          <w:tcPr>
            <w:tcW w:w="2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100" w:type="dxa"/>
            <w:vAlign w:val="bottom"/>
            <w:shd w:val="clear" w:color="auto" w:fill="CCEEFF"/>
          </w:tcPr>
          <w:p>
            <w:pPr>
              <w:spacing w:after="0"/>
              <w:rPr>
                <w:sz w:val="22"/>
                <w:szCs w:val="22"/>
                <w:color w:val="auto"/>
              </w:rPr>
            </w:pPr>
          </w:p>
        </w:tc>
      </w:tr>
      <w:tr>
        <w:trPr>
          <w:trHeight w:val="210"/>
        </w:trPr>
        <w:tc>
          <w:tcPr>
            <w:tcW w:w="50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common shares outstanding:</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ind w:left="160"/>
              <w:spacing w:after="0"/>
              <w:rPr>
                <w:sz w:val="20"/>
                <w:szCs w:val="20"/>
                <w:color w:val="auto"/>
              </w:rPr>
            </w:pPr>
            <w:r>
              <w:rPr>
                <w:rFonts w:ascii="Arial" w:cs="Arial" w:eastAsia="Arial" w:hAnsi="Arial"/>
                <w:sz w:val="18"/>
                <w:szCs w:val="18"/>
                <w:color w:val="auto"/>
              </w:rPr>
              <w:t>Basic</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61,138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60,606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61,016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60,382</w:t>
            </w:r>
          </w:p>
        </w:tc>
        <w:tc>
          <w:tcPr>
            <w:tcW w:w="100" w:type="dxa"/>
            <w:vAlign w:val="bottom"/>
          </w:tcPr>
          <w:p>
            <w:pPr>
              <w:spacing w:after="0"/>
              <w:rPr>
                <w:sz w:val="18"/>
                <w:szCs w:val="18"/>
                <w:color w:val="auto"/>
              </w:rPr>
            </w:pPr>
          </w:p>
        </w:tc>
      </w:tr>
      <w:tr>
        <w:trPr>
          <w:trHeight w:val="257"/>
        </w:trPr>
        <w:tc>
          <w:tcPr>
            <w:tcW w:w="50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8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61,507</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61,145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61,489</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61,041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PHOTRONICS,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6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2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Six Months Ended</w:t>
            </w:r>
          </w:p>
        </w:tc>
      </w:tr>
      <w:tr>
        <w:trPr>
          <w:trHeight w:val="198"/>
        </w:trPr>
        <w:tc>
          <w:tcPr>
            <w:tcW w:w="59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jc w:val="right"/>
              <w:ind w:right="360"/>
              <w:spacing w:after="0" w:line="198" w:lineRule="exact"/>
              <w:rPr>
                <w:sz w:val="20"/>
                <w:szCs w:val="20"/>
                <w:color w:val="auto"/>
              </w:rPr>
            </w:pPr>
            <w:r>
              <w:rPr>
                <w:rFonts w:ascii="Arial" w:cs="Arial" w:eastAsia="Arial" w:hAnsi="Arial"/>
                <w:sz w:val="18"/>
                <w:szCs w:val="18"/>
                <w:b w:val="1"/>
                <w:bCs w:val="1"/>
                <w:color w:val="auto"/>
              </w:rPr>
              <w:t>April 30,</w:t>
            </w: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210"/>
              <w:spacing w:after="0" w:line="198" w:lineRule="exact"/>
              <w:rPr>
                <w:sz w:val="20"/>
                <w:szCs w:val="20"/>
                <w:color w:val="auto"/>
              </w:rPr>
            </w:pPr>
            <w:r>
              <w:rPr>
                <w:rFonts w:ascii="Arial" w:cs="Arial" w:eastAsia="Arial" w:hAnsi="Arial"/>
                <w:sz w:val="18"/>
                <w:szCs w:val="18"/>
                <w:b w:val="1"/>
                <w:bCs w:val="1"/>
                <w:color w:val="auto"/>
              </w:rPr>
              <w:t>May 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130"/>
              <w:spacing w:after="0" w:line="198" w:lineRule="exact"/>
              <w:rPr>
                <w:sz w:val="20"/>
                <w:szCs w:val="20"/>
                <w:color w:val="auto"/>
              </w:rPr>
            </w:pPr>
            <w:r>
              <w:rPr>
                <w:rFonts w:ascii="Arial" w:cs="Arial" w:eastAsia="Arial" w:hAnsi="Arial"/>
                <w:sz w:val="18"/>
                <w:szCs w:val="18"/>
                <w:b w:val="1"/>
                <w:bCs w:val="1"/>
                <w:color w:val="auto"/>
              </w:rPr>
              <w:t>April 30,</w:t>
            </w:r>
          </w:p>
        </w:tc>
        <w:tc>
          <w:tcPr>
            <w:tcW w:w="2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210"/>
              <w:spacing w:after="0" w:line="198" w:lineRule="exact"/>
              <w:rPr>
                <w:sz w:val="20"/>
                <w:szCs w:val="20"/>
                <w:color w:val="auto"/>
              </w:rPr>
            </w:pPr>
            <w:r>
              <w:rPr>
                <w:rFonts w:ascii="Arial" w:cs="Arial" w:eastAsia="Arial" w:hAnsi="Arial"/>
                <w:sz w:val="18"/>
                <w:szCs w:val="18"/>
                <w:b w:val="1"/>
                <w:bCs w:val="1"/>
                <w:color w:val="auto"/>
              </w:rPr>
              <w:t>May 1,</w:t>
            </w:r>
          </w:p>
        </w:tc>
        <w:tc>
          <w:tcPr>
            <w:tcW w:w="100" w:type="dxa"/>
            <w:vAlign w:val="bottom"/>
          </w:tcPr>
          <w:p>
            <w:pPr>
              <w:spacing w:after="0"/>
              <w:rPr>
                <w:sz w:val="17"/>
                <w:szCs w:val="17"/>
                <w:color w:val="auto"/>
              </w:rPr>
            </w:pPr>
          </w:p>
        </w:tc>
      </w:tr>
      <w:tr>
        <w:trPr>
          <w:trHeight w:val="241"/>
        </w:trPr>
        <w:tc>
          <w:tcPr>
            <w:tcW w:w="59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59,273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43,029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88,223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74,755</w:t>
            </w: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income, net of tax of $0:</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1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(39,813)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(44,118)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50,707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(53,949)</w:t>
            </w:r>
          </w:p>
        </w:tc>
      </w:tr>
      <w:tr>
        <w:trPr>
          <w:trHeight w:val="216"/>
        </w:trPr>
        <w:tc>
          <w:tcPr>
            <w:tcW w:w="5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8"/>
                <w:szCs w:val="18"/>
                <w:color w:val="auto"/>
              </w:rPr>
            </w:pPr>
          </w:p>
        </w:tc>
      </w:tr>
      <w:tr>
        <w:trPr>
          <w:trHeight w:val="27"/>
        </w:trPr>
        <w:tc>
          <w:tcPr>
            <w:tcW w:w="59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Net other comprehensive (loss) income</w:t>
            </w:r>
          </w:p>
        </w:tc>
        <w:tc>
          <w:tcPr>
            <w:tcW w:w="1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(39,747)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(43,989)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50,718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(53,783)</w:t>
            </w:r>
          </w:p>
        </w:tc>
      </w:tr>
      <w:tr>
        <w:trPr>
          <w:trHeight w:val="223"/>
        </w:trPr>
        <w:tc>
          <w:tcPr>
            <w:tcW w:w="59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19,526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(960)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138,941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20,972</w:t>
            </w:r>
          </w:p>
        </w:tc>
        <w:tc>
          <w:tcPr>
            <w:tcW w:w="10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5960" w:type="dxa"/>
            <w:vAlign w:val="bottom"/>
          </w:tcPr>
          <w:p>
            <w:pPr>
              <w:ind w:left="340"/>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14,682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46,075</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13,966</w:t>
            </w:r>
          </w:p>
        </w:tc>
        <w:tc>
          <w:tcPr>
            <w:tcW w:w="100" w:type="dxa"/>
            <w:vAlign w:val="bottom"/>
          </w:tcPr>
          <w:p>
            <w:pPr>
              <w:spacing w:after="0"/>
              <w:rPr>
                <w:sz w:val="19"/>
                <w:szCs w:val="19"/>
                <w:color w:val="auto"/>
              </w:rPr>
            </w:pPr>
          </w:p>
        </w:tc>
      </w:tr>
      <w:tr>
        <w:trPr>
          <w:trHeight w:val="216"/>
        </w:trPr>
        <w:tc>
          <w:tcPr>
            <w:tcW w:w="5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Comprehensive income (loss) attributable to Photronics, Inc. shareholders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4,844</w:t>
            </w:r>
          </w:p>
        </w:tc>
        <w:tc>
          <w:tcPr>
            <w:tcW w:w="140" w:type="dxa"/>
            <w:vAlign w:val="bottom"/>
          </w:tcPr>
          <w:p>
            <w:pPr>
              <w:spacing w:after="0"/>
              <w:rPr>
                <w:sz w:val="18"/>
                <w:szCs w:val="18"/>
                <w:color w:val="auto"/>
              </w:rPr>
            </w:pPr>
          </w:p>
        </w:tc>
        <w:tc>
          <w:tcPr>
            <w:tcW w:w="2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(6,052)</w:t>
            </w:r>
          </w:p>
        </w:tc>
        <w:tc>
          <w:tcPr>
            <w:tcW w:w="2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92,866</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7,006</w:t>
            </w:r>
          </w:p>
        </w:tc>
        <w:tc>
          <w:tcPr>
            <w:tcW w:w="100" w:type="dxa"/>
            <w:vAlign w:val="bottom"/>
          </w:tcPr>
          <w:p>
            <w:pPr>
              <w:spacing w:after="0"/>
              <w:rPr>
                <w:sz w:val="18"/>
                <w:szCs w:val="18"/>
                <w:color w:val="auto"/>
              </w:rPr>
            </w:pPr>
          </w:p>
        </w:tc>
      </w:tr>
      <w:tr>
        <w:trPr>
          <w:trHeight w:val="21"/>
        </w:trPr>
        <w:tc>
          <w:tcPr>
            <w:tcW w:w="5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PHOTRONICS,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Three Months Ended April 30, 2023</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40" w:type="dxa"/>
            <w:vAlign w:val="bottom"/>
          </w:tcPr>
          <w:p>
            <w:pPr>
              <w:spacing w:after="0"/>
              <w:rPr>
                <w:sz w:val="20"/>
                <w:szCs w:val="20"/>
                <w:color w:val="auto"/>
              </w:rPr>
            </w:pPr>
          </w:p>
        </w:tc>
        <w:tc>
          <w:tcPr>
            <w:tcW w:w="86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2400" w:type="dxa"/>
            <w:vAlign w:val="bottom"/>
            <w:tcBorders>
              <w:top w:val="single" w:sz="8" w:color="auto"/>
              <w:bottom w:val="single" w:sz="8" w:color="auto"/>
            </w:tcBorders>
            <w:gridSpan w:val="8"/>
          </w:tcPr>
          <w:p>
            <w:pPr>
              <w:ind w:left="80"/>
              <w:spacing w:after="0"/>
              <w:rPr>
                <w:sz w:val="20"/>
                <w:szCs w:val="20"/>
                <w:color w:val="auto"/>
              </w:rPr>
            </w:pPr>
            <w:r>
              <w:rPr>
                <w:rFonts w:ascii="Arial" w:cs="Arial" w:eastAsia="Arial" w:hAnsi="Arial"/>
                <w:sz w:val="18"/>
                <w:szCs w:val="18"/>
                <w:b w:val="1"/>
                <w:bCs w:val="1"/>
                <w:color w:val="auto"/>
                <w:w w:val="90"/>
              </w:rPr>
              <w:t>Photronics, Inc. Shareholders</w:t>
            </w:r>
          </w:p>
        </w:tc>
        <w:tc>
          <w:tcPr>
            <w:tcW w:w="8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060" w:type="dxa"/>
            <w:vAlign w:val="bottom"/>
            <w:gridSpan w:val="5"/>
            <w:vMerge w:val="restart"/>
          </w:tcPr>
          <w:p>
            <w:pPr>
              <w:ind w:left="38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Additional</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Non-</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240" w:type="dxa"/>
            <w:vAlign w:val="bottom"/>
          </w:tcPr>
          <w:p>
            <w:pPr>
              <w:spacing w:after="0"/>
              <w:rPr>
                <w:sz w:val="18"/>
                <w:szCs w:val="18"/>
                <w:color w:val="auto"/>
              </w:rPr>
            </w:pPr>
          </w:p>
        </w:tc>
        <w:tc>
          <w:tcPr>
            <w:tcW w:w="2060" w:type="dxa"/>
            <w:vAlign w:val="bottom"/>
            <w:gridSpan w:val="5"/>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Paid-in</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w w:val="89"/>
              </w:rPr>
              <w:t>Retained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Treasury</w:t>
            </w:r>
          </w:p>
        </w:tc>
        <w:tc>
          <w:tcPr>
            <w:tcW w:w="1520" w:type="dxa"/>
            <w:vAlign w:val="bottom"/>
            <w:gridSpan w:val="4"/>
          </w:tcPr>
          <w:p>
            <w:pPr>
              <w:ind w:left="100"/>
              <w:spacing w:after="0"/>
              <w:rPr>
                <w:sz w:val="20"/>
                <w:szCs w:val="20"/>
                <w:color w:val="auto"/>
              </w:rPr>
            </w:pPr>
            <w:r>
              <w:rPr>
                <w:rFonts w:ascii="Arial" w:cs="Arial" w:eastAsia="Arial" w:hAnsi="Arial"/>
                <w:sz w:val="18"/>
                <w:szCs w:val="18"/>
                <w:b w:val="1"/>
                <w:bCs w:val="1"/>
                <w:color w:val="auto"/>
              </w:rPr>
              <w:t>Comprehensive</w:t>
            </w:r>
          </w:p>
        </w:tc>
        <w:tc>
          <w:tcPr>
            <w:tcW w:w="11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controlling</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23"/>
        </w:trPr>
        <w:tc>
          <w:tcPr>
            <w:tcW w:w="2240" w:type="dxa"/>
            <w:vAlign w:val="bottom"/>
          </w:tcPr>
          <w:p>
            <w:pPr>
              <w:spacing w:after="0"/>
              <w:rPr>
                <w:sz w:val="19"/>
                <w:szCs w:val="19"/>
                <w:color w:val="auto"/>
              </w:rPr>
            </w:pPr>
          </w:p>
        </w:tc>
        <w:tc>
          <w:tcPr>
            <w:tcW w:w="108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rPr>
              <w:t>Shares</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4"/>
              </w:rPr>
              <w:t>Amount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center"/>
              <w:ind w:right="50"/>
              <w:spacing w:after="0"/>
              <w:rPr>
                <w:sz w:val="20"/>
                <w:szCs w:val="20"/>
                <w:color w:val="auto"/>
              </w:rPr>
            </w:pPr>
            <w:r>
              <w:rPr>
                <w:rFonts w:ascii="Arial" w:cs="Arial" w:eastAsia="Arial" w:hAnsi="Arial"/>
                <w:sz w:val="18"/>
                <w:szCs w:val="18"/>
                <w:b w:val="1"/>
                <w:bCs w:val="1"/>
                <w:color w:val="auto"/>
                <w:w w:val="96"/>
              </w:rPr>
              <w:t>Capital</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w w:val="88"/>
              </w:rPr>
              <w:t>Earnings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Stock</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0"/>
              </w:rPr>
              <w:t>Loss</w:t>
            </w:r>
          </w:p>
        </w:tc>
        <w:tc>
          <w:tcPr>
            <w:tcW w:w="100" w:type="dxa"/>
            <w:vAlign w:val="bottom"/>
          </w:tcPr>
          <w:p>
            <w:pPr>
              <w:spacing w:after="0"/>
              <w:rPr>
                <w:sz w:val="19"/>
                <w:szCs w:val="19"/>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Interests</w:t>
            </w: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2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at January 29,</w:t>
            </w: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2023</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61,102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494,954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449,620</w:t>
            </w:r>
          </w:p>
        </w:tc>
        <w:tc>
          <w:tcPr>
            <w:tcW w:w="30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(24,420)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261,955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$ 1,182,720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39,929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19,344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(35,085)</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(4,662)</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(39,747)</w:t>
            </w:r>
          </w:p>
        </w:tc>
        <w:tc>
          <w:tcPr>
            <w:tcW w:w="0" w:type="dxa"/>
            <w:vAlign w:val="bottom"/>
          </w:tcPr>
          <w:p>
            <w:pPr>
              <w:spacing w:after="0"/>
              <w:rPr>
                <w:sz w:val="1"/>
                <w:szCs w:val="1"/>
                <w:color w:val="auto"/>
              </w:rPr>
            </w:pPr>
          </w:p>
        </w:tc>
      </w:tr>
      <w:tr>
        <w:trPr>
          <w:trHeight w:val="202"/>
        </w:trPr>
        <w:tc>
          <w:tcPr>
            <w:tcW w:w="2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Shares issued under equity</w:t>
            </w: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plans</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240" w:type="dxa"/>
            <w:vAlign w:val="bottom"/>
          </w:tcPr>
          <w:p>
            <w:pPr>
              <w:spacing w:after="0" w:line="201" w:lineRule="exact"/>
              <w:rPr>
                <w:sz w:val="20"/>
                <w:szCs w:val="20"/>
                <w:color w:val="auto"/>
              </w:rPr>
            </w:pPr>
            <w:r>
              <w:rPr>
                <w:rFonts w:ascii="Arial" w:cs="Arial" w:eastAsia="Arial" w:hAnsi="Arial"/>
                <w:sz w:val="18"/>
                <w:szCs w:val="18"/>
                <w:color w:val="auto"/>
              </w:rPr>
              <w:t>Share-based compensation</w:t>
            </w: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40" w:type="dxa"/>
            <w:vAlign w:val="bottom"/>
          </w:tcPr>
          <w:p>
            <w:pPr>
              <w:ind w:left="140"/>
              <w:spacing w:after="0"/>
              <w:rPr>
                <w:sz w:val="20"/>
                <w:szCs w:val="20"/>
                <w:color w:val="auto"/>
              </w:rPr>
            </w:pPr>
            <w:r>
              <w:rPr>
                <w:rFonts w:ascii="Arial" w:cs="Arial" w:eastAsia="Arial" w:hAnsi="Arial"/>
                <w:sz w:val="18"/>
                <w:szCs w:val="18"/>
                <w:color w:val="auto"/>
              </w:rPr>
              <w:t>expense</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2,009</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Arial" w:cs="Arial" w:eastAsia="Arial" w:hAnsi="Arial"/>
                <w:sz w:val="18"/>
                <w:szCs w:val="18"/>
                <w:b w:val="1"/>
                <w:bCs w:val="1"/>
                <w:color w:val="auto"/>
              </w:rPr>
              <w:t>Balance at April 30, 2023</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61,185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612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497,391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489,549</w:t>
            </w:r>
          </w:p>
        </w:tc>
        <w:tc>
          <w:tcPr>
            <w:tcW w:w="300" w:type="dxa"/>
            <w:vAlign w:val="bottom"/>
            <w:gridSpan w:val="2"/>
          </w:tcPr>
          <w:p>
            <w:pPr>
              <w:jc w:val="center"/>
              <w:ind w:left="9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(59,505)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276,637</w:t>
            </w:r>
          </w:p>
        </w:tc>
        <w:tc>
          <w:tcPr>
            <w:tcW w:w="900" w:type="dxa"/>
            <w:vAlign w:val="bottom"/>
          </w:tcPr>
          <w:p>
            <w:pPr>
              <w:jc w:val="right"/>
              <w:spacing w:after="0"/>
              <w:rPr>
                <w:sz w:val="20"/>
                <w:szCs w:val="20"/>
                <w:color w:val="auto"/>
              </w:rPr>
            </w:pPr>
            <w:r>
              <w:rPr>
                <w:rFonts w:ascii="Arial" w:cs="Arial" w:eastAsia="Arial" w:hAnsi="Arial"/>
                <w:sz w:val="18"/>
                <w:szCs w:val="18"/>
                <w:color w:val="auto"/>
                <w:w w:val="92"/>
              </w:rPr>
              <w:t>$ 1,204,684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2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3"/>
        </w:trPr>
        <w:tc>
          <w:tcPr>
            <w:tcW w:w="224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11"/>
          </w:tcPr>
          <w:p>
            <w:pPr>
              <w:jc w:val="center"/>
              <w:ind w:right="1180"/>
              <w:spacing w:after="0"/>
              <w:rPr>
                <w:sz w:val="20"/>
                <w:szCs w:val="20"/>
                <w:color w:val="auto"/>
              </w:rPr>
            </w:pPr>
            <w:r>
              <w:rPr>
                <w:rFonts w:ascii="Arial" w:cs="Arial" w:eastAsia="Arial" w:hAnsi="Arial"/>
                <w:sz w:val="18"/>
                <w:szCs w:val="18"/>
                <w:b w:val="1"/>
                <w:bCs w:val="1"/>
                <w:color w:val="auto"/>
                <w:w w:val="92"/>
              </w:rPr>
              <w:t>Three Months Ended May 1, 2022</w:t>
            </w: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24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8"/>
          </w:tcPr>
          <w:p>
            <w:pPr>
              <w:ind w:left="80"/>
              <w:spacing w:after="0"/>
              <w:rPr>
                <w:sz w:val="20"/>
                <w:szCs w:val="20"/>
                <w:color w:val="auto"/>
              </w:rPr>
            </w:pPr>
            <w:r>
              <w:rPr>
                <w:rFonts w:ascii="Arial" w:cs="Arial" w:eastAsia="Arial" w:hAnsi="Arial"/>
                <w:sz w:val="18"/>
                <w:szCs w:val="18"/>
                <w:b w:val="1"/>
                <w:bCs w:val="1"/>
                <w:color w:val="auto"/>
                <w:w w:val="90"/>
              </w:rPr>
              <w:t>Photronics, Inc. Shareholders</w:t>
            </w: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center"/>
              <w:ind w:right="10"/>
              <w:spacing w:after="0" w:line="198" w:lineRule="exact"/>
              <w:rPr>
                <w:sz w:val="20"/>
                <w:szCs w:val="20"/>
                <w:color w:val="auto"/>
              </w:rPr>
            </w:pPr>
            <w:r>
              <w:rPr>
                <w:rFonts w:ascii="Arial" w:cs="Arial" w:eastAsia="Arial" w:hAnsi="Arial"/>
                <w:sz w:val="18"/>
                <w:szCs w:val="18"/>
                <w:b w:val="1"/>
                <w:bCs w:val="1"/>
                <w:color w:val="auto"/>
                <w:w w:val="90"/>
              </w:rPr>
              <w:t>Accumulated</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060" w:type="dxa"/>
            <w:vAlign w:val="bottom"/>
            <w:gridSpan w:val="5"/>
            <w:vMerge w:val="restart"/>
          </w:tcPr>
          <w:p>
            <w:pPr>
              <w:ind w:left="38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Additional</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Non-</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240" w:type="dxa"/>
            <w:vAlign w:val="bottom"/>
          </w:tcPr>
          <w:p>
            <w:pPr>
              <w:spacing w:after="0"/>
              <w:rPr>
                <w:sz w:val="18"/>
                <w:szCs w:val="18"/>
                <w:color w:val="auto"/>
              </w:rPr>
            </w:pPr>
          </w:p>
        </w:tc>
        <w:tc>
          <w:tcPr>
            <w:tcW w:w="2060" w:type="dxa"/>
            <w:vAlign w:val="bottom"/>
            <w:gridSpan w:val="5"/>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Paid-in</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w w:val="89"/>
              </w:rPr>
              <w:t>Retained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Treasury</w:t>
            </w:r>
          </w:p>
        </w:tc>
        <w:tc>
          <w:tcPr>
            <w:tcW w:w="1520" w:type="dxa"/>
            <w:vAlign w:val="bottom"/>
            <w:gridSpan w:val="4"/>
          </w:tcPr>
          <w:p>
            <w:pPr>
              <w:ind w:left="100"/>
              <w:spacing w:after="0"/>
              <w:rPr>
                <w:sz w:val="20"/>
                <w:szCs w:val="20"/>
                <w:color w:val="auto"/>
              </w:rPr>
            </w:pPr>
            <w:r>
              <w:rPr>
                <w:rFonts w:ascii="Arial" w:cs="Arial" w:eastAsia="Arial" w:hAnsi="Arial"/>
                <w:sz w:val="18"/>
                <w:szCs w:val="18"/>
                <w:b w:val="1"/>
                <w:bCs w:val="1"/>
                <w:color w:val="auto"/>
              </w:rPr>
              <w:t>Comprehensive</w:t>
            </w:r>
          </w:p>
        </w:tc>
        <w:tc>
          <w:tcPr>
            <w:tcW w:w="11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controlling</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23"/>
        </w:trPr>
        <w:tc>
          <w:tcPr>
            <w:tcW w:w="2240" w:type="dxa"/>
            <w:vAlign w:val="bottom"/>
          </w:tcPr>
          <w:p>
            <w:pPr>
              <w:spacing w:after="0"/>
              <w:rPr>
                <w:sz w:val="19"/>
                <w:szCs w:val="19"/>
                <w:color w:val="auto"/>
              </w:rPr>
            </w:pPr>
          </w:p>
        </w:tc>
        <w:tc>
          <w:tcPr>
            <w:tcW w:w="108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rPr>
              <w:t>Shares</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4"/>
              </w:rPr>
              <w:t>Amount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center"/>
              <w:ind w:right="50"/>
              <w:spacing w:after="0"/>
              <w:rPr>
                <w:sz w:val="20"/>
                <w:szCs w:val="20"/>
                <w:color w:val="auto"/>
              </w:rPr>
            </w:pPr>
            <w:r>
              <w:rPr>
                <w:rFonts w:ascii="Arial" w:cs="Arial" w:eastAsia="Arial" w:hAnsi="Arial"/>
                <w:sz w:val="18"/>
                <w:szCs w:val="18"/>
                <w:b w:val="1"/>
                <w:bCs w:val="1"/>
                <w:color w:val="auto"/>
                <w:w w:val="96"/>
              </w:rPr>
              <w:t>Capital</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w w:val="88"/>
              </w:rPr>
              <w:t>Earnings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Stock</w:t>
            </w:r>
          </w:p>
        </w:tc>
        <w:tc>
          <w:tcPr>
            <w:tcW w:w="100" w:type="dxa"/>
            <w:vAlign w:val="bottom"/>
          </w:tcPr>
          <w:p>
            <w:pPr>
              <w:spacing w:after="0"/>
              <w:rPr>
                <w:sz w:val="19"/>
                <w:szCs w:val="19"/>
                <w:color w:val="auto"/>
              </w:rPr>
            </w:pPr>
          </w:p>
        </w:tc>
        <w:tc>
          <w:tcPr>
            <w:tcW w:w="14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Income (Loss)</w:t>
            </w:r>
          </w:p>
        </w:tc>
        <w:tc>
          <w:tcPr>
            <w:tcW w:w="100" w:type="dxa"/>
            <w:vAlign w:val="bottom"/>
          </w:tcPr>
          <w:p>
            <w:pPr>
              <w:spacing w:after="0"/>
              <w:rPr>
                <w:sz w:val="19"/>
                <w:szCs w:val="19"/>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Interests</w:t>
            </w: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2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at January 30,</w:t>
            </w: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2022</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60,564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487,342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339,912</w:t>
            </w:r>
          </w:p>
        </w:tc>
        <w:tc>
          <w:tcPr>
            <w:tcW w:w="30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10,565</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200,741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$ 1,039,166</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27,432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15,597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(33,484)</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(10,505)</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(43,989)</w:t>
            </w:r>
          </w:p>
        </w:tc>
        <w:tc>
          <w:tcPr>
            <w:tcW w:w="0" w:type="dxa"/>
            <w:vAlign w:val="bottom"/>
          </w:tcPr>
          <w:p>
            <w:pPr>
              <w:spacing w:after="0"/>
              <w:rPr>
                <w:sz w:val="1"/>
                <w:szCs w:val="1"/>
                <w:color w:val="auto"/>
              </w:rPr>
            </w:pPr>
          </w:p>
        </w:tc>
      </w:tr>
      <w:tr>
        <w:trPr>
          <w:trHeight w:val="202"/>
        </w:trPr>
        <w:tc>
          <w:tcPr>
            <w:tcW w:w="2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Shares issued under equity</w:t>
            </w: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plans</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240" w:type="dxa"/>
            <w:vAlign w:val="bottom"/>
          </w:tcPr>
          <w:p>
            <w:pPr>
              <w:spacing w:after="0" w:line="201" w:lineRule="exact"/>
              <w:rPr>
                <w:sz w:val="20"/>
                <w:szCs w:val="20"/>
                <w:color w:val="auto"/>
              </w:rPr>
            </w:pPr>
            <w:r>
              <w:rPr>
                <w:rFonts w:ascii="Arial" w:cs="Arial" w:eastAsia="Arial" w:hAnsi="Arial"/>
                <w:sz w:val="18"/>
                <w:szCs w:val="18"/>
                <w:color w:val="auto"/>
              </w:rPr>
              <w:t>Share-based compensation</w:t>
            </w: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40" w:type="dxa"/>
            <w:vAlign w:val="bottom"/>
          </w:tcPr>
          <w:p>
            <w:pPr>
              <w:ind w:left="140"/>
              <w:spacing w:after="0"/>
              <w:rPr>
                <w:sz w:val="20"/>
                <w:szCs w:val="20"/>
                <w:color w:val="auto"/>
              </w:rPr>
            </w:pPr>
            <w:r>
              <w:rPr>
                <w:rFonts w:ascii="Arial" w:cs="Arial" w:eastAsia="Arial" w:hAnsi="Arial"/>
                <w:sz w:val="18"/>
                <w:szCs w:val="18"/>
                <w:color w:val="auto"/>
              </w:rPr>
              <w:t>expense</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1,584</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Contribution from</w:t>
            </w: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noncontrolling interest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9,998</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40" w:type="dxa"/>
            <w:vAlign w:val="bottom"/>
          </w:tcPr>
          <w:p>
            <w:pPr>
              <w:spacing w:after="0"/>
              <w:rPr>
                <w:sz w:val="19"/>
                <w:szCs w:val="19"/>
                <w:color w:val="auto"/>
              </w:rPr>
            </w:pPr>
          </w:p>
        </w:tc>
        <w:tc>
          <w:tcPr>
            <w:tcW w:w="108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spacing w:after="0"/>
              <w:rPr>
                <w:sz w:val="19"/>
                <w:szCs w:val="19"/>
                <w:color w:val="auto"/>
              </w:rPr>
            </w:pPr>
          </w:p>
        </w:tc>
        <w:tc>
          <w:tcPr>
            <w:tcW w:w="240" w:type="dxa"/>
            <w:vAlign w:val="bottom"/>
            <w:gridSpan w:val="2"/>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gridSpan w:val="2"/>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gridSpan w:val="2"/>
          </w:tcPr>
          <w:p>
            <w:pPr>
              <w:spacing w:after="0"/>
              <w:rPr>
                <w:sz w:val="19"/>
                <w:szCs w:val="19"/>
                <w:color w:val="auto"/>
              </w:rPr>
            </w:pPr>
          </w:p>
        </w:tc>
        <w:tc>
          <w:tcPr>
            <w:tcW w:w="920" w:type="dxa"/>
            <w:vAlign w:val="bottom"/>
            <w:gridSpan w:val="2"/>
          </w:tcPr>
          <w:p>
            <w:pPr>
              <w:spacing w:after="0"/>
              <w:rPr>
                <w:sz w:val="19"/>
                <w:szCs w:val="19"/>
                <w:color w:val="auto"/>
              </w:rPr>
            </w:pPr>
          </w:p>
        </w:tc>
        <w:tc>
          <w:tcPr>
            <w:tcW w:w="200" w:type="dxa"/>
            <w:vAlign w:val="bottom"/>
            <w:gridSpan w:val="2"/>
          </w:tcPr>
          <w:p>
            <w:pPr>
              <w:spacing w:after="0"/>
              <w:rPr>
                <w:sz w:val="19"/>
                <w:szCs w:val="19"/>
                <w:color w:val="auto"/>
              </w:rPr>
            </w:pPr>
          </w:p>
        </w:tc>
        <w:tc>
          <w:tcPr>
            <w:tcW w:w="132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May 1, 2022</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60,637</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489,368</w:t>
            </w:r>
          </w:p>
        </w:tc>
        <w:tc>
          <w:tcPr>
            <w:tcW w:w="2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367,344</w:t>
            </w: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(22,919)</w:t>
            </w: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215,831</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$ 1,050,230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1"/>
        </w:trPr>
        <w:tc>
          <w:tcPr>
            <w:tcW w:w="2240" w:type="dxa"/>
            <w:vAlign w:val="bottom"/>
            <w:gridSpan w:val="2"/>
          </w:tcPr>
          <w:p>
            <w:pPr>
              <w:spacing w:after="0"/>
              <w:rPr>
                <w:sz w:val="20"/>
                <w:szCs w:val="20"/>
                <w:color w:val="auto"/>
              </w:rPr>
            </w:pPr>
            <w:r>
              <w:rPr>
                <w:rFonts w:ascii="Arial" w:cs="Arial" w:eastAsia="Arial" w:hAnsi="Arial"/>
                <w:sz w:val="14"/>
                <w:szCs w:val="14"/>
                <w:i w:val="1"/>
                <w:iCs w:val="1"/>
                <w:color w:val="0000EE"/>
              </w:rPr>
              <w:t>Table of Contents</w:t>
            </w: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1020" w:type="dxa"/>
            <w:vAlign w:val="bottom"/>
            <w:tcBorders>
              <w:top w:val="single" w:sz="8" w:color="0000EE"/>
            </w:tcBorders>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13"/>
          </w:tcPr>
          <w:p>
            <w:pPr>
              <w:jc w:val="center"/>
              <w:spacing w:after="0"/>
              <w:rPr>
                <w:sz w:val="20"/>
                <w:szCs w:val="20"/>
                <w:color w:val="auto"/>
              </w:rPr>
            </w:pPr>
            <w:r>
              <w:rPr>
                <w:rFonts w:ascii="Arial" w:cs="Arial" w:eastAsia="Arial" w:hAnsi="Arial"/>
                <w:sz w:val="18"/>
                <w:szCs w:val="18"/>
                <w:b w:val="1"/>
                <w:bCs w:val="1"/>
                <w:color w:val="auto"/>
                <w:w w:val="91"/>
              </w:rPr>
              <w:t>Six Months Ended April 30, 2023</w:t>
            </w: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14"/>
          </w:tcPr>
          <w:p>
            <w:pPr>
              <w:jc w:val="right"/>
              <w:spacing w:after="0"/>
              <w:rPr>
                <w:sz w:val="20"/>
                <w:szCs w:val="20"/>
                <w:color w:val="auto"/>
              </w:rPr>
            </w:pPr>
            <w:r>
              <w:rPr>
                <w:rFonts w:ascii="Arial" w:cs="Arial" w:eastAsia="Arial" w:hAnsi="Arial"/>
                <w:sz w:val="18"/>
                <w:szCs w:val="18"/>
                <w:b w:val="1"/>
                <w:bCs w:val="1"/>
                <w:color w:val="auto"/>
                <w:w w:val="90"/>
              </w:rPr>
              <w:t>Photronics, Inc. Shareholders</w:t>
            </w:r>
          </w:p>
        </w:tc>
        <w:tc>
          <w:tcPr>
            <w:tcW w:w="8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10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100" w:type="dxa"/>
            <w:vAlign w:val="bottom"/>
            <w:gridSpan w:val="7"/>
            <w:vMerge w:val="restart"/>
          </w:tcPr>
          <w:p>
            <w:pPr>
              <w:jc w:val="right"/>
              <w:ind w:right="520"/>
              <w:spacing w:after="0"/>
              <w:rPr>
                <w:sz w:val="20"/>
                <w:szCs w:val="20"/>
                <w:color w:val="auto"/>
              </w:rPr>
            </w:pPr>
            <w:r>
              <w:rPr>
                <w:rFonts w:ascii="Arial" w:cs="Arial" w:eastAsia="Arial" w:hAnsi="Arial"/>
                <w:sz w:val="18"/>
                <w:szCs w:val="18"/>
                <w:b w:val="1"/>
                <w:bCs w:val="1"/>
                <w:color w:val="auto"/>
              </w:rPr>
              <w:t>Common Stock</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w w:val="90"/>
              </w:rPr>
              <w:t>Additional</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Non-</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100" w:type="dxa"/>
            <w:vAlign w:val="bottom"/>
            <w:gridSpan w:val="7"/>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170"/>
              <w:spacing w:after="0"/>
              <w:rPr>
                <w:sz w:val="20"/>
                <w:szCs w:val="20"/>
                <w:color w:val="auto"/>
              </w:rPr>
            </w:pPr>
            <w:r>
              <w:rPr>
                <w:rFonts w:ascii="Arial" w:cs="Arial" w:eastAsia="Arial" w:hAnsi="Arial"/>
                <w:sz w:val="18"/>
                <w:szCs w:val="18"/>
                <w:b w:val="1"/>
                <w:bCs w:val="1"/>
                <w:color w:val="auto"/>
                <w:w w:val="96"/>
              </w:rPr>
              <w:t>Paid-in</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w w:val="97"/>
              </w:rPr>
              <w:t>Retained</w:t>
            </w:r>
          </w:p>
        </w:tc>
        <w:tc>
          <w:tcPr>
            <w:tcW w:w="40" w:type="dxa"/>
            <w:vAlign w:val="bottom"/>
          </w:tcPr>
          <w:p>
            <w:pPr>
              <w:spacing w:after="0"/>
              <w:rPr>
                <w:sz w:val="18"/>
                <w:szCs w:val="18"/>
                <w:color w:val="auto"/>
              </w:rPr>
            </w:pPr>
          </w:p>
        </w:tc>
        <w:tc>
          <w:tcPr>
            <w:tcW w:w="10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9"/>
              </w:rPr>
              <w:t>Treasury</w:t>
            </w:r>
          </w:p>
        </w:tc>
        <w:tc>
          <w:tcPr>
            <w:tcW w:w="80" w:type="dxa"/>
            <w:vAlign w:val="bottom"/>
          </w:tcPr>
          <w:p>
            <w:pPr>
              <w:spacing w:after="0"/>
              <w:rPr>
                <w:sz w:val="18"/>
                <w:szCs w:val="18"/>
                <w:color w:val="auto"/>
              </w:rPr>
            </w:pPr>
          </w:p>
        </w:tc>
        <w:tc>
          <w:tcPr>
            <w:tcW w:w="13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7"/>
              </w:rPr>
              <w:t>Comprehensive</w:t>
            </w:r>
          </w:p>
        </w:tc>
        <w:tc>
          <w:tcPr>
            <w:tcW w:w="80" w:type="dxa"/>
            <w:vAlign w:val="bottom"/>
          </w:tcPr>
          <w:p>
            <w:pPr>
              <w:spacing w:after="0"/>
              <w:rPr>
                <w:sz w:val="18"/>
                <w:szCs w:val="18"/>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controlling</w:t>
            </w:r>
          </w:p>
        </w:tc>
        <w:tc>
          <w:tcPr>
            <w:tcW w:w="8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80" w:type="dxa"/>
            <w:vAlign w:val="bottom"/>
            <w:tcBorders>
              <w:top w:val="single" w:sz="8" w:color="auto"/>
            </w:tcBorders>
            <w:gridSpan w:val="3"/>
          </w:tcPr>
          <w:p>
            <w:pPr>
              <w:jc w:val="right"/>
              <w:ind w:right="380"/>
              <w:spacing w:after="0"/>
              <w:rPr>
                <w:sz w:val="20"/>
                <w:szCs w:val="20"/>
                <w:color w:val="auto"/>
              </w:rPr>
            </w:pPr>
            <w:r>
              <w:rPr>
                <w:rFonts w:ascii="Arial" w:cs="Arial" w:eastAsia="Arial" w:hAnsi="Arial"/>
                <w:sz w:val="18"/>
                <w:szCs w:val="18"/>
                <w:b w:val="1"/>
                <w:bCs w:val="1"/>
                <w:color w:val="auto"/>
              </w:rPr>
              <w:t>Shares</w:t>
            </w: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Amount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right"/>
              <w:ind w:right="170"/>
              <w:spacing w:after="0"/>
              <w:rPr>
                <w:sz w:val="20"/>
                <w:szCs w:val="20"/>
                <w:color w:val="auto"/>
              </w:rPr>
            </w:pPr>
            <w:r>
              <w:rPr>
                <w:rFonts w:ascii="Arial" w:cs="Arial" w:eastAsia="Arial" w:hAnsi="Arial"/>
                <w:sz w:val="18"/>
                <w:szCs w:val="18"/>
                <w:b w:val="1"/>
                <w:bCs w:val="1"/>
                <w:color w:val="auto"/>
                <w:w w:val="96"/>
              </w:rPr>
              <w:t>Capital</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w w:val="96"/>
              </w:rPr>
              <w:t>Earnings</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Stock</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0"/>
              </w:rPr>
              <w:t>Loss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Interests</w:t>
            </w:r>
          </w:p>
        </w:tc>
        <w:tc>
          <w:tcPr>
            <w:tcW w:w="80" w:type="dxa"/>
            <w:vAlign w:val="bottom"/>
          </w:tcPr>
          <w:p>
            <w:pPr>
              <w:spacing w:after="0"/>
              <w:rPr>
                <w:sz w:val="19"/>
                <w:szCs w:val="19"/>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24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at October 31,</w:t>
            </w: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2022</w:t>
            </w:r>
          </w:p>
        </w:tc>
        <w:tc>
          <w:tcPr>
            <w:tcW w:w="1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60,791</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608</w:t>
            </w:r>
          </w:p>
        </w:tc>
        <w:tc>
          <w:tcPr>
            <w:tcW w:w="120" w:type="dxa"/>
            <w:vAlign w:val="bottom"/>
            <w:shd w:val="clear" w:color="auto" w:fill="CCEEFF"/>
          </w:tcPr>
          <w:p>
            <w:pPr>
              <w:spacing w:after="0"/>
              <w:rPr>
                <w:sz w:val="20"/>
                <w:szCs w:val="20"/>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493,741</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435,634</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(98,456)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230,562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$ 1,062,089</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9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53,915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34,308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88,223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gridSpan w:val="2"/>
          </w:tcPr>
          <w:p>
            <w:pPr>
              <w:spacing w:after="0"/>
              <w:rPr>
                <w:sz w:val="20"/>
                <w:szCs w:val="20"/>
                <w:color w:val="auto"/>
              </w:rPr>
            </w:pPr>
            <w:r>
              <w:rPr>
                <w:rFonts w:ascii="Arial" w:cs="Arial" w:eastAsia="Arial" w:hAnsi="Arial"/>
                <w:sz w:val="18"/>
                <w:szCs w:val="18"/>
                <w:color w:val="auto"/>
                <w:w w:val="94"/>
              </w:rPr>
              <w:t>Other comprehensive Income</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38,951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11,767</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50,718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Shares issued under equity</w:t>
            </w: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plans</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394</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02"/>
        </w:trPr>
        <w:tc>
          <w:tcPr>
            <w:tcW w:w="2240" w:type="dxa"/>
            <w:vAlign w:val="bottom"/>
            <w:gridSpan w:val="2"/>
          </w:tcPr>
          <w:p>
            <w:pPr>
              <w:spacing w:after="0" w:line="201" w:lineRule="exact"/>
              <w:rPr>
                <w:sz w:val="20"/>
                <w:szCs w:val="20"/>
                <w:color w:val="auto"/>
              </w:rPr>
            </w:pPr>
            <w:r>
              <w:rPr>
                <w:rFonts w:ascii="Arial" w:cs="Arial" w:eastAsia="Arial" w:hAnsi="Arial"/>
                <w:sz w:val="18"/>
                <w:szCs w:val="18"/>
                <w:color w:val="auto"/>
              </w:rPr>
              <w:t>Share-based compensation</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40" w:type="dxa"/>
            <w:vAlign w:val="bottom"/>
            <w:gridSpan w:val="2"/>
          </w:tcPr>
          <w:p>
            <w:pPr>
              <w:ind w:left="140"/>
              <w:spacing w:after="0"/>
              <w:rPr>
                <w:sz w:val="20"/>
                <w:szCs w:val="20"/>
                <w:color w:val="auto"/>
              </w:rPr>
            </w:pPr>
            <w:r>
              <w:rPr>
                <w:rFonts w:ascii="Arial" w:cs="Arial" w:eastAsia="Arial" w:hAnsi="Arial"/>
                <w:sz w:val="18"/>
                <w:szCs w:val="18"/>
                <w:color w:val="auto"/>
              </w:rPr>
              <w:t>expense</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3,830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3,830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0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40" w:type="dxa"/>
            <w:vAlign w:val="bottom"/>
            <w:gridSpan w:val="2"/>
          </w:tcPr>
          <w:p>
            <w:pPr>
              <w:spacing w:after="0"/>
              <w:rPr>
                <w:sz w:val="20"/>
                <w:szCs w:val="20"/>
                <w:color w:val="auto"/>
              </w:rPr>
            </w:pPr>
            <w:r>
              <w:rPr>
                <w:rFonts w:ascii="Arial" w:cs="Arial" w:eastAsia="Arial" w:hAnsi="Arial"/>
                <w:sz w:val="18"/>
                <w:szCs w:val="18"/>
                <w:b w:val="1"/>
                <w:bCs w:val="1"/>
                <w:color w:val="auto"/>
              </w:rPr>
              <w:t>Balance at April 30, 2023</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61,185</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612</w:t>
            </w:r>
          </w:p>
        </w:tc>
        <w:tc>
          <w:tcPr>
            <w:tcW w:w="120" w:type="dxa"/>
            <w:vAlign w:val="bottom"/>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497,391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489,549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(59,505)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276,637</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$ 1,204,684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3"/>
        </w:trPr>
        <w:tc>
          <w:tcPr>
            <w:tcW w:w="10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12"/>
          </w:tcPr>
          <w:p>
            <w:pPr>
              <w:jc w:val="center"/>
              <w:ind w:right="50"/>
              <w:spacing w:after="0"/>
              <w:rPr>
                <w:sz w:val="20"/>
                <w:szCs w:val="20"/>
                <w:color w:val="auto"/>
              </w:rPr>
            </w:pPr>
            <w:r>
              <w:rPr>
                <w:rFonts w:ascii="Arial" w:cs="Arial" w:eastAsia="Arial" w:hAnsi="Arial"/>
                <w:sz w:val="18"/>
                <w:szCs w:val="18"/>
                <w:b w:val="1"/>
                <w:bCs w:val="1"/>
                <w:color w:val="auto"/>
                <w:w w:val="91"/>
              </w:rPr>
              <w:t>Six Months Ended May 1, 2022</w:t>
            </w: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14"/>
          </w:tcPr>
          <w:p>
            <w:pPr>
              <w:jc w:val="right"/>
              <w:spacing w:after="0"/>
              <w:rPr>
                <w:sz w:val="20"/>
                <w:szCs w:val="20"/>
                <w:color w:val="auto"/>
              </w:rPr>
            </w:pPr>
            <w:r>
              <w:rPr>
                <w:rFonts w:ascii="Arial" w:cs="Arial" w:eastAsia="Arial" w:hAnsi="Arial"/>
                <w:sz w:val="18"/>
                <w:szCs w:val="18"/>
                <w:b w:val="1"/>
                <w:bCs w:val="1"/>
                <w:color w:val="auto"/>
                <w:w w:val="90"/>
              </w:rPr>
              <w:t>Photronics, Inc. Shareholders</w:t>
            </w:r>
          </w:p>
        </w:tc>
        <w:tc>
          <w:tcPr>
            <w:tcW w:w="8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0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90"/>
              </w:rPr>
              <w:t>Accumulated</w:t>
            </w:r>
          </w:p>
        </w:tc>
        <w:tc>
          <w:tcPr>
            <w:tcW w:w="14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100" w:type="dxa"/>
            <w:vAlign w:val="bottom"/>
            <w:gridSpan w:val="7"/>
            <w:vMerge w:val="restart"/>
          </w:tcPr>
          <w:p>
            <w:pPr>
              <w:jc w:val="right"/>
              <w:ind w:right="520"/>
              <w:spacing w:after="0"/>
              <w:rPr>
                <w:sz w:val="20"/>
                <w:szCs w:val="20"/>
                <w:color w:val="auto"/>
              </w:rPr>
            </w:pPr>
            <w:r>
              <w:rPr>
                <w:rFonts w:ascii="Arial" w:cs="Arial" w:eastAsia="Arial" w:hAnsi="Arial"/>
                <w:sz w:val="18"/>
                <w:szCs w:val="18"/>
                <w:b w:val="1"/>
                <w:bCs w:val="1"/>
                <w:color w:val="auto"/>
              </w:rPr>
              <w:t>Common Stock</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w w:val="93"/>
              </w:rPr>
              <w:t>Additional</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Non-</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100" w:type="dxa"/>
            <w:vAlign w:val="bottom"/>
            <w:gridSpan w:val="7"/>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w w:val="99"/>
              </w:rPr>
              <w:t>Paid-in</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89"/>
              </w:rPr>
              <w:t>Retained</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Treasury</w:t>
            </w:r>
          </w:p>
        </w:tc>
        <w:tc>
          <w:tcPr>
            <w:tcW w:w="1420" w:type="dxa"/>
            <w:vAlign w:val="bottom"/>
            <w:gridSpan w:val="5"/>
          </w:tcPr>
          <w:p>
            <w:pPr>
              <w:ind w:left="80"/>
              <w:spacing w:after="0"/>
              <w:rPr>
                <w:sz w:val="20"/>
                <w:szCs w:val="20"/>
                <w:color w:val="auto"/>
              </w:rPr>
            </w:pPr>
            <w:r>
              <w:rPr>
                <w:rFonts w:ascii="Arial" w:cs="Arial" w:eastAsia="Arial" w:hAnsi="Arial"/>
                <w:sz w:val="18"/>
                <w:szCs w:val="18"/>
                <w:b w:val="1"/>
                <w:bCs w:val="1"/>
                <w:color w:val="auto"/>
                <w:w w:val="97"/>
              </w:rPr>
              <w:t>Comprehensive</w:t>
            </w:r>
          </w:p>
        </w:tc>
        <w:tc>
          <w:tcPr>
            <w:tcW w:w="80" w:type="dxa"/>
            <w:vAlign w:val="bottom"/>
          </w:tcPr>
          <w:p>
            <w:pPr>
              <w:spacing w:after="0"/>
              <w:rPr>
                <w:sz w:val="18"/>
                <w:szCs w:val="18"/>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controlling</w:t>
            </w:r>
          </w:p>
        </w:tc>
        <w:tc>
          <w:tcPr>
            <w:tcW w:w="8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80" w:type="dxa"/>
            <w:vAlign w:val="bottom"/>
            <w:tcBorders>
              <w:top w:val="single" w:sz="8" w:color="auto"/>
            </w:tcBorders>
            <w:gridSpan w:val="3"/>
          </w:tcPr>
          <w:p>
            <w:pPr>
              <w:jc w:val="right"/>
              <w:ind w:right="380"/>
              <w:spacing w:after="0"/>
              <w:rPr>
                <w:sz w:val="20"/>
                <w:szCs w:val="20"/>
                <w:color w:val="auto"/>
              </w:rPr>
            </w:pPr>
            <w:r>
              <w:rPr>
                <w:rFonts w:ascii="Arial" w:cs="Arial" w:eastAsia="Arial" w:hAnsi="Arial"/>
                <w:sz w:val="18"/>
                <w:szCs w:val="18"/>
                <w:b w:val="1"/>
                <w:bCs w:val="1"/>
                <w:color w:val="auto"/>
              </w:rPr>
              <w:t>Shares</w:t>
            </w: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w w:val="94"/>
              </w:rPr>
              <w:t>Amount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w w:val="99"/>
              </w:rPr>
              <w:t>Capital</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88"/>
              </w:rPr>
              <w:t>Earnings</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Stock</w:t>
            </w:r>
          </w:p>
        </w:tc>
        <w:tc>
          <w:tcPr>
            <w:tcW w:w="80" w:type="dxa"/>
            <w:vAlign w:val="bottom"/>
          </w:tcPr>
          <w:p>
            <w:pPr>
              <w:spacing w:after="0"/>
              <w:rPr>
                <w:sz w:val="19"/>
                <w:szCs w:val="19"/>
                <w:color w:val="auto"/>
              </w:rPr>
            </w:pPr>
          </w:p>
        </w:tc>
        <w:tc>
          <w:tcPr>
            <w:tcW w:w="134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88"/>
              </w:rPr>
              <w:t>Income (Loss)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Interests</w:t>
            </w:r>
          </w:p>
        </w:tc>
        <w:tc>
          <w:tcPr>
            <w:tcW w:w="80" w:type="dxa"/>
            <w:vAlign w:val="bottom"/>
          </w:tcPr>
          <w:p>
            <w:pPr>
              <w:spacing w:after="0"/>
              <w:rPr>
                <w:sz w:val="19"/>
                <w:szCs w:val="19"/>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24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at October 31,</w:t>
            </w: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2021</w:t>
            </w:r>
          </w:p>
        </w:tc>
        <w:tc>
          <w:tcPr>
            <w:tcW w:w="1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60,024</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20" w:type="dxa"/>
            <w:vAlign w:val="bottom"/>
            <w:shd w:val="clear" w:color="auto" w:fill="CCEEFF"/>
          </w:tcPr>
          <w:p>
            <w:pPr>
              <w:spacing w:after="0"/>
              <w:rPr>
                <w:sz w:val="20"/>
                <w:szCs w:val="20"/>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484,672</w:t>
            </w:r>
          </w:p>
        </w:tc>
        <w:tc>
          <w:tcPr>
            <w:tcW w:w="80" w:type="dxa"/>
            <w:vAlign w:val="bottom"/>
            <w:shd w:val="clear" w:color="auto" w:fill="CCEEFF"/>
          </w:tcPr>
          <w:p>
            <w:pPr>
              <w:spacing w:after="0"/>
              <w:rPr>
                <w:sz w:val="20"/>
                <w:szCs w:val="20"/>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317,849</w:t>
            </w:r>
          </w:p>
        </w:tc>
        <w:tc>
          <w:tcPr>
            <w:tcW w:w="180" w:type="dxa"/>
            <w:vAlign w:val="bottom"/>
            <w:shd w:val="clear" w:color="auto" w:fill="CCEEFF"/>
          </w:tcPr>
          <w:p>
            <w:pPr>
              <w:spacing w:after="0"/>
              <w:rPr>
                <w:sz w:val="20"/>
                <w:szCs w:val="20"/>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3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20,571</w:t>
            </w:r>
          </w:p>
        </w:tc>
        <w:tc>
          <w:tcPr>
            <w:tcW w:w="12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176,870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$ 1,000,562</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9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50,496</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24,259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74,755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gridSpan w:val="2"/>
          </w:tcPr>
          <w:p>
            <w:pPr>
              <w:spacing w:after="0"/>
              <w:rPr>
                <w:sz w:val="20"/>
                <w:szCs w:val="20"/>
                <w:color w:val="auto"/>
              </w:rPr>
            </w:pPr>
            <w:r>
              <w:rPr>
                <w:rFonts w:ascii="Arial" w:cs="Arial" w:eastAsia="Arial" w:hAnsi="Arial"/>
                <w:sz w:val="18"/>
                <w:szCs w:val="18"/>
                <w:color w:val="auto"/>
              </w:rPr>
              <w:t>Other comprehensive loss</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(43,490)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(10,293)</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(53,783)</w:t>
            </w:r>
          </w:p>
        </w:tc>
        <w:tc>
          <w:tcPr>
            <w:tcW w:w="0" w:type="dxa"/>
            <w:vAlign w:val="bottom"/>
          </w:tcPr>
          <w:p>
            <w:pPr>
              <w:spacing w:after="0"/>
              <w:rPr>
                <w:sz w:val="1"/>
                <w:szCs w:val="1"/>
                <w:color w:val="auto"/>
              </w:rPr>
            </w:pPr>
          </w:p>
        </w:tc>
      </w:tr>
      <w:tr>
        <w:trPr>
          <w:trHeight w:val="202"/>
        </w:trPr>
        <w:tc>
          <w:tcPr>
            <w:tcW w:w="2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Shares issued under equity</w:t>
            </w: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plans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3,175</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3,182</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240" w:type="dxa"/>
            <w:vAlign w:val="bottom"/>
            <w:gridSpan w:val="2"/>
          </w:tcPr>
          <w:p>
            <w:pPr>
              <w:spacing w:after="0" w:line="201" w:lineRule="exact"/>
              <w:rPr>
                <w:sz w:val="20"/>
                <w:szCs w:val="20"/>
                <w:color w:val="auto"/>
              </w:rPr>
            </w:pPr>
            <w:r>
              <w:rPr>
                <w:rFonts w:ascii="Arial" w:cs="Arial" w:eastAsia="Arial" w:hAnsi="Arial"/>
                <w:sz w:val="18"/>
                <w:szCs w:val="18"/>
                <w:color w:val="auto"/>
              </w:rPr>
              <w:t>Share-based compensation</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40" w:type="dxa"/>
            <w:vAlign w:val="bottom"/>
            <w:gridSpan w:val="2"/>
          </w:tcPr>
          <w:p>
            <w:pPr>
              <w:ind w:left="140"/>
              <w:spacing w:after="0"/>
              <w:rPr>
                <w:sz w:val="20"/>
                <w:szCs w:val="20"/>
                <w:color w:val="auto"/>
              </w:rPr>
            </w:pPr>
            <w:r>
              <w:rPr>
                <w:rFonts w:ascii="Arial" w:cs="Arial" w:eastAsia="Arial" w:hAnsi="Arial"/>
                <w:sz w:val="18"/>
                <w:szCs w:val="18"/>
                <w:color w:val="auto"/>
              </w:rPr>
              <w:t>expense</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3,041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3,041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Contribution from</w:t>
            </w: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noncontrolling interest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24,995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24,995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40" w:type="dxa"/>
            <w:vAlign w:val="bottom"/>
            <w:gridSpan w:val="2"/>
          </w:tcPr>
          <w:p>
            <w:pPr>
              <w:spacing w:after="0"/>
              <w:rPr>
                <w:sz w:val="20"/>
                <w:szCs w:val="20"/>
                <w:color w:val="auto"/>
              </w:rPr>
            </w:pPr>
            <w:r>
              <w:rPr>
                <w:rFonts w:ascii="Arial" w:cs="Arial" w:eastAsia="Arial" w:hAnsi="Arial"/>
                <w:sz w:val="18"/>
                <w:szCs w:val="18"/>
                <w:color w:val="auto"/>
              </w:rPr>
              <w:t>Purchase of treasury stock</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(2,522)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(2,522)</w:t>
            </w:r>
          </w:p>
        </w:tc>
        <w:tc>
          <w:tcPr>
            <w:tcW w:w="0" w:type="dxa"/>
            <w:vAlign w:val="bottom"/>
          </w:tcPr>
          <w:p>
            <w:pPr>
              <w:spacing w:after="0"/>
              <w:rPr>
                <w:sz w:val="1"/>
                <w:szCs w:val="1"/>
                <w:color w:val="auto"/>
              </w:rPr>
            </w:pPr>
          </w:p>
        </w:tc>
      </w:tr>
      <w:tr>
        <w:trPr>
          <w:trHeight w:val="216"/>
        </w:trPr>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Retirement of treasury stock</w:t>
            </w: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(188)</w:t>
            </w: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(1,520)</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(1,001)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8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gridSpan w:val="3"/>
          </w:tcPr>
          <w:p>
            <w:pPr>
              <w:spacing w:after="0"/>
              <w:rPr>
                <w:sz w:val="19"/>
                <w:szCs w:val="19"/>
                <w:color w:val="auto"/>
              </w:rPr>
            </w:pPr>
          </w:p>
        </w:tc>
        <w:tc>
          <w:tcPr>
            <w:tcW w:w="78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3"/>
          </w:tcPr>
          <w:p>
            <w:pPr>
              <w:spacing w:after="0"/>
              <w:rPr>
                <w:sz w:val="19"/>
                <w:szCs w:val="19"/>
                <w:color w:val="auto"/>
              </w:rPr>
            </w:pPr>
          </w:p>
        </w:tc>
        <w:tc>
          <w:tcPr>
            <w:tcW w:w="80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gridSpan w:val="2"/>
          </w:tcPr>
          <w:p>
            <w:pPr>
              <w:spacing w:after="0"/>
              <w:rPr>
                <w:sz w:val="19"/>
                <w:szCs w:val="19"/>
                <w:color w:val="auto"/>
              </w:rPr>
            </w:pPr>
          </w:p>
        </w:tc>
        <w:tc>
          <w:tcPr>
            <w:tcW w:w="1060" w:type="dxa"/>
            <w:vAlign w:val="bottom"/>
            <w:gridSpan w:val="3"/>
          </w:tcPr>
          <w:p>
            <w:pPr>
              <w:spacing w:after="0"/>
              <w:rPr>
                <w:sz w:val="19"/>
                <w:szCs w:val="19"/>
                <w:color w:val="auto"/>
              </w:rPr>
            </w:pPr>
          </w:p>
        </w:tc>
        <w:tc>
          <w:tcPr>
            <w:tcW w:w="180" w:type="dxa"/>
            <w:vAlign w:val="bottom"/>
            <w:gridSpan w:val="2"/>
          </w:tcPr>
          <w:p>
            <w:pPr>
              <w:spacing w:after="0"/>
              <w:rPr>
                <w:sz w:val="19"/>
                <w:szCs w:val="19"/>
                <w:color w:val="auto"/>
              </w:rPr>
            </w:pPr>
          </w:p>
        </w:tc>
        <w:tc>
          <w:tcPr>
            <w:tcW w:w="920" w:type="dxa"/>
            <w:vAlign w:val="bottom"/>
            <w:gridSpan w:val="2"/>
          </w:tcPr>
          <w:p>
            <w:pPr>
              <w:spacing w:after="0"/>
              <w:rPr>
                <w:sz w:val="19"/>
                <w:szCs w:val="19"/>
                <w:color w:val="auto"/>
              </w:rPr>
            </w:pPr>
          </w:p>
        </w:tc>
        <w:tc>
          <w:tcPr>
            <w:tcW w:w="98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May 1, 2022</w:t>
            </w: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60,637</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gridSpan w:val="2"/>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489,368</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gridSpan w:val="2"/>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367,344</w:t>
            </w:r>
          </w:p>
        </w:tc>
        <w:tc>
          <w:tcPr>
            <w:tcW w:w="1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(22,919)</w:t>
            </w:r>
          </w:p>
        </w:tc>
        <w:tc>
          <w:tcPr>
            <w:tcW w:w="140" w:type="dxa"/>
            <w:vAlign w:val="bottom"/>
            <w:tcBorders>
              <w:bottom w:val="single" w:sz="8" w:color="CCEEFF"/>
            </w:tcBorders>
            <w:gridSpan w:val="2"/>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215,831</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$ 1,050,230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PHOTRONICS,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2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Six Months Ended</w:t>
            </w:r>
          </w:p>
        </w:tc>
      </w:tr>
      <w:tr>
        <w:trPr>
          <w:trHeight w:val="198"/>
        </w:trPr>
        <w:tc>
          <w:tcPr>
            <w:tcW w:w="86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right"/>
              <w:ind w:right="440"/>
              <w:spacing w:after="0" w:line="198" w:lineRule="exact"/>
              <w:rPr>
                <w:sz w:val="20"/>
                <w:szCs w:val="20"/>
                <w:color w:val="auto"/>
              </w:rPr>
            </w:pPr>
            <w:r>
              <w:rPr>
                <w:rFonts w:ascii="Arial" w:cs="Arial" w:eastAsia="Arial" w:hAnsi="Arial"/>
                <w:sz w:val="18"/>
                <w:szCs w:val="18"/>
                <w:b w:val="1"/>
                <w:bCs w:val="1"/>
                <w:color w:val="auto"/>
              </w:rPr>
              <w:t>April 30,</w:t>
            </w: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210"/>
              <w:spacing w:after="0" w:line="198" w:lineRule="exact"/>
              <w:rPr>
                <w:sz w:val="20"/>
                <w:szCs w:val="20"/>
                <w:color w:val="auto"/>
              </w:rPr>
            </w:pPr>
            <w:r>
              <w:rPr>
                <w:rFonts w:ascii="Arial" w:cs="Arial" w:eastAsia="Arial" w:hAnsi="Arial"/>
                <w:sz w:val="18"/>
                <w:szCs w:val="18"/>
                <w:b w:val="1"/>
                <w:bCs w:val="1"/>
                <w:color w:val="auto"/>
              </w:rPr>
              <w:t>May 1,</w:t>
            </w:r>
          </w:p>
        </w:tc>
        <w:tc>
          <w:tcPr>
            <w:tcW w:w="100" w:type="dxa"/>
            <w:vAlign w:val="bottom"/>
          </w:tcPr>
          <w:p>
            <w:pPr>
              <w:spacing w:after="0"/>
              <w:rPr>
                <w:sz w:val="17"/>
                <w:szCs w:val="17"/>
                <w:color w:val="auto"/>
              </w:rPr>
            </w:pPr>
          </w:p>
        </w:tc>
      </w:tr>
      <w:tr>
        <w:trPr>
          <w:trHeight w:val="241"/>
        </w:trPr>
        <w:tc>
          <w:tcPr>
            <w:tcW w:w="86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432"/>
        </w:trPr>
        <w:tc>
          <w:tcPr>
            <w:tcW w:w="866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88,223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74,755</w:t>
            </w:r>
          </w:p>
        </w:tc>
        <w:tc>
          <w:tcPr>
            <w:tcW w:w="100" w:type="dxa"/>
            <w:vAlign w:val="bottom"/>
            <w:shd w:val="clear" w:color="auto" w:fill="CCEEFF"/>
          </w:tcPr>
          <w:p>
            <w:pPr>
              <w:spacing w:after="0"/>
              <w:rPr>
                <w:sz w:val="18"/>
                <w:szCs w:val="18"/>
                <w:color w:val="auto"/>
              </w:rPr>
            </w:pPr>
          </w:p>
        </w:tc>
      </w:tr>
      <w:tr>
        <w:trPr>
          <w:trHeight w:val="216"/>
        </w:trPr>
        <w:tc>
          <w:tcPr>
            <w:tcW w:w="8660" w:type="dxa"/>
            <w:vAlign w:val="bottom"/>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39,085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41,405</w:t>
            </w:r>
          </w:p>
        </w:tc>
        <w:tc>
          <w:tcPr>
            <w:tcW w:w="100" w:type="dxa"/>
            <w:vAlign w:val="bottom"/>
            <w:shd w:val="clear" w:color="auto" w:fill="CCEEFF"/>
          </w:tcPr>
          <w:p>
            <w:pPr>
              <w:spacing w:after="0"/>
              <w:rPr>
                <w:sz w:val="18"/>
                <w:szCs w:val="18"/>
                <w:color w:val="auto"/>
              </w:rPr>
            </w:pPr>
          </w:p>
        </w:tc>
      </w:tr>
      <w:tr>
        <w:trPr>
          <w:trHeight w:val="216"/>
        </w:trPr>
        <w:tc>
          <w:tcPr>
            <w:tcW w:w="8660" w:type="dxa"/>
            <w:vAlign w:val="bottom"/>
          </w:tcPr>
          <w:p>
            <w:pPr>
              <w:ind w:left="340"/>
              <w:spacing w:after="0"/>
              <w:rPr>
                <w:sz w:val="20"/>
                <w:szCs w:val="20"/>
                <w:color w:val="auto"/>
              </w:rPr>
            </w:pPr>
            <w:r>
              <w:rPr>
                <w:rFonts w:ascii="Arial" w:cs="Arial" w:eastAsia="Arial" w:hAnsi="Arial"/>
                <w:sz w:val="18"/>
                <w:szCs w:val="18"/>
                <w:color w:val="auto"/>
              </w:rPr>
              <w:t>Share-based compensation</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3,830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3,041</w:t>
            </w:r>
          </w:p>
        </w:tc>
        <w:tc>
          <w:tcPr>
            <w:tcW w:w="100" w:type="dxa"/>
            <w:vAlign w:val="bottom"/>
          </w:tcPr>
          <w:p>
            <w:pPr>
              <w:spacing w:after="0"/>
              <w:rPr>
                <w:sz w:val="18"/>
                <w:szCs w:val="18"/>
                <w:color w:val="auto"/>
              </w:rPr>
            </w:pPr>
          </w:p>
        </w:tc>
      </w:tr>
      <w:tr>
        <w:trPr>
          <w:trHeight w:val="216"/>
        </w:trPr>
        <w:tc>
          <w:tcPr>
            <w:tcW w:w="8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assets and liabilities: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60" w:type="dxa"/>
            <w:vAlign w:val="bottom"/>
          </w:tcPr>
          <w:p>
            <w:pPr>
              <w:ind w:left="480"/>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(5,952)</w:t>
            </w:r>
          </w:p>
        </w:tc>
        <w:tc>
          <w:tcPr>
            <w:tcW w:w="2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(25,122)</w:t>
            </w:r>
          </w:p>
        </w:tc>
      </w:tr>
      <w:tr>
        <w:trPr>
          <w:trHeight w:val="216"/>
        </w:trPr>
        <w:tc>
          <w:tcPr>
            <w:tcW w:w="86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Inventories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(1,905)</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(5,081)</w:t>
            </w:r>
          </w:p>
        </w:tc>
      </w:tr>
      <w:tr>
        <w:trPr>
          <w:trHeight w:val="216"/>
        </w:trPr>
        <w:tc>
          <w:tcPr>
            <w:tcW w:w="8660" w:type="dxa"/>
            <w:vAlign w:val="bottom"/>
          </w:tcPr>
          <w:p>
            <w:pPr>
              <w:ind w:left="480"/>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1,382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(10,858)</w:t>
            </w:r>
          </w:p>
        </w:tc>
      </w:tr>
      <w:tr>
        <w:trPr>
          <w:trHeight w:val="223"/>
        </w:trPr>
        <w:tc>
          <w:tcPr>
            <w:tcW w:w="86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payable, accrued liabilities, and other</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(14,986)</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25,149</w:t>
            </w:r>
          </w:p>
        </w:tc>
        <w:tc>
          <w:tcPr>
            <w:tcW w:w="100" w:type="dxa"/>
            <w:vAlign w:val="bottom"/>
            <w:shd w:val="clear" w:color="auto" w:fill="CCEEFF"/>
          </w:tcPr>
          <w:p>
            <w:pPr>
              <w:spacing w:after="0"/>
              <w:rPr>
                <w:sz w:val="19"/>
                <w:szCs w:val="19"/>
                <w:color w:val="auto"/>
              </w:rPr>
            </w:pPr>
          </w:p>
        </w:tc>
      </w:tr>
      <w:tr>
        <w:trPr>
          <w:trHeight w:val="216"/>
        </w:trPr>
        <w:tc>
          <w:tcPr>
            <w:tcW w:w="86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109,677</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103,289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60" w:type="dxa"/>
            <w:vAlign w:val="bottom"/>
          </w:tcPr>
          <w:p>
            <w:pPr>
              <w:ind w:left="160"/>
              <w:spacing w:after="0"/>
              <w:rPr>
                <w:sz w:val="20"/>
                <w:szCs w:val="20"/>
                <w:color w:val="auto"/>
              </w:rPr>
            </w:pPr>
            <w:r>
              <w:rPr>
                <w:rFonts w:ascii="Arial" w:cs="Arial" w:eastAsia="Arial" w:hAnsi="Arial"/>
                <w:sz w:val="18"/>
                <w:szCs w:val="18"/>
                <w:color w:val="auto"/>
              </w:rPr>
              <w:t>Purchases of property, plant and equipment</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(57,728)</w:t>
            </w:r>
          </w:p>
        </w:tc>
        <w:tc>
          <w:tcPr>
            <w:tcW w:w="2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(34,809)</w:t>
            </w:r>
          </w:p>
        </w:tc>
      </w:tr>
      <w:tr>
        <w:trPr>
          <w:trHeight w:val="216"/>
        </w:trPr>
        <w:tc>
          <w:tcPr>
            <w:tcW w:w="8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available-for-sale debt securities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(9,837)</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8660" w:type="dxa"/>
            <w:vAlign w:val="bottom"/>
          </w:tcPr>
          <w:p>
            <w:pPr>
              <w:ind w:left="180"/>
              <w:spacing w:after="0"/>
              <w:rPr>
                <w:sz w:val="20"/>
                <w:szCs w:val="20"/>
                <w:color w:val="auto"/>
              </w:rPr>
            </w:pPr>
            <w:r>
              <w:rPr>
                <w:rFonts w:ascii="Arial" w:cs="Arial" w:eastAsia="Arial" w:hAnsi="Arial"/>
                <w:sz w:val="18"/>
                <w:szCs w:val="18"/>
                <w:color w:val="auto"/>
              </w:rPr>
              <w:t>Proceeds from maturities of available-for-sale debt securities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8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Government incentives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w:t>
            </w:r>
          </w:p>
        </w:tc>
        <w:tc>
          <w:tcPr>
            <w:tcW w:w="100" w:type="dxa"/>
            <w:vAlign w:val="bottom"/>
            <w:shd w:val="clear" w:color="auto" w:fill="CCEEFF"/>
          </w:tcPr>
          <w:p>
            <w:pPr>
              <w:spacing w:after="0"/>
              <w:rPr>
                <w:sz w:val="18"/>
                <w:szCs w:val="18"/>
                <w:color w:val="auto"/>
              </w:rPr>
            </w:pPr>
          </w:p>
        </w:tc>
      </w:tr>
      <w:tr>
        <w:trPr>
          <w:trHeight w:val="223"/>
        </w:trPr>
        <w:tc>
          <w:tcPr>
            <w:tcW w:w="8660" w:type="dxa"/>
            <w:vAlign w:val="bottom"/>
          </w:tcPr>
          <w:p>
            <w:pPr>
              <w:ind w:left="16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(88)</w:t>
            </w:r>
          </w:p>
        </w:tc>
        <w:tc>
          <w:tcPr>
            <w:tcW w:w="20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(199)</w:t>
            </w:r>
          </w:p>
        </w:tc>
      </w:tr>
      <w:tr>
        <w:trPr>
          <w:trHeight w:val="216"/>
        </w:trPr>
        <w:tc>
          <w:tcPr>
            <w:tcW w:w="86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86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(62,260)</w:t>
            </w:r>
          </w:p>
        </w:tc>
        <w:tc>
          <w:tcPr>
            <w:tcW w:w="20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(33,614)</w:t>
            </w:r>
          </w:p>
        </w:tc>
      </w:tr>
      <w:tr>
        <w:trPr>
          <w:trHeight w:val="216"/>
        </w:trPr>
        <w:tc>
          <w:tcPr>
            <w:tcW w:w="86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Repayments of debt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(14,720)</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(27,571)</w:t>
            </w:r>
          </w:p>
        </w:tc>
      </w:tr>
      <w:tr>
        <w:trPr>
          <w:trHeight w:val="216"/>
        </w:trPr>
        <w:tc>
          <w:tcPr>
            <w:tcW w:w="8660" w:type="dxa"/>
            <w:vAlign w:val="bottom"/>
          </w:tcPr>
          <w:p>
            <w:pPr>
              <w:ind w:left="160"/>
              <w:spacing w:after="0"/>
              <w:rPr>
                <w:sz w:val="20"/>
                <w:szCs w:val="20"/>
                <w:color w:val="auto"/>
              </w:rPr>
            </w:pPr>
            <w:r>
              <w:rPr>
                <w:rFonts w:ascii="Arial" w:cs="Arial" w:eastAsia="Arial" w:hAnsi="Arial"/>
                <w:sz w:val="18"/>
                <w:szCs w:val="18"/>
                <w:color w:val="auto"/>
              </w:rPr>
              <w:t>Purchases of treasury stock</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(2,522)</w:t>
            </w:r>
          </w:p>
        </w:tc>
      </w:tr>
      <w:tr>
        <w:trPr>
          <w:trHeight w:val="216"/>
        </w:trPr>
        <w:tc>
          <w:tcPr>
            <w:tcW w:w="8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Contribution from noncontrolling interest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24,995</w:t>
            </w:r>
          </w:p>
        </w:tc>
        <w:tc>
          <w:tcPr>
            <w:tcW w:w="100" w:type="dxa"/>
            <w:vAlign w:val="bottom"/>
            <w:shd w:val="clear" w:color="auto" w:fill="CCEEFF"/>
          </w:tcPr>
          <w:p>
            <w:pPr>
              <w:spacing w:after="0"/>
              <w:rPr>
                <w:sz w:val="18"/>
                <w:szCs w:val="18"/>
                <w:color w:val="auto"/>
              </w:rPr>
            </w:pPr>
          </w:p>
        </w:tc>
      </w:tr>
      <w:tr>
        <w:trPr>
          <w:trHeight w:val="216"/>
        </w:trPr>
        <w:tc>
          <w:tcPr>
            <w:tcW w:w="8660" w:type="dxa"/>
            <w:vAlign w:val="bottom"/>
          </w:tcPr>
          <w:p>
            <w:pPr>
              <w:ind w:left="160"/>
              <w:spacing w:after="0"/>
              <w:rPr>
                <w:sz w:val="20"/>
                <w:szCs w:val="20"/>
                <w:color w:val="auto"/>
              </w:rPr>
            </w:pPr>
            <w:r>
              <w:rPr>
                <w:rFonts w:ascii="Arial" w:cs="Arial" w:eastAsia="Arial" w:hAnsi="Arial"/>
                <w:sz w:val="18"/>
                <w:szCs w:val="18"/>
                <w:color w:val="auto"/>
              </w:rPr>
              <w:t>Proceeds from share-based arrangements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4,384</w:t>
            </w:r>
          </w:p>
        </w:tc>
        <w:tc>
          <w:tcPr>
            <w:tcW w:w="100" w:type="dxa"/>
            <w:vAlign w:val="bottom"/>
          </w:tcPr>
          <w:p>
            <w:pPr>
              <w:spacing w:after="0"/>
              <w:rPr>
                <w:sz w:val="18"/>
                <w:szCs w:val="18"/>
                <w:color w:val="auto"/>
              </w:rPr>
            </w:pPr>
          </w:p>
        </w:tc>
      </w:tr>
      <w:tr>
        <w:trPr>
          <w:trHeight w:val="223"/>
        </w:trPr>
        <w:tc>
          <w:tcPr>
            <w:tcW w:w="8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settlements of restricted stock awards</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(1,252)</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(1,452)</w:t>
            </w:r>
          </w:p>
        </w:tc>
      </w:tr>
      <w:tr>
        <w:trPr>
          <w:trHeight w:val="216"/>
        </w:trPr>
        <w:tc>
          <w:tcPr>
            <w:tcW w:w="86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(15,242)</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(2,166)</w:t>
            </w:r>
          </w:p>
        </w:tc>
      </w:tr>
      <w:tr>
        <w:trPr>
          <w:trHeight w:val="216"/>
        </w:trPr>
        <w:tc>
          <w:tcPr>
            <w:tcW w:w="86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Effects of exchange rate changes on cash, cash equivalents, and restricted cash</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15,621</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(14,917)</w:t>
            </w:r>
          </w:p>
        </w:tc>
      </w:tr>
      <w:tr>
        <w:trPr>
          <w:trHeight w:val="216"/>
        </w:trPr>
        <w:tc>
          <w:tcPr>
            <w:tcW w:w="86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47,796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52,592</w:t>
            </w:r>
          </w:p>
        </w:tc>
        <w:tc>
          <w:tcPr>
            <w:tcW w:w="100" w:type="dxa"/>
            <w:vAlign w:val="bottom"/>
            <w:shd w:val="clear" w:color="auto" w:fill="CCEEFF"/>
          </w:tcPr>
          <w:p>
            <w:pPr>
              <w:spacing w:after="0"/>
              <w:rPr>
                <w:sz w:val="18"/>
                <w:szCs w:val="18"/>
                <w:color w:val="auto"/>
              </w:rPr>
            </w:pPr>
          </w:p>
        </w:tc>
      </w:tr>
      <w:tr>
        <w:trPr>
          <w:trHeight w:val="223"/>
        </w:trPr>
        <w:tc>
          <w:tcPr>
            <w:tcW w:w="8660" w:type="dxa"/>
            <w:vAlign w:val="bottom"/>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322,409</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279,680</w:t>
            </w:r>
          </w:p>
        </w:tc>
        <w:tc>
          <w:tcPr>
            <w:tcW w:w="100" w:type="dxa"/>
            <w:vAlign w:val="bottom"/>
          </w:tcPr>
          <w:p>
            <w:pPr>
              <w:spacing w:after="0"/>
              <w:rPr>
                <w:sz w:val="19"/>
                <w:szCs w:val="19"/>
                <w:color w:val="auto"/>
              </w:rPr>
            </w:pPr>
          </w:p>
        </w:tc>
      </w:tr>
      <w:tr>
        <w:trPr>
          <w:trHeight w:val="216"/>
        </w:trPr>
        <w:tc>
          <w:tcPr>
            <w:tcW w:w="8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370,205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332,272</w:t>
            </w:r>
          </w:p>
        </w:tc>
        <w:tc>
          <w:tcPr>
            <w:tcW w:w="100" w:type="dxa"/>
            <w:vAlign w:val="bottom"/>
          </w:tcPr>
          <w:p>
            <w:pPr>
              <w:spacing w:after="0"/>
              <w:rPr>
                <w:sz w:val="18"/>
                <w:szCs w:val="18"/>
                <w:color w:val="auto"/>
              </w:rPr>
            </w:pPr>
          </w:p>
        </w:tc>
      </w:tr>
      <w:tr>
        <w:trPr>
          <w:trHeight w:val="216"/>
        </w:trPr>
        <w:tc>
          <w:tcPr>
            <w:tcW w:w="8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8660" w:type="dxa"/>
            <w:vAlign w:val="bottom"/>
          </w:tcPr>
          <w:p>
            <w:pPr>
              <w:spacing w:after="0"/>
              <w:rPr>
                <w:sz w:val="20"/>
                <w:szCs w:val="20"/>
                <w:color w:val="auto"/>
              </w:rPr>
            </w:pPr>
            <w:r>
              <w:rPr>
                <w:rFonts w:ascii="Arial" w:cs="Arial" w:eastAsia="Arial" w:hAnsi="Arial"/>
                <w:sz w:val="18"/>
                <w:szCs w:val="18"/>
                <w:color w:val="auto"/>
              </w:rPr>
              <w:t>Less: Ending restricted cash</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2,720</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2,990</w:t>
            </w:r>
          </w:p>
        </w:tc>
        <w:tc>
          <w:tcPr>
            <w:tcW w:w="100" w:type="dxa"/>
            <w:vAlign w:val="bottom"/>
          </w:tcPr>
          <w:p>
            <w:pPr>
              <w:spacing w:after="0"/>
              <w:rPr>
                <w:sz w:val="19"/>
                <w:szCs w:val="19"/>
                <w:color w:val="auto"/>
              </w:rPr>
            </w:pPr>
          </w:p>
        </w:tc>
      </w:tr>
      <w:tr>
        <w:trPr>
          <w:trHeight w:val="216"/>
        </w:trPr>
        <w:tc>
          <w:tcPr>
            <w:tcW w:w="8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367,485</w:t>
            </w:r>
          </w:p>
        </w:tc>
        <w:tc>
          <w:tcPr>
            <w:tcW w:w="22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329,282</w:t>
            </w:r>
          </w:p>
        </w:tc>
        <w:tc>
          <w:tcPr>
            <w:tcW w:w="100" w:type="dxa"/>
            <w:vAlign w:val="bottom"/>
          </w:tcPr>
          <w:p>
            <w:pPr>
              <w:spacing w:after="0"/>
              <w:rPr>
                <w:sz w:val="18"/>
                <w:szCs w:val="18"/>
                <w:color w:val="auto"/>
              </w:rPr>
            </w:pPr>
          </w:p>
        </w:tc>
      </w:tr>
      <w:tr>
        <w:trPr>
          <w:trHeight w:val="20"/>
        </w:trPr>
        <w:tc>
          <w:tcPr>
            <w:tcW w:w="8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Supplemental disclosure of non-cash information:</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60" w:type="dxa"/>
            <w:vAlign w:val="bottom"/>
          </w:tcPr>
          <w:p>
            <w:pPr>
              <w:ind w:left="160"/>
              <w:spacing w:after="0"/>
              <w:rPr>
                <w:sz w:val="20"/>
                <w:szCs w:val="20"/>
                <w:color w:val="auto"/>
              </w:rPr>
            </w:pPr>
            <w:r>
              <w:rPr>
                <w:rFonts w:ascii="Arial" w:cs="Arial" w:eastAsia="Arial" w:hAnsi="Arial"/>
                <w:sz w:val="18"/>
                <w:szCs w:val="18"/>
                <w:color w:val="auto"/>
              </w:rPr>
              <w:t>Accruals for property, plant and equipment purchased during the period</w:t>
            </w: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14,420</w:t>
            </w:r>
          </w:p>
        </w:tc>
        <w:tc>
          <w:tcPr>
            <w:tcW w:w="22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5,737</w:t>
            </w:r>
          </w:p>
        </w:tc>
        <w:tc>
          <w:tcPr>
            <w:tcW w:w="100" w:type="dxa"/>
            <w:vAlign w:val="bottom"/>
          </w:tcPr>
          <w:p>
            <w:pPr>
              <w:spacing w:after="0"/>
              <w:rPr>
                <w:sz w:val="18"/>
                <w:szCs w:val="18"/>
                <w:color w:val="auto"/>
              </w:rPr>
            </w:pPr>
          </w:p>
        </w:tc>
      </w:tr>
      <w:tr>
        <w:trPr>
          <w:trHeight w:val="20"/>
        </w:trPr>
        <w:tc>
          <w:tcPr>
            <w:tcW w:w="8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r>
        <w:rPr>
          <w:rFonts w:ascii="Arial" w:cs="Arial" w:eastAsia="Arial" w:hAnsi="Arial"/>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PHOTRONICS,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FINANCIAL STATEMENT PRESENTATION</w:t>
      </w:r>
    </w:p>
    <w:p>
      <w:pPr>
        <w:spacing w:after="0" w:line="22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Photronics, Inc. (“Photronics”, “the Company”, “we”, “our”, or “us”) is one of the world’s leading manufacturers of photomasks, which are high-precision photographic quartz or glass plates containing microscopic images of electronic circuits. Photomasks are a key element in the manufacture of ICs and FPDs and are used as masters to transfer circuit patterns onto semiconductor wafers and FPD substrates during the fabrication of ICs, a variety of FPDs and, to a lesser extent, other types of electrical and optical components. We operate eleven manufacturing facilities, which are located in Taiwan (3), Korea, China (2), the United States (3), and Europe (2).</w:t>
      </w:r>
    </w:p>
    <w:p>
      <w:pPr>
        <w:spacing w:after="0" w:line="188"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The accompanying unaudited condensed consolidated financial statements (“the financial statements”) have been prepared in accordance with U.S. GAAP for interim financial information, and with the instructions to Form 10-Q and Article 10 of Regulation S-X. Accordingly, they do not include all of the information and footnotes required by U.S. GAAP for annual financial statements. In the opinion of management, adjustments, all of which are of a normal recurring nature, considered necessary for a fair presentation have been included. The financial statements include the accounts of Photronics, its wholly owned subsidiaries, and the majority-owned subsidiaries, which it controls. All intercompany balances and transactions have been eliminated in consolidation. These financial statements should be read in conjunction with the consolidated financial statements and accompanying notes included in our Form 10-K for the fiscal year ended October 31, 2022, where we discuss and provide additional information about our accounting policies and the methods and assumptions used in our estimates.</w:t>
      </w:r>
    </w:p>
    <w:p>
      <w:pPr>
        <w:spacing w:after="0" w:line="178"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The preparation of financial statements in conformity with U.S. GAAP requires us to make estimates and assumptions that affect amounts reported in them. Our estimates, including those on the impact of COVID-19, are based on historical experience and on various assumptions that we believe to be reasonable under the facts and circumstances at the time they are made. Subsequent actual results may differ from such estimates. We review these estimates periodically and reflect any effects of revisions in the period in which they are determined.</w:t>
      </w:r>
    </w:p>
    <w:p>
      <w:pPr>
        <w:spacing w:after="0" w:line="171"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Our business is typically impacted during the first quarter of our fiscal year by the North American, European, and Asian holiday periods, as some customers reduce their development and buying activities during this period. Operating results for the interim periods are not necessarily indicative of the results that may be expected for the fiscal year ending October 31, 2023.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SHORT-TERM INVESTMENTS</w:t>
      </w:r>
    </w:p>
    <w:p>
      <w:pPr>
        <w:spacing w:after="0" w:line="229"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Short-term investments consist of U.S. government securities and are classified as available-for-sale. We classify available-for-sale securities on our consolidated balance sheet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   Maturing within three months or less from the date of purchase</w:t>
            </w:r>
          </w:p>
        </w:tc>
        <w:tc>
          <w:tcPr>
            <w:tcW w:w="3900" w:type="dxa"/>
            <w:vAlign w:val="bottom"/>
            <w:shd w:val="clear" w:color="auto" w:fill="CCEEFF"/>
          </w:tcPr>
          <w:p>
            <w:pPr>
              <w:ind w:left="1380"/>
              <w:spacing w:after="0"/>
              <w:rPr>
                <w:sz w:val="20"/>
                <w:szCs w:val="20"/>
                <w:color w:val="auto"/>
              </w:rPr>
            </w:pPr>
            <w:r>
              <w:rPr>
                <w:rFonts w:ascii="Arial" w:cs="Arial" w:eastAsia="Arial" w:hAnsi="Arial"/>
                <w:sz w:val="18"/>
                <w:szCs w:val="18"/>
                <w:color w:val="auto"/>
              </w:rPr>
              <w:t>Cash and cash equivalents</w:t>
            </w:r>
          </w:p>
        </w:tc>
      </w:tr>
      <w:tr>
        <w:trPr>
          <w:trHeight w:val="202"/>
        </w:trPr>
        <w:tc>
          <w:tcPr>
            <w:tcW w:w="420" w:type="dxa"/>
            <w:vAlign w:val="bottom"/>
          </w:tcPr>
          <w:p>
            <w:pPr>
              <w:ind w:left="240"/>
              <w:spacing w:after="0" w:line="201" w:lineRule="exact"/>
              <w:rPr>
                <w:sz w:val="20"/>
                <w:szCs w:val="20"/>
                <w:color w:val="auto"/>
              </w:rPr>
            </w:pPr>
            <w:r>
              <w:rPr>
                <w:rFonts w:ascii="Arial" w:cs="Arial" w:eastAsia="Arial" w:hAnsi="Arial"/>
                <w:sz w:val="18"/>
                <w:szCs w:val="18"/>
                <w:color w:val="auto"/>
              </w:rPr>
              <w:t>-</w:t>
            </w:r>
          </w:p>
        </w:tc>
        <w:tc>
          <w:tcPr>
            <w:tcW w:w="6920" w:type="dxa"/>
            <w:vAlign w:val="bottom"/>
          </w:tcPr>
          <w:p>
            <w:pPr>
              <w:ind w:left="120"/>
              <w:spacing w:after="0" w:line="201" w:lineRule="exact"/>
              <w:rPr>
                <w:sz w:val="20"/>
                <w:szCs w:val="20"/>
                <w:color w:val="auto"/>
              </w:rPr>
            </w:pPr>
            <w:r>
              <w:rPr>
                <w:rFonts w:ascii="Arial" w:cs="Arial" w:eastAsia="Arial" w:hAnsi="Arial"/>
                <w:sz w:val="18"/>
                <w:szCs w:val="18"/>
                <w:color w:val="auto"/>
              </w:rPr>
              <w:t>Maturing, as of the date of purchase, more than three months, but</w:t>
            </w:r>
          </w:p>
        </w:tc>
        <w:tc>
          <w:tcPr>
            <w:tcW w:w="3900" w:type="dxa"/>
            <w:vAlign w:val="bottom"/>
          </w:tcPr>
          <w:p>
            <w:pPr>
              <w:spacing w:after="0"/>
              <w:rPr>
                <w:sz w:val="17"/>
                <w:szCs w:val="17"/>
                <w:color w:val="auto"/>
              </w:rPr>
            </w:pPr>
          </w:p>
        </w:tc>
      </w:tr>
      <w:tr>
        <w:trPr>
          <w:trHeight w:val="230"/>
        </w:trPr>
        <w:tc>
          <w:tcPr>
            <w:tcW w:w="420" w:type="dxa"/>
            <w:vAlign w:val="bottom"/>
          </w:tcPr>
          <w:p>
            <w:pPr>
              <w:spacing w:after="0"/>
              <w:rPr>
                <w:sz w:val="20"/>
                <w:szCs w:val="20"/>
                <w:color w:val="auto"/>
              </w:rPr>
            </w:pPr>
          </w:p>
        </w:tc>
        <w:tc>
          <w:tcPr>
            <w:tcW w:w="6920" w:type="dxa"/>
            <w:vAlign w:val="bottom"/>
          </w:tcPr>
          <w:p>
            <w:pPr>
              <w:ind w:left="120"/>
              <w:spacing w:after="0"/>
              <w:rPr>
                <w:sz w:val="20"/>
                <w:szCs w:val="20"/>
                <w:color w:val="auto"/>
              </w:rPr>
            </w:pPr>
            <w:r>
              <w:rPr>
                <w:rFonts w:ascii="Arial" w:cs="Arial" w:eastAsia="Arial" w:hAnsi="Arial"/>
                <w:sz w:val="18"/>
                <w:szCs w:val="18"/>
                <w:color w:val="auto"/>
              </w:rPr>
              <w:t>with remaining maturities of less than one year, from the balance sheet date</w:t>
            </w:r>
          </w:p>
        </w:tc>
        <w:tc>
          <w:tcPr>
            <w:tcW w:w="3900" w:type="dxa"/>
            <w:vAlign w:val="bottom"/>
          </w:tcPr>
          <w:p>
            <w:pPr>
              <w:ind w:left="1380"/>
              <w:spacing w:after="0"/>
              <w:rPr>
                <w:sz w:val="20"/>
                <w:szCs w:val="20"/>
                <w:color w:val="auto"/>
              </w:rPr>
            </w:pPr>
            <w:r>
              <w:rPr>
                <w:rFonts w:ascii="Arial" w:cs="Arial" w:eastAsia="Arial" w:hAnsi="Arial"/>
                <w:sz w:val="18"/>
                <w:szCs w:val="18"/>
                <w:color w:val="auto"/>
              </w:rPr>
              <w:t>Short-term investments</w:t>
            </w:r>
          </w:p>
        </w:tc>
      </w:tr>
      <w:tr>
        <w:trPr>
          <w:trHeight w:val="216"/>
        </w:trPr>
        <w:tc>
          <w:tcPr>
            <w:tcW w:w="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Maturing one year or more from the balance sheet date</w:t>
            </w:r>
          </w:p>
        </w:tc>
        <w:tc>
          <w:tcPr>
            <w:tcW w:w="3900" w:type="dxa"/>
            <w:vAlign w:val="bottom"/>
            <w:shd w:val="clear" w:color="auto" w:fill="CCEEFF"/>
          </w:tcPr>
          <w:p>
            <w:pPr>
              <w:ind w:left="1380"/>
              <w:spacing w:after="0"/>
              <w:rPr>
                <w:sz w:val="20"/>
                <w:szCs w:val="20"/>
                <w:color w:val="auto"/>
              </w:rPr>
            </w:pPr>
            <w:r>
              <w:rPr>
                <w:rFonts w:ascii="Arial" w:cs="Arial" w:eastAsia="Arial" w:hAnsi="Arial"/>
                <w:sz w:val="18"/>
                <w:szCs w:val="18"/>
                <w:color w:val="auto"/>
                <w:w w:val="90"/>
              </w:rPr>
              <w:t>Long-term marketable investments</w:t>
            </w:r>
          </w:p>
        </w:tc>
      </w:tr>
    </w:tbl>
    <w:p>
      <w:pPr>
        <w:spacing w:after="0" w:line="202" w:lineRule="exact"/>
        <w:rPr>
          <w:sz w:val="20"/>
          <w:szCs w:val="20"/>
          <w:color w:val="auto"/>
        </w:rPr>
      </w:pPr>
    </w:p>
    <w:p>
      <w:pPr>
        <w:ind w:right="300" w:firstLine="315"/>
        <w:spacing w:after="0" w:line="277" w:lineRule="auto"/>
        <w:rPr>
          <w:sz w:val="20"/>
          <w:szCs w:val="20"/>
          <w:color w:val="auto"/>
        </w:rPr>
      </w:pPr>
      <w:r>
        <w:rPr>
          <w:rFonts w:ascii="Arial" w:cs="Arial" w:eastAsia="Arial" w:hAnsi="Arial"/>
          <w:sz w:val="18"/>
          <w:szCs w:val="18"/>
          <w:color w:val="auto"/>
        </w:rPr>
        <w:t>As of April 30, 2023, all of our available-for-sale securities had, at their dates of purchase, remaining maturities of more than three months, but less than one year, and have been classified as Short-term investments.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Available-for-sale debt investments are reported at fair value, with unrealized gains or losses (net of tax) reported in Accumulated other comprehensive income. The fair values of our available-for-sale securities are Level 1 measurements, based on quoted prices from active markets for identical assets. In the event of a sale of an available-for-sale debt investment, we would determine the cost of the investment sold at the specific individual security level, and would include any gain or loss in Interest income and other income, net, where we also report periodic interest earned and the amortization (accretion) of discounts (premiums) related to these investments. The table below provides information on our available-for-sale debt securities.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6"/>
          </w:tcPr>
          <w:p>
            <w:pPr>
              <w:ind w:left="500"/>
              <w:spacing w:after="0"/>
              <w:rPr>
                <w:sz w:val="20"/>
                <w:szCs w:val="20"/>
                <w:color w:val="auto"/>
              </w:rPr>
            </w:pPr>
            <w:r>
              <w:rPr>
                <w:rFonts w:ascii="Arial" w:cs="Arial" w:eastAsia="Arial" w:hAnsi="Arial"/>
                <w:sz w:val="18"/>
                <w:szCs w:val="18"/>
                <w:b w:val="1"/>
                <w:bCs w:val="1"/>
                <w:color w:val="auto"/>
              </w:rPr>
              <w:t>April 30, 2023</w:t>
            </w: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6"/>
          </w:tcPr>
          <w:p>
            <w:pPr>
              <w:ind w:left="400"/>
              <w:spacing w:after="0"/>
              <w:rPr>
                <w:sz w:val="20"/>
                <w:szCs w:val="20"/>
                <w:color w:val="auto"/>
              </w:rPr>
            </w:pPr>
            <w:r>
              <w:rPr>
                <w:rFonts w:ascii="Arial" w:cs="Arial" w:eastAsia="Arial" w:hAnsi="Arial"/>
                <w:sz w:val="18"/>
                <w:szCs w:val="18"/>
                <w:b w:val="1"/>
                <w:bCs w:val="1"/>
                <w:color w:val="auto"/>
              </w:rPr>
              <w:t>October 31, 2022</w:t>
            </w: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2280" w:type="dxa"/>
            <w:vAlign w:val="bottom"/>
          </w:tcPr>
          <w:p>
            <w:pPr>
              <w:spacing w:after="0"/>
              <w:rPr>
                <w:sz w:val="17"/>
                <w:szCs w:val="17"/>
                <w:color w:val="auto"/>
              </w:rPr>
            </w:pPr>
          </w:p>
        </w:tc>
        <w:tc>
          <w:tcPr>
            <w:tcW w:w="90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93"/>
              </w:rPr>
              <w:t>Amortized</w:t>
            </w:r>
          </w:p>
        </w:tc>
        <w:tc>
          <w:tcPr>
            <w:tcW w:w="220" w:type="dxa"/>
            <w:vAlign w:val="bottom"/>
          </w:tcPr>
          <w:p>
            <w:pPr>
              <w:spacing w:after="0"/>
              <w:rPr>
                <w:sz w:val="17"/>
                <w:szCs w:val="17"/>
                <w:color w:val="auto"/>
              </w:rPr>
            </w:pPr>
          </w:p>
        </w:tc>
        <w:tc>
          <w:tcPr>
            <w:tcW w:w="88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2"/>
              </w:rPr>
              <w:t>Unrealized</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3"/>
          </w:tcPr>
          <w:p>
            <w:pPr>
              <w:jc w:val="center"/>
              <w:ind w:right="220"/>
              <w:spacing w:after="0" w:line="198" w:lineRule="exact"/>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7"/>
                <w:szCs w:val="17"/>
                <w:color w:val="auto"/>
              </w:rPr>
            </w:pPr>
          </w:p>
        </w:tc>
        <w:tc>
          <w:tcPr>
            <w:tcW w:w="800" w:type="dxa"/>
            <w:vAlign w:val="bottom"/>
          </w:tcPr>
          <w:p>
            <w:pPr>
              <w:jc w:val="center"/>
              <w:ind w:right="10"/>
              <w:spacing w:after="0" w:line="198" w:lineRule="exact"/>
              <w:rPr>
                <w:sz w:val="20"/>
                <w:szCs w:val="20"/>
                <w:color w:val="auto"/>
              </w:rPr>
            </w:pPr>
            <w:r>
              <w:rPr>
                <w:rFonts w:ascii="Arial" w:cs="Arial" w:eastAsia="Arial" w:hAnsi="Arial"/>
                <w:sz w:val="18"/>
                <w:szCs w:val="18"/>
                <w:b w:val="1"/>
                <w:bCs w:val="1"/>
                <w:color w:val="auto"/>
                <w:w w:val="94"/>
              </w:rPr>
              <w:t>Carrying</w:t>
            </w:r>
          </w:p>
        </w:tc>
        <w:tc>
          <w:tcPr>
            <w:tcW w:w="220" w:type="dxa"/>
            <w:vAlign w:val="bottom"/>
          </w:tcPr>
          <w:p>
            <w:pPr>
              <w:spacing w:after="0"/>
              <w:rPr>
                <w:sz w:val="17"/>
                <w:szCs w:val="17"/>
                <w:color w:val="auto"/>
              </w:rPr>
            </w:pPr>
          </w:p>
        </w:tc>
        <w:tc>
          <w:tcPr>
            <w:tcW w:w="90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90"/>
              </w:rPr>
              <w:t>Amortized</w:t>
            </w:r>
          </w:p>
        </w:tc>
        <w:tc>
          <w:tcPr>
            <w:tcW w:w="200" w:type="dxa"/>
            <w:vAlign w:val="bottom"/>
          </w:tcPr>
          <w:p>
            <w:pPr>
              <w:spacing w:after="0"/>
              <w:rPr>
                <w:sz w:val="17"/>
                <w:szCs w:val="17"/>
                <w:color w:val="auto"/>
              </w:rPr>
            </w:pPr>
          </w:p>
        </w:tc>
        <w:tc>
          <w:tcPr>
            <w:tcW w:w="9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2"/>
              </w:rPr>
              <w:t>Unrealized</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3"/>
          </w:tcPr>
          <w:p>
            <w:pPr>
              <w:jc w:val="center"/>
              <w:ind w:right="220"/>
              <w:spacing w:after="0" w:line="198" w:lineRule="exact"/>
              <w:rPr>
                <w:sz w:val="20"/>
                <w:szCs w:val="20"/>
                <w:color w:val="auto"/>
              </w:rPr>
            </w:pPr>
            <w:r>
              <w:rPr>
                <w:rFonts w:ascii="Arial" w:cs="Arial" w:eastAsia="Arial" w:hAnsi="Arial"/>
                <w:sz w:val="18"/>
                <w:szCs w:val="18"/>
                <w:b w:val="1"/>
                <w:bCs w:val="1"/>
                <w:color w:val="auto"/>
                <w:w w:val="92"/>
              </w:rPr>
              <w:t>Unrealized</w:t>
            </w:r>
          </w:p>
        </w:tc>
        <w:tc>
          <w:tcPr>
            <w:tcW w:w="90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94"/>
              </w:rPr>
              <w:t>Carrying</w:t>
            </w:r>
          </w:p>
        </w:tc>
        <w:tc>
          <w:tcPr>
            <w:tcW w:w="100" w:type="dxa"/>
            <w:vAlign w:val="bottom"/>
          </w:tcPr>
          <w:p>
            <w:pPr>
              <w:spacing w:after="0"/>
              <w:rPr>
                <w:sz w:val="17"/>
                <w:szCs w:val="17"/>
                <w:color w:val="auto"/>
              </w:rPr>
            </w:pPr>
          </w:p>
        </w:tc>
      </w:tr>
      <w:tr>
        <w:trPr>
          <w:trHeight w:val="241"/>
        </w:trPr>
        <w:tc>
          <w:tcPr>
            <w:tcW w:w="2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Cost</w:t>
            </w:r>
          </w:p>
        </w:tc>
        <w:tc>
          <w:tcPr>
            <w:tcW w:w="22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1"/>
              </w:rPr>
              <w:t>Gains</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0"/>
              </w:rPr>
              <w:t>Losses</w:t>
            </w:r>
          </w:p>
        </w:tc>
        <w:tc>
          <w:tcPr>
            <w:tcW w:w="100" w:type="dxa"/>
            <w:vAlign w:val="bottom"/>
          </w:tcPr>
          <w:p>
            <w:pPr>
              <w:spacing w:after="0"/>
              <w:rPr>
                <w:sz w:val="20"/>
                <w:szCs w:val="20"/>
                <w:color w:val="auto"/>
              </w:rPr>
            </w:pPr>
          </w:p>
        </w:tc>
        <w:tc>
          <w:tcPr>
            <w:tcW w:w="80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Value</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Cost</w:t>
            </w:r>
          </w:p>
        </w:tc>
        <w:tc>
          <w:tcPr>
            <w:tcW w:w="2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7"/>
              </w:rPr>
              <w:t>Gains</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0"/>
              </w:rPr>
              <w:t>Losses</w:t>
            </w:r>
          </w:p>
        </w:tc>
        <w:tc>
          <w:tcPr>
            <w:tcW w:w="160" w:type="dxa"/>
            <w:vAlign w:val="bottom"/>
          </w:tcPr>
          <w:p>
            <w:pPr>
              <w:spacing w:after="0"/>
              <w:rPr>
                <w:sz w:val="20"/>
                <w:szCs w:val="20"/>
                <w:color w:val="auto"/>
              </w:rPr>
            </w:pPr>
          </w:p>
        </w:tc>
        <w:tc>
          <w:tcPr>
            <w:tcW w:w="74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Value</w:t>
            </w:r>
          </w:p>
        </w:tc>
        <w:tc>
          <w:tcPr>
            <w:tcW w:w="100" w:type="dxa"/>
            <w:vAlign w:val="bottom"/>
          </w:tcPr>
          <w:p>
            <w:pPr>
              <w:spacing w:after="0"/>
              <w:rPr>
                <w:sz w:val="20"/>
                <w:szCs w:val="20"/>
                <w:color w:val="auto"/>
              </w:rPr>
            </w:pP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Government securities</w:t>
            </w:r>
          </w:p>
        </w:tc>
        <w:tc>
          <w:tcPr>
            <w:tcW w:w="18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45,492</w:t>
            </w:r>
          </w:p>
        </w:tc>
        <w:tc>
          <w:tcPr>
            <w:tcW w:w="22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714"/>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45,431</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38,911</w:t>
            </w:r>
          </w:p>
        </w:tc>
        <w:tc>
          <w:tcPr>
            <w:tcW w:w="20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38,820</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INVENTORIES</w:t>
      </w:r>
    </w:p>
    <w:p>
      <w:pPr>
        <w:spacing w:after="0" w:line="229"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 xml:space="preserve">Inventories are stated at the lower of cost, determined under the first-in, first-out (“FIFO”) method, or net realizable value. Presented below are the components of </w:t>
      </w:r>
      <w:r>
        <w:rPr>
          <w:rFonts w:ascii="Arial" w:cs="Arial" w:eastAsia="Arial" w:hAnsi="Arial"/>
          <w:sz w:val="18"/>
          <w:szCs w:val="18"/>
          <w:i w:val="1"/>
          <w:iCs w:val="1"/>
          <w:color w:val="auto"/>
        </w:rPr>
        <w:t>Inventories</w:t>
      </w:r>
      <w:r>
        <w:rPr>
          <w:rFonts w:ascii="Arial" w:cs="Arial" w:eastAsia="Arial" w:hAnsi="Arial"/>
          <w:sz w:val="18"/>
          <w:szCs w:val="18"/>
          <w:color w:val="auto"/>
        </w:rPr>
        <w:t xml:space="preserve"> at the balance sheet dates.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April 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October 31,</w:t>
            </w:r>
          </w:p>
        </w:tc>
        <w:tc>
          <w:tcPr>
            <w:tcW w:w="0" w:type="dxa"/>
            <w:vAlign w:val="bottom"/>
          </w:tcPr>
          <w:p>
            <w:pPr>
              <w:spacing w:after="0"/>
              <w:rPr>
                <w:sz w:val="1"/>
                <w:szCs w:val="1"/>
                <w:color w:val="auto"/>
              </w:rPr>
            </w:pPr>
          </w:p>
        </w:tc>
      </w:tr>
      <w:tr>
        <w:trPr>
          <w:trHeight w:val="241"/>
        </w:trPr>
        <w:tc>
          <w:tcPr>
            <w:tcW w:w="86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53,642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Work in process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1,203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4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66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tcBorders>
              <w:right w:val="single" w:sz="8" w:color="CCEEFF"/>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54,940</w:t>
            </w:r>
          </w:p>
        </w:tc>
        <w:tc>
          <w:tcPr>
            <w:tcW w:w="140" w:type="dxa"/>
            <w:vAlign w:val="bottom"/>
          </w:tcPr>
          <w:p>
            <w:pPr>
              <w:spacing w:after="0"/>
              <w:rPr>
                <w:sz w:val="18"/>
                <w:szCs w:val="18"/>
                <w:color w:val="auto"/>
              </w:rPr>
            </w:pP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50,753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660" w:type="dxa"/>
            <w:vAlign w:val="bottom"/>
            <w:vMerge w:val="restart"/>
          </w:tcPr>
          <w:p>
            <w:pPr>
              <w:spacing w:after="0"/>
              <w:rPr>
                <w:sz w:val="20"/>
                <w:szCs w:val="20"/>
                <w:color w:val="auto"/>
              </w:rPr>
            </w:pPr>
            <w:r>
              <w:rPr>
                <w:rFonts w:ascii="Arial" w:cs="Arial" w:eastAsia="Arial" w:hAnsi="Arial"/>
                <w:sz w:val="18"/>
                <w:szCs w:val="18"/>
                <w:b w:val="1"/>
                <w:bCs w:val="1"/>
                <w:color w:val="auto"/>
              </w:rPr>
              <w:t>NOTE 4 - PROPERTY, PLANT, AND EQUIPMENT, NET</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86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60" w:type="dxa"/>
            <w:vAlign w:val="bottom"/>
          </w:tcPr>
          <w:p>
            <w:pPr>
              <w:ind w:left="340"/>
              <w:spacing w:after="0"/>
              <w:rPr>
                <w:sz w:val="20"/>
                <w:szCs w:val="20"/>
                <w:color w:val="auto"/>
              </w:rPr>
            </w:pPr>
            <w:r>
              <w:rPr>
                <w:rFonts w:ascii="Arial" w:cs="Arial" w:eastAsia="Arial" w:hAnsi="Arial"/>
                <w:sz w:val="18"/>
                <w:szCs w:val="18"/>
                <w:color w:val="auto"/>
              </w:rPr>
              <w:t xml:space="preserve">Presented below are the components of </w:t>
            </w:r>
            <w:r>
              <w:rPr>
                <w:rFonts w:ascii="Arial" w:cs="Arial" w:eastAsia="Arial" w:hAnsi="Arial"/>
                <w:sz w:val="18"/>
                <w:szCs w:val="18"/>
                <w:i w:val="1"/>
                <w:iCs w:val="1"/>
                <w:color w:val="auto"/>
              </w:rPr>
              <w:t>Property, plant, and equipment, net</w:t>
            </w:r>
            <w:r>
              <w:rPr>
                <w:rFonts w:ascii="Arial" w:cs="Arial" w:eastAsia="Arial" w:hAnsi="Arial"/>
                <w:sz w:val="18"/>
                <w:szCs w:val="18"/>
                <w:color w:val="auto"/>
              </w:rPr>
              <w:t xml:space="preserve"> at the balance sheet dates.</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April 30,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October 31,</w:t>
            </w:r>
          </w:p>
        </w:tc>
        <w:tc>
          <w:tcPr>
            <w:tcW w:w="0" w:type="dxa"/>
            <w:vAlign w:val="bottom"/>
          </w:tcPr>
          <w:p>
            <w:pPr>
              <w:spacing w:after="0"/>
              <w:rPr>
                <w:sz w:val="1"/>
                <w:szCs w:val="1"/>
                <w:color w:val="auto"/>
              </w:rPr>
            </w:pPr>
          </w:p>
        </w:tc>
      </w:tr>
      <w:tr>
        <w:trPr>
          <w:trHeight w:val="241"/>
        </w:trPr>
        <w:tc>
          <w:tcPr>
            <w:tcW w:w="86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Land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11,620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190,134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168,024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4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1,884,235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1,769,478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19,835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18,802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Furniture, fixtures, and office equipment</w:t>
            </w:r>
          </w:p>
        </w:tc>
        <w:tc>
          <w:tcPr>
            <w:tcW w:w="14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15,523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6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91,204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2,212,551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2,072,639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60" w:type="dxa"/>
            <w:vAlign w:val="bottom"/>
          </w:tcPr>
          <w:p>
            <w:pPr>
              <w:spacing w:after="0"/>
              <w:rPr>
                <w:sz w:val="20"/>
                <w:szCs w:val="20"/>
                <w:color w:val="auto"/>
              </w:rPr>
            </w:pPr>
            <w:r>
              <w:rPr>
                <w:rFonts w:ascii="Arial" w:cs="Arial" w:eastAsia="Arial" w:hAnsi="Arial"/>
                <w:sz w:val="18"/>
                <w:szCs w:val="18"/>
                <w:color w:val="auto"/>
              </w:rPr>
              <w:t>Accumulated depreciation and amortization</w:t>
            </w:r>
          </w:p>
        </w:tc>
        <w:tc>
          <w:tcPr>
            <w:tcW w:w="14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(1,512,634)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(1,428,766)</w:t>
            </w:r>
          </w:p>
        </w:tc>
        <w:tc>
          <w:tcPr>
            <w:tcW w:w="0" w:type="dxa"/>
            <w:vAlign w:val="bottom"/>
          </w:tcPr>
          <w:p>
            <w:pPr>
              <w:spacing w:after="0"/>
              <w:rPr>
                <w:sz w:val="1"/>
                <w:szCs w:val="1"/>
                <w:color w:val="auto"/>
              </w:rPr>
            </w:pPr>
          </w:p>
        </w:tc>
      </w:tr>
      <w:tr>
        <w:trPr>
          <w:trHeight w:val="256"/>
        </w:trPr>
        <w:tc>
          <w:tcPr>
            <w:tcW w:w="8660" w:type="dxa"/>
            <w:vAlign w:val="bottom"/>
            <w:tcBorders>
              <w:bottom w:val="single" w:sz="8" w:color="CCEEFF"/>
              <w:right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699,917</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643,873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26"/>
        </w:trPr>
        <w:tc>
          <w:tcPr>
            <w:tcW w:w="8660" w:type="dxa"/>
            <w:vAlign w:val="bottom"/>
          </w:tcPr>
          <w:p>
            <w:pPr>
              <w:ind w:left="340"/>
              <w:spacing w:after="0"/>
              <w:rPr>
                <w:sz w:val="20"/>
                <w:szCs w:val="20"/>
                <w:color w:val="auto"/>
              </w:rPr>
            </w:pPr>
            <w:r>
              <w:rPr>
                <w:rFonts w:ascii="Arial" w:cs="Arial" w:eastAsia="Arial" w:hAnsi="Arial"/>
                <w:sz w:val="18"/>
                <w:szCs w:val="18"/>
                <w:color w:val="auto"/>
                <w:w w:val="98"/>
              </w:rPr>
              <w:t>Information on ROU assets resulting from finance leases, at the balance sheet dates, is presented below.</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April 30,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October 31,</w:t>
            </w:r>
          </w:p>
        </w:tc>
        <w:tc>
          <w:tcPr>
            <w:tcW w:w="0" w:type="dxa"/>
            <w:vAlign w:val="bottom"/>
          </w:tcPr>
          <w:p>
            <w:pPr>
              <w:spacing w:after="0"/>
              <w:rPr>
                <w:sz w:val="1"/>
                <w:szCs w:val="1"/>
                <w:color w:val="auto"/>
              </w:rPr>
            </w:pPr>
          </w:p>
        </w:tc>
      </w:tr>
      <w:tr>
        <w:trPr>
          <w:trHeight w:val="241"/>
        </w:trPr>
        <w:tc>
          <w:tcPr>
            <w:tcW w:w="86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42,817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6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14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(6,206)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(4,784)</w:t>
            </w:r>
          </w:p>
        </w:tc>
        <w:tc>
          <w:tcPr>
            <w:tcW w:w="0" w:type="dxa"/>
            <w:vAlign w:val="bottom"/>
          </w:tcPr>
          <w:p>
            <w:pPr>
              <w:spacing w:after="0"/>
              <w:rPr>
                <w:sz w:val="1"/>
                <w:szCs w:val="1"/>
                <w:color w:val="auto"/>
              </w:rPr>
            </w:pPr>
          </w:p>
        </w:tc>
      </w:tr>
      <w:tr>
        <w:trPr>
          <w:trHeight w:val="236"/>
        </w:trPr>
        <w:tc>
          <w:tcPr>
            <w:tcW w:w="8660" w:type="dxa"/>
            <w:vAlign w:val="bottom"/>
            <w:tcBorders>
              <w:right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36,611</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37,976</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6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presents depreciation expense (including the amortization of ROU assets) related to property, plant, and equipment incurred during the reporting periods.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5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60" w:type="dxa"/>
            <w:vAlign w:val="bottom"/>
            <w:gridSpan w:val="5"/>
          </w:tcPr>
          <w:p>
            <w:pPr>
              <w:ind w:left="24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2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Six Months Ended</w:t>
            </w:r>
          </w:p>
        </w:tc>
        <w:tc>
          <w:tcPr>
            <w:tcW w:w="100" w:type="dxa"/>
            <w:vAlign w:val="bottom"/>
          </w:tcPr>
          <w:p>
            <w:pPr>
              <w:spacing w:after="0"/>
              <w:rPr>
                <w:sz w:val="20"/>
                <w:szCs w:val="20"/>
                <w:color w:val="auto"/>
              </w:rPr>
            </w:pPr>
          </w:p>
        </w:tc>
      </w:tr>
      <w:tr>
        <w:trPr>
          <w:trHeight w:val="198"/>
        </w:trPr>
        <w:tc>
          <w:tcPr>
            <w:tcW w:w="35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center"/>
              <w:ind w:right="360"/>
              <w:spacing w:after="0" w:line="198" w:lineRule="exact"/>
              <w:rPr>
                <w:sz w:val="20"/>
                <w:szCs w:val="20"/>
                <w:color w:val="auto"/>
              </w:rPr>
            </w:pPr>
            <w:r>
              <w:rPr>
                <w:rFonts w:ascii="Arial" w:cs="Arial" w:eastAsia="Arial" w:hAnsi="Arial"/>
                <w:sz w:val="18"/>
                <w:szCs w:val="18"/>
                <w:b w:val="1"/>
                <w:bCs w:val="1"/>
                <w:color w:val="auto"/>
                <w:w w:val="95"/>
              </w:rPr>
              <w:t>April 30,</w:t>
            </w: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center"/>
              <w:ind w:right="210"/>
              <w:spacing w:after="0" w:line="198" w:lineRule="exact"/>
              <w:rPr>
                <w:sz w:val="20"/>
                <w:szCs w:val="20"/>
                <w:color w:val="auto"/>
              </w:rPr>
            </w:pPr>
            <w:r>
              <w:rPr>
                <w:rFonts w:ascii="Arial" w:cs="Arial" w:eastAsia="Arial" w:hAnsi="Arial"/>
                <w:sz w:val="18"/>
                <w:szCs w:val="18"/>
                <w:b w:val="1"/>
                <w:bCs w:val="1"/>
                <w:color w:val="auto"/>
                <w:w w:val="98"/>
              </w:rPr>
              <w:t>May 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center"/>
              <w:ind w:right="70"/>
              <w:spacing w:after="0" w:line="198" w:lineRule="exact"/>
              <w:rPr>
                <w:sz w:val="20"/>
                <w:szCs w:val="20"/>
                <w:color w:val="auto"/>
              </w:rPr>
            </w:pPr>
            <w:r>
              <w:rPr>
                <w:rFonts w:ascii="Arial" w:cs="Arial" w:eastAsia="Arial" w:hAnsi="Arial"/>
                <w:sz w:val="18"/>
                <w:szCs w:val="18"/>
                <w:b w:val="1"/>
                <w:bCs w:val="1"/>
                <w:color w:val="auto"/>
                <w:w w:val="95"/>
              </w:rPr>
              <w:t>April 30,</w:t>
            </w:r>
          </w:p>
        </w:tc>
        <w:tc>
          <w:tcPr>
            <w:tcW w:w="2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center"/>
              <w:ind w:right="110"/>
              <w:spacing w:after="0" w:line="198" w:lineRule="exact"/>
              <w:rPr>
                <w:sz w:val="20"/>
                <w:szCs w:val="20"/>
                <w:color w:val="auto"/>
              </w:rPr>
            </w:pPr>
            <w:r>
              <w:rPr>
                <w:rFonts w:ascii="Arial" w:cs="Arial" w:eastAsia="Arial" w:hAnsi="Arial"/>
                <w:sz w:val="18"/>
                <w:szCs w:val="18"/>
                <w:b w:val="1"/>
                <w:bCs w:val="1"/>
                <w:color w:val="auto"/>
                <w:w w:val="98"/>
              </w:rPr>
              <w:t>May 1,</w:t>
            </w:r>
          </w:p>
        </w:tc>
        <w:tc>
          <w:tcPr>
            <w:tcW w:w="100" w:type="dxa"/>
            <w:vAlign w:val="bottom"/>
          </w:tcPr>
          <w:p>
            <w:pPr>
              <w:spacing w:after="0"/>
              <w:rPr>
                <w:sz w:val="17"/>
                <w:szCs w:val="17"/>
                <w:color w:val="auto"/>
              </w:rPr>
            </w:pPr>
          </w:p>
        </w:tc>
      </w:tr>
      <w:tr>
        <w:trPr>
          <w:trHeight w:val="241"/>
        </w:trPr>
        <w:tc>
          <w:tcPr>
            <w:tcW w:w="35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228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38,908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41,229</w:t>
            </w:r>
          </w:p>
        </w:tc>
        <w:tc>
          <w:tcPr>
            <w:tcW w:w="100" w:type="dxa"/>
            <w:vAlign w:val="bottom"/>
            <w:shd w:val="clear" w:color="auto" w:fill="CCEEFF"/>
          </w:tcPr>
          <w:p>
            <w:pPr>
              <w:spacing w:after="0"/>
              <w:rPr>
                <w:sz w:val="18"/>
                <w:szCs w:val="18"/>
                <w:color w:val="auto"/>
              </w:rPr>
            </w:pPr>
          </w:p>
        </w:tc>
      </w:tr>
      <w:tr>
        <w:trPr>
          <w:trHeight w:val="569"/>
        </w:trPr>
        <w:tc>
          <w:tcPr>
            <w:tcW w:w="3580" w:type="dxa"/>
            <w:vAlign w:val="bottom"/>
          </w:tcPr>
          <w:p>
            <w:pPr>
              <w:spacing w:after="0"/>
              <w:rPr>
                <w:sz w:val="24"/>
                <w:szCs w:val="24"/>
                <w:color w:val="auto"/>
              </w:rPr>
            </w:pPr>
          </w:p>
        </w:tc>
        <w:tc>
          <w:tcPr>
            <w:tcW w:w="2280" w:type="dxa"/>
            <w:vAlign w:val="bottom"/>
          </w:tcPr>
          <w:p>
            <w:pPr>
              <w:jc w:val="right"/>
              <w:ind w:right="88"/>
              <w:spacing w:after="0"/>
              <w:rPr>
                <w:sz w:val="20"/>
                <w:szCs w:val="20"/>
                <w:color w:val="auto"/>
              </w:rPr>
            </w:pPr>
            <w:r>
              <w:rPr>
                <w:rFonts w:ascii="Arial" w:cs="Arial" w:eastAsia="Arial" w:hAnsi="Arial"/>
                <w:sz w:val="14"/>
                <w:szCs w:val="14"/>
                <w:color w:val="auto"/>
              </w:rPr>
              <w:t>12</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358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PDMCX JOINT VENTURE</w:t>
      </w:r>
    </w:p>
    <w:p>
      <w:pPr>
        <w:spacing w:after="0" w:line="209" w:lineRule="exact"/>
        <w:rPr>
          <w:sz w:val="20"/>
          <w:szCs w:val="20"/>
          <w:color w:val="auto"/>
        </w:rPr>
      </w:pPr>
    </w:p>
    <w:p>
      <w:pPr>
        <w:ind w:right="140" w:firstLine="324"/>
        <w:spacing w:after="0" w:line="296" w:lineRule="auto"/>
        <w:rPr>
          <w:sz w:val="20"/>
          <w:szCs w:val="20"/>
          <w:color w:val="auto"/>
        </w:rPr>
      </w:pPr>
      <w:r>
        <w:rPr>
          <w:rFonts w:ascii="Arial" w:cs="Arial" w:eastAsia="Arial" w:hAnsi="Arial"/>
          <w:sz w:val="16"/>
          <w:szCs w:val="16"/>
          <w:color w:val="auto"/>
        </w:rPr>
        <w:t>In January 2018, Photronics, Inc., through its wholly owned Singapore subsidiary (hereinafter, within this Note “we”, “Photronics”, “us”, or “our”), and DNP, through its wholly owned subsidiary “DNP Asia Pacific PTE, Ltd.”, entered into a joint venture under which DNP obtained a 49.99% interest in our IC business in Xiamen, China. The joint venture, which we refer to as “PDMCX”, was established to develop and manufacture photomasks for semiconductors. We entered into this joint venture to enable us to compete more effectively for the merchant photomask business in China, and to benefit from the additional resources and investment that DNP provides to enable us to offer advanced-process technology to our customers.</w:t>
      </w:r>
    </w:p>
    <w:p>
      <w:pPr>
        <w:spacing w:after="0" w:line="161"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In 2020, in combination with local financing obtained by PDMCX, Photronics and DNP fulfilled their investment obligations under the PDMCX operating agreement (“the Agreement”). As discussed in Note 6, liens were granted to the local financing entity on property, plant, and equipment and were paid off during fiscal year 2023. These liens had an October 31, 2022, total carrying value of $70.7 million, as collateral for the loans.</w:t>
      </w:r>
    </w:p>
    <w:p>
      <w:pPr>
        <w:spacing w:after="0" w:line="16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Under the Agreement, DNP is afforded, under certain circumstances, the right to put its interest in PDMCX to Photronics. These circumstances include disputes regarding the strategic direction of PDMCX that may arise after the initial two-year term of the Agreement and cannot be resolved between the two parties. As of the date of issuance of these financial statements, DNP had not indicated its intention to exercise this right. In addition, both Photronics and DNP have the option to purchase, or put, their interest from, or to, the other party, should their ownership interest fall below twenty percent for a period of more than six consecutive months. Under all such circumstances, the sales of ownership interests would be at the exiting party’s ownership percentage of the joint venture’s net book value, with closing to take place within three business days of obtaining required approvals and clearance.</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net income we recorded from the operations of PDMCX during the reporting periods.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8"/>
                <w:szCs w:val="18"/>
                <w:b w:val="1"/>
                <w:bCs w:val="1"/>
                <w:color w:val="auto"/>
              </w:rPr>
              <w:t>Six Months Ended</w:t>
            </w:r>
          </w:p>
        </w:tc>
        <w:tc>
          <w:tcPr>
            <w:tcW w:w="100" w:type="dxa"/>
            <w:vAlign w:val="bottom"/>
          </w:tcPr>
          <w:p>
            <w:pPr>
              <w:spacing w:after="0"/>
              <w:rPr>
                <w:sz w:val="20"/>
                <w:szCs w:val="20"/>
                <w:color w:val="auto"/>
              </w:rPr>
            </w:pPr>
          </w:p>
        </w:tc>
      </w:tr>
      <w:tr>
        <w:trPr>
          <w:trHeight w:val="198"/>
        </w:trPr>
        <w:tc>
          <w:tcPr>
            <w:tcW w:w="5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center"/>
              <w:ind w:right="360"/>
              <w:spacing w:after="0" w:line="198" w:lineRule="exact"/>
              <w:rPr>
                <w:sz w:val="20"/>
                <w:szCs w:val="20"/>
                <w:color w:val="auto"/>
              </w:rPr>
            </w:pPr>
            <w:r>
              <w:rPr>
                <w:rFonts w:ascii="Arial" w:cs="Arial" w:eastAsia="Arial" w:hAnsi="Arial"/>
                <w:sz w:val="18"/>
                <w:szCs w:val="18"/>
                <w:b w:val="1"/>
                <w:bCs w:val="1"/>
                <w:color w:val="auto"/>
                <w:w w:val="95"/>
              </w:rPr>
              <w:t>April 30,</w:t>
            </w:r>
          </w:p>
        </w:tc>
        <w:tc>
          <w:tcPr>
            <w:tcW w:w="280" w:type="dxa"/>
            <w:vAlign w:val="bottom"/>
          </w:tcPr>
          <w:p>
            <w:pPr>
              <w:spacing w:after="0"/>
              <w:rPr>
                <w:sz w:val="17"/>
                <w:szCs w:val="17"/>
                <w:color w:val="auto"/>
              </w:rPr>
            </w:pPr>
          </w:p>
        </w:tc>
        <w:tc>
          <w:tcPr>
            <w:tcW w:w="960" w:type="dxa"/>
            <w:vAlign w:val="bottom"/>
          </w:tcPr>
          <w:p>
            <w:pPr>
              <w:jc w:val="center"/>
              <w:ind w:right="210"/>
              <w:spacing w:after="0" w:line="198" w:lineRule="exact"/>
              <w:rPr>
                <w:sz w:val="20"/>
                <w:szCs w:val="20"/>
                <w:color w:val="auto"/>
              </w:rPr>
            </w:pPr>
            <w:r>
              <w:rPr>
                <w:rFonts w:ascii="Arial" w:cs="Arial" w:eastAsia="Arial" w:hAnsi="Arial"/>
                <w:sz w:val="18"/>
                <w:szCs w:val="18"/>
                <w:b w:val="1"/>
                <w:bCs w:val="1"/>
                <w:color w:val="auto"/>
                <w:w w:val="98"/>
              </w:rPr>
              <w:t>May 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center"/>
              <w:ind w:right="70"/>
              <w:spacing w:after="0" w:line="198" w:lineRule="exact"/>
              <w:rPr>
                <w:sz w:val="20"/>
                <w:szCs w:val="20"/>
                <w:color w:val="auto"/>
              </w:rPr>
            </w:pPr>
            <w:r>
              <w:rPr>
                <w:rFonts w:ascii="Arial" w:cs="Arial" w:eastAsia="Arial" w:hAnsi="Arial"/>
                <w:sz w:val="18"/>
                <w:szCs w:val="18"/>
                <w:b w:val="1"/>
                <w:bCs w:val="1"/>
                <w:color w:val="auto"/>
                <w:w w:val="95"/>
              </w:rPr>
              <w:t>April 30,</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center"/>
              <w:ind w:right="110"/>
              <w:spacing w:after="0" w:line="198" w:lineRule="exact"/>
              <w:rPr>
                <w:sz w:val="20"/>
                <w:szCs w:val="20"/>
                <w:color w:val="auto"/>
              </w:rPr>
            </w:pPr>
            <w:r>
              <w:rPr>
                <w:rFonts w:ascii="Arial" w:cs="Arial" w:eastAsia="Arial" w:hAnsi="Arial"/>
                <w:sz w:val="18"/>
                <w:szCs w:val="18"/>
                <w:b w:val="1"/>
                <w:bCs w:val="1"/>
                <w:color w:val="auto"/>
                <w:w w:val="98"/>
              </w:rPr>
              <w:t>May 1,</w:t>
            </w:r>
          </w:p>
        </w:tc>
        <w:tc>
          <w:tcPr>
            <w:tcW w:w="100" w:type="dxa"/>
            <w:vAlign w:val="bottom"/>
          </w:tcPr>
          <w:p>
            <w:pPr>
              <w:spacing w:after="0"/>
              <w:rPr>
                <w:sz w:val="17"/>
                <w:szCs w:val="17"/>
                <w:color w:val="auto"/>
              </w:rPr>
            </w:pPr>
          </w:p>
        </w:tc>
      </w:tr>
      <w:tr>
        <w:trPr>
          <w:trHeight w:val="241"/>
        </w:trPr>
        <w:tc>
          <w:tcPr>
            <w:tcW w:w="58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Net income from PDMCX</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6,772</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As required by the guidance in Topic 810 - “Consolidation” of the Accounting Standards Codification (“ASC”), we evaluated our involvement in PDMCX for the purpose of determining whether we should consolidate its results in our financial statements. The initial step of our evaluation was to determine whether PDMCX was a variable interest entity (“VIE”). Due to its lack of sufficient equity at risk to finance its activities without additional subordinated financial support, we determined that it was a VIE. Having made this determination, we then assessed whether we were the primary beneficiary of the VIE and concluded that we were the primary beneficiary during the current and prior year reporting periods; thus, as required, the PDMCX financial results have been consolidated with Photronics. Our conclusion was based on the facts that we held a controlling financial interest in PDMCX (which resulted from our having the power to direct the activities that most significantly impacted its economic performance) and had the obligation to absorb losses and the right to receive benefits that could potentially be significant to PDMCX. Our conclusions that we had the power to direct the activities that most significantly affected the economic performance of PDMCX during the current and prior year reporting periods were based on our right to appoint the majority of its board of directors, which has, among others, the powers to manage the business (through its rights to appoint and evaluate PDMCX’s management), incur indebtedness, enter into agreements and commitments, and acquire and dispose of PDMCX’s assets. In addition, as a result of the 50.01% variable interest we held during the current and prior year periods, we had the obligation to absorb losses, and the right to receive benefits, that could potentially be significant to PDMCX.</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The following table presents the carrying amounts of PDMCX assets and liabilities included in our condensed consolidated balance sheets. General creditors of PDMCX do not have recourse to the assets of Photronics (other than the net assets of PDMCX); therefore, our maximum exposure to loss from PDMCX is our interest in the carrying amount of the net assets of the joint venture.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gridSpan w:val="5"/>
          </w:tcPr>
          <w:p>
            <w:pPr>
              <w:ind w:left="760"/>
              <w:spacing w:after="0"/>
              <w:rPr>
                <w:sz w:val="20"/>
                <w:szCs w:val="20"/>
                <w:color w:val="auto"/>
              </w:rPr>
            </w:pPr>
            <w:r>
              <w:rPr>
                <w:rFonts w:ascii="Arial" w:cs="Arial" w:eastAsia="Arial" w:hAnsi="Arial"/>
                <w:sz w:val="18"/>
                <w:szCs w:val="18"/>
                <w:b w:val="1"/>
                <w:bCs w:val="1"/>
                <w:color w:val="auto"/>
              </w:rPr>
              <w:t>April 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4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October 31,</w:t>
            </w:r>
          </w:p>
        </w:tc>
        <w:tc>
          <w:tcPr>
            <w:tcW w:w="100" w:type="dxa"/>
            <w:vAlign w:val="bottom"/>
          </w:tcPr>
          <w:p>
            <w:pPr>
              <w:spacing w:after="0"/>
              <w:rPr>
                <w:sz w:val="18"/>
                <w:szCs w:val="18"/>
                <w:color w:val="auto"/>
              </w:rPr>
            </w:pPr>
          </w:p>
        </w:tc>
      </w:tr>
      <w:tr>
        <w:trPr>
          <w:trHeight w:val="241"/>
        </w:trPr>
        <w:tc>
          <w:tcPr>
            <w:tcW w:w="5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2023</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2022</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5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110"/>
              <w:spacing w:after="0" w:line="198" w:lineRule="exact"/>
              <w:rPr>
                <w:sz w:val="20"/>
                <w:szCs w:val="20"/>
                <w:color w:val="auto"/>
              </w:rPr>
            </w:pPr>
            <w:r>
              <w:rPr>
                <w:rFonts w:ascii="Arial" w:cs="Arial" w:eastAsia="Arial" w:hAnsi="Arial"/>
                <w:sz w:val="18"/>
                <w:szCs w:val="18"/>
                <w:b w:val="1"/>
                <w:bCs w:val="1"/>
                <w:color w:val="auto"/>
              </w:rPr>
              <w:t>Carrying</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30"/>
              <w:spacing w:after="0" w:line="198" w:lineRule="exact"/>
              <w:rPr>
                <w:sz w:val="20"/>
                <w:szCs w:val="20"/>
                <w:color w:val="auto"/>
              </w:rPr>
            </w:pPr>
            <w:r>
              <w:rPr>
                <w:rFonts w:ascii="Arial" w:cs="Arial" w:eastAsia="Arial" w:hAnsi="Arial"/>
                <w:sz w:val="18"/>
                <w:szCs w:val="18"/>
                <w:b w:val="1"/>
                <w:bCs w:val="1"/>
                <w:color w:val="auto"/>
                <w:w w:val="87"/>
              </w:rPr>
              <w:t>Photronics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110"/>
              <w:spacing w:after="0" w:line="198" w:lineRule="exact"/>
              <w:rPr>
                <w:sz w:val="20"/>
                <w:szCs w:val="20"/>
                <w:color w:val="auto"/>
              </w:rPr>
            </w:pPr>
            <w:r>
              <w:rPr>
                <w:rFonts w:ascii="Arial" w:cs="Arial" w:eastAsia="Arial" w:hAnsi="Arial"/>
                <w:sz w:val="18"/>
                <w:szCs w:val="18"/>
                <w:b w:val="1"/>
                <w:bCs w:val="1"/>
                <w:color w:val="auto"/>
              </w:rPr>
              <w:t>Carrying</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70"/>
              <w:spacing w:after="0" w:line="198" w:lineRule="exact"/>
              <w:rPr>
                <w:sz w:val="20"/>
                <w:szCs w:val="20"/>
                <w:color w:val="auto"/>
              </w:rPr>
            </w:pPr>
            <w:r>
              <w:rPr>
                <w:rFonts w:ascii="Arial" w:cs="Arial" w:eastAsia="Arial" w:hAnsi="Arial"/>
                <w:sz w:val="18"/>
                <w:szCs w:val="18"/>
                <w:b w:val="1"/>
                <w:bCs w:val="1"/>
                <w:color w:val="auto"/>
                <w:w w:val="89"/>
              </w:rPr>
              <w:t>Photronics</w:t>
            </w:r>
          </w:p>
        </w:tc>
        <w:tc>
          <w:tcPr>
            <w:tcW w:w="100" w:type="dxa"/>
            <w:vAlign w:val="bottom"/>
          </w:tcPr>
          <w:p>
            <w:pPr>
              <w:spacing w:after="0"/>
              <w:rPr>
                <w:sz w:val="17"/>
                <w:szCs w:val="17"/>
                <w:color w:val="auto"/>
              </w:rPr>
            </w:pPr>
          </w:p>
        </w:tc>
      </w:tr>
      <w:tr>
        <w:trPr>
          <w:trHeight w:val="241"/>
        </w:trPr>
        <w:tc>
          <w:tcPr>
            <w:tcW w:w="5860" w:type="dxa"/>
            <w:vAlign w:val="bottom"/>
          </w:tcPr>
          <w:p>
            <w:pPr>
              <w:spacing w:after="0"/>
              <w:rPr>
                <w:sz w:val="20"/>
                <w:szCs w:val="20"/>
                <w:color w:val="auto"/>
              </w:rPr>
            </w:pPr>
            <w:r>
              <w:rPr>
                <w:rFonts w:ascii="Arial" w:cs="Arial" w:eastAsia="Arial" w:hAnsi="Arial"/>
                <w:sz w:val="18"/>
                <w:szCs w:val="18"/>
                <w:b w:val="1"/>
                <w:bCs w:val="1"/>
                <w:color w:val="auto"/>
              </w:rPr>
              <w:t>Classification</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b w:val="1"/>
                <w:bCs w:val="1"/>
                <w:color w:val="auto"/>
              </w:rPr>
              <w:t>Amount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Interest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190"/>
              <w:spacing w:after="0"/>
              <w:rPr>
                <w:sz w:val="20"/>
                <w:szCs w:val="20"/>
                <w:color w:val="auto"/>
              </w:rPr>
            </w:pPr>
            <w:r>
              <w:rPr>
                <w:rFonts w:ascii="Arial" w:cs="Arial" w:eastAsia="Arial" w:hAnsi="Arial"/>
                <w:sz w:val="18"/>
                <w:szCs w:val="18"/>
                <w:b w:val="1"/>
                <w:bCs w:val="1"/>
                <w:color w:val="auto"/>
              </w:rPr>
              <w:t>Interest</w:t>
            </w:r>
          </w:p>
        </w:tc>
        <w:tc>
          <w:tcPr>
            <w:tcW w:w="100" w:type="dxa"/>
            <w:vAlign w:val="bottom"/>
          </w:tcPr>
          <w:p>
            <w:pPr>
              <w:spacing w:after="0"/>
              <w:rPr>
                <w:sz w:val="20"/>
                <w:szCs w:val="20"/>
                <w:color w:val="auto"/>
              </w:rPr>
            </w:pP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128,626</w:t>
            </w: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64,326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127,542</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63,784</w:t>
            </w:r>
          </w:p>
        </w:tc>
        <w:tc>
          <w:tcPr>
            <w:tcW w:w="100" w:type="dxa"/>
            <w:vAlign w:val="bottom"/>
            <w:shd w:val="clear" w:color="auto" w:fill="CCEEFF"/>
          </w:tcPr>
          <w:p>
            <w:pPr>
              <w:spacing w:after="0"/>
              <w:rPr>
                <w:sz w:val="18"/>
                <w:szCs w:val="18"/>
                <w:color w:val="auto"/>
              </w:rPr>
            </w:pPr>
          </w:p>
        </w:tc>
      </w:tr>
      <w:tr>
        <w:trPr>
          <w:trHeight w:val="223"/>
        </w:trPr>
        <w:tc>
          <w:tcPr>
            <w:tcW w:w="5860" w:type="dxa"/>
            <w:vAlign w:val="bottom"/>
          </w:tcPr>
          <w:p>
            <w:pPr>
              <w:spacing w:after="0"/>
              <w:rPr>
                <w:sz w:val="20"/>
                <w:szCs w:val="20"/>
                <w:color w:val="auto"/>
              </w:rPr>
            </w:pPr>
            <w:r>
              <w:rPr>
                <w:rFonts w:ascii="Arial" w:cs="Arial" w:eastAsia="Arial" w:hAnsi="Arial"/>
                <w:sz w:val="18"/>
                <w:szCs w:val="18"/>
                <w:color w:val="auto"/>
              </w:rPr>
              <w:t>Noncurrent assets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145,471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72,750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119,392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59,708</w:t>
            </w:r>
          </w:p>
        </w:tc>
        <w:tc>
          <w:tcPr>
            <w:tcW w:w="100" w:type="dxa"/>
            <w:vAlign w:val="bottom"/>
          </w:tcPr>
          <w:p>
            <w:pPr>
              <w:spacing w:after="0"/>
              <w:rPr>
                <w:sz w:val="19"/>
                <w:szCs w:val="19"/>
                <w:color w:val="auto"/>
              </w:rPr>
            </w:pPr>
          </w:p>
        </w:tc>
      </w:tr>
      <w:tr>
        <w:trPr>
          <w:trHeight w:val="223"/>
        </w:trPr>
        <w:tc>
          <w:tcPr>
            <w:tcW w:w="5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274,097</w:t>
            </w:r>
          </w:p>
        </w:tc>
        <w:tc>
          <w:tcPr>
            <w:tcW w:w="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137,076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246,934</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123,492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50,925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25,468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51,274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25,643</w:t>
            </w:r>
          </w:p>
        </w:tc>
        <w:tc>
          <w:tcPr>
            <w:tcW w:w="100" w:type="dxa"/>
            <w:vAlign w:val="bottom"/>
            <w:shd w:val="clear" w:color="auto" w:fill="CCEEFF"/>
          </w:tcPr>
          <w:p>
            <w:pPr>
              <w:spacing w:after="0"/>
              <w:rPr>
                <w:sz w:val="18"/>
                <w:szCs w:val="18"/>
                <w:color w:val="auto"/>
              </w:rPr>
            </w:pPr>
          </w:p>
        </w:tc>
      </w:tr>
      <w:tr>
        <w:trPr>
          <w:trHeight w:val="223"/>
        </w:trPr>
        <w:tc>
          <w:tcPr>
            <w:tcW w:w="586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1,484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742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9,161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4,581</w:t>
            </w:r>
          </w:p>
        </w:tc>
        <w:tc>
          <w:tcPr>
            <w:tcW w:w="100" w:type="dxa"/>
            <w:vAlign w:val="bottom"/>
          </w:tcPr>
          <w:p>
            <w:pPr>
              <w:spacing w:after="0"/>
              <w:rPr>
                <w:sz w:val="19"/>
                <w:szCs w:val="19"/>
                <w:color w:val="auto"/>
              </w:rPr>
            </w:pPr>
          </w:p>
        </w:tc>
      </w:tr>
      <w:tr>
        <w:trPr>
          <w:trHeight w:val="223"/>
        </w:trPr>
        <w:tc>
          <w:tcPr>
            <w:tcW w:w="5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52,409</w:t>
            </w:r>
          </w:p>
        </w:tc>
        <w:tc>
          <w:tcPr>
            <w:tcW w:w="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26,210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60,435</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30,224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86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Net assets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221,688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110,866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186,499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93,268</w:t>
            </w:r>
          </w:p>
        </w:tc>
        <w:tc>
          <w:tcPr>
            <w:tcW w:w="100" w:type="dxa"/>
            <w:vAlign w:val="bottom"/>
            <w:shd w:val="clear" w:color="auto" w:fill="CCEEFF"/>
          </w:tcPr>
          <w:p>
            <w:pPr>
              <w:spacing w:after="0"/>
              <w:rPr>
                <w:sz w:val="22"/>
                <w:szCs w:val="22"/>
                <w:color w:val="auto"/>
              </w:rPr>
            </w:pPr>
          </w:p>
        </w:tc>
      </w:tr>
      <w:tr>
        <w:trPr>
          <w:trHeight w:val="426"/>
        </w:trPr>
        <w:tc>
          <w:tcPr>
            <w:tcW w:w="586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NOTE 6 - DEBT</w:t>
            </w: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bl>
    <w:p>
      <w:pPr>
        <w:spacing w:after="0" w:line="202"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Due to the Q2 FY23 payoff of the Xiamen Project loans, as of April 30, 2023, the Current portion of long-term debt and the Long-term debt balances were comprised of finance leases as described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190"/>
              <w:spacing w:after="0"/>
              <w:rPr>
                <w:sz w:val="20"/>
                <w:szCs w:val="20"/>
                <w:color w:val="auto"/>
              </w:rPr>
            </w:pPr>
            <w:r>
              <w:rPr>
                <w:rFonts w:ascii="Arial" w:cs="Arial" w:eastAsia="Arial" w:hAnsi="Arial"/>
                <w:sz w:val="18"/>
                <w:szCs w:val="18"/>
                <w:b w:val="1"/>
                <w:bCs w:val="1"/>
                <w:color w:val="auto"/>
              </w:rPr>
              <w:t>Xiamen</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9"/>
              </w:rPr>
              <w:t>Finance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080" w:type="dxa"/>
            <w:vAlign w:val="bottom"/>
          </w:tcPr>
          <w:p>
            <w:pPr>
              <w:ind w:left="2780"/>
              <w:spacing w:after="0"/>
              <w:rPr>
                <w:sz w:val="20"/>
                <w:szCs w:val="20"/>
                <w:color w:val="auto"/>
              </w:rPr>
            </w:pPr>
            <w:r>
              <w:rPr>
                <w:rFonts w:ascii="Arial" w:cs="Arial" w:eastAsia="Arial" w:hAnsi="Arial"/>
                <w:sz w:val="18"/>
                <w:szCs w:val="18"/>
                <w:b w:val="1"/>
                <w:bCs w:val="1"/>
                <w:color w:val="auto"/>
              </w:rPr>
              <w:t>As of April 30, 2023</w:t>
            </w:r>
          </w:p>
        </w:tc>
        <w:tc>
          <w:tcPr>
            <w:tcW w:w="10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Project Loans</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Leases</w:t>
            </w:r>
          </w:p>
        </w:tc>
        <w:tc>
          <w:tcPr>
            <w:tcW w:w="22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16"/>
        </w:trPr>
        <w:tc>
          <w:tcPr>
            <w:tcW w:w="70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Principal due:</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Next 12 months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7,017</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7,017</w:t>
            </w:r>
          </w:p>
        </w:tc>
        <w:tc>
          <w:tcPr>
            <w:tcW w:w="100" w:type="dxa"/>
            <w:vAlign w:val="bottom"/>
            <w:shd w:val="clear" w:color="auto" w:fill="CCEEFF"/>
          </w:tcPr>
          <w:p>
            <w:pPr>
              <w:spacing w:after="0"/>
              <w:rPr>
                <w:sz w:val="18"/>
                <w:szCs w:val="18"/>
                <w:color w:val="auto"/>
              </w:rPr>
            </w:pPr>
          </w:p>
        </w:tc>
      </w:tr>
      <w:tr>
        <w:trPr>
          <w:trHeight w:val="27"/>
        </w:trPr>
        <w:tc>
          <w:tcPr>
            <w:tcW w:w="7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Months 13 – 24</w:t>
            </w:r>
          </w:p>
        </w:tc>
        <w:tc>
          <w:tcPr>
            <w:tcW w:w="1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21,290</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21,290</w:t>
            </w:r>
          </w:p>
        </w:tc>
        <w:tc>
          <w:tcPr>
            <w:tcW w:w="100" w:type="dxa"/>
            <w:vAlign w:val="bottom"/>
          </w:tcPr>
          <w:p>
            <w:pPr>
              <w:spacing w:after="0"/>
              <w:rPr>
                <w:sz w:val="18"/>
                <w:szCs w:val="18"/>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Months 25 – 36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Months 37 – 48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Months 49 – 60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r>
      <w:tr>
        <w:trPr>
          <w:trHeight w:val="27"/>
        </w:trPr>
        <w:tc>
          <w:tcPr>
            <w:tcW w:w="7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080" w:type="dxa"/>
            <w:vAlign w:val="bottom"/>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21,322</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21,322</w:t>
            </w:r>
          </w:p>
        </w:tc>
        <w:tc>
          <w:tcPr>
            <w:tcW w:w="100" w:type="dxa"/>
            <w:vAlign w:val="bottom"/>
          </w:tcPr>
          <w:p>
            <w:pPr>
              <w:spacing w:after="0"/>
              <w:rPr>
                <w:sz w:val="19"/>
                <w:szCs w:val="19"/>
                <w:color w:val="auto"/>
              </w:rPr>
            </w:pPr>
          </w:p>
        </w:tc>
      </w:tr>
      <w:tr>
        <w:trPr>
          <w:trHeight w:val="257"/>
        </w:trPr>
        <w:tc>
          <w:tcPr>
            <w:tcW w:w="7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debt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28,339</w:t>
            </w:r>
          </w:p>
        </w:tc>
        <w:tc>
          <w:tcPr>
            <w:tcW w:w="3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28,339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Interest rate at balance sheet date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Basis spread on interest rates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Interest rate reset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Maturity date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Periodic payment amount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Periodic payment frequency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Loan collateral (carrying amount)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1200" w:type="dxa"/>
            <w:vAlign w:val="bottom"/>
          </w:tcPr>
          <w:p>
            <w:pPr>
              <w:ind w:left="680"/>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18"/>
                <w:szCs w:val="18"/>
                <w:color w:val="auto"/>
              </w:rPr>
            </w:pPr>
          </w:p>
        </w:tc>
        <w:tc>
          <w:tcPr>
            <w:tcW w:w="1120" w:type="dxa"/>
            <w:vAlign w:val="bottom"/>
          </w:tcPr>
          <w:p>
            <w:pPr>
              <w:jc w:val="center"/>
              <w:ind w:left="370"/>
              <w:spacing w:after="0"/>
              <w:rPr>
                <w:sz w:val="20"/>
                <w:szCs w:val="20"/>
                <w:color w:val="auto"/>
              </w:rPr>
            </w:pPr>
            <w:r>
              <w:rPr>
                <w:rFonts w:ascii="Arial" w:cs="Arial" w:eastAsia="Arial" w:hAnsi="Arial"/>
                <w:sz w:val="18"/>
                <w:szCs w:val="18"/>
                <w:color w:val="auto"/>
                <w:w w:val="99"/>
              </w:rPr>
              <w:t>N/A</w:t>
            </w:r>
          </w:p>
        </w:tc>
      </w:tr>
      <w:tr>
        <w:trPr>
          <w:trHeight w:val="216"/>
        </w:trPr>
        <w:tc>
          <w:tcPr>
            <w:tcW w:w="180" w:type="dxa"/>
            <w:vAlign w:val="bottom"/>
          </w:tcPr>
          <w:p>
            <w:pPr>
              <w:spacing w:after="0"/>
              <w:rPr>
                <w:sz w:val="18"/>
                <w:szCs w:val="18"/>
                <w:color w:val="auto"/>
              </w:rPr>
            </w:pPr>
          </w:p>
        </w:tc>
        <w:tc>
          <w:tcPr>
            <w:tcW w:w="1200" w:type="dxa"/>
            <w:vAlign w:val="bottom"/>
          </w:tcPr>
          <w:p>
            <w:pPr>
              <w:ind w:left="680"/>
              <w:spacing w:after="0"/>
              <w:rPr>
                <w:sz w:val="20"/>
                <w:szCs w:val="20"/>
                <w:color w:val="auto"/>
              </w:rPr>
            </w:pPr>
            <w:r>
              <w:rPr>
                <w:rFonts w:ascii="Arial" w:cs="Arial" w:eastAsia="Arial" w:hAnsi="Arial"/>
                <w:sz w:val="18"/>
                <w:szCs w:val="18"/>
                <w:color w:val="auto"/>
              </w:rPr>
              <w:t>0.00</w:t>
            </w:r>
          </w:p>
        </w:tc>
        <w:tc>
          <w:tcPr>
            <w:tcW w:w="220" w:type="dxa"/>
            <w:vAlign w:val="bottom"/>
          </w:tcPr>
          <w:p>
            <w:pPr>
              <w:spacing w:after="0"/>
              <w:rPr>
                <w:sz w:val="18"/>
                <w:szCs w:val="18"/>
                <w:color w:val="auto"/>
              </w:rPr>
            </w:pPr>
          </w:p>
        </w:tc>
        <w:tc>
          <w:tcPr>
            <w:tcW w:w="1120" w:type="dxa"/>
            <w:vAlign w:val="bottom"/>
          </w:tcPr>
          <w:p>
            <w:pPr>
              <w:jc w:val="center"/>
              <w:ind w:left="370"/>
              <w:spacing w:after="0"/>
              <w:rPr>
                <w:sz w:val="20"/>
                <w:szCs w:val="20"/>
                <w:color w:val="auto"/>
              </w:rPr>
            </w:pPr>
            <w:r>
              <w:rPr>
                <w:rFonts w:ascii="Arial" w:cs="Arial" w:eastAsia="Arial" w:hAnsi="Arial"/>
                <w:sz w:val="18"/>
                <w:szCs w:val="18"/>
                <w:color w:val="auto"/>
                <w:w w:val="99"/>
              </w:rPr>
              <w:t>N/A</w:t>
            </w:r>
          </w:p>
        </w:tc>
      </w:tr>
      <w:tr>
        <w:trPr>
          <w:trHeight w:val="216"/>
        </w:trPr>
        <w:tc>
          <w:tcPr>
            <w:tcW w:w="180" w:type="dxa"/>
            <w:vAlign w:val="bottom"/>
          </w:tcPr>
          <w:p>
            <w:pPr>
              <w:spacing w:after="0"/>
              <w:rPr>
                <w:sz w:val="18"/>
                <w:szCs w:val="18"/>
                <w:color w:val="auto"/>
              </w:rPr>
            </w:pPr>
          </w:p>
        </w:tc>
        <w:tc>
          <w:tcPr>
            <w:tcW w:w="1200" w:type="dxa"/>
            <w:vAlign w:val="bottom"/>
          </w:tcPr>
          <w:p>
            <w:pPr>
              <w:jc w:val="center"/>
              <w:ind w:right="290"/>
              <w:spacing w:after="0"/>
              <w:rPr>
                <w:sz w:val="20"/>
                <w:szCs w:val="20"/>
                <w:color w:val="auto"/>
              </w:rPr>
            </w:pPr>
            <w:r>
              <w:rPr>
                <w:rFonts w:ascii="Arial" w:cs="Arial" w:eastAsia="Arial" w:hAnsi="Arial"/>
                <w:sz w:val="18"/>
                <w:szCs w:val="18"/>
                <w:color w:val="auto"/>
                <w:w w:val="94"/>
              </w:rPr>
              <w:t>Quarterly</w:t>
            </w:r>
          </w:p>
        </w:tc>
        <w:tc>
          <w:tcPr>
            <w:tcW w:w="220" w:type="dxa"/>
            <w:vAlign w:val="bottom"/>
          </w:tcPr>
          <w:p>
            <w:pPr>
              <w:spacing w:after="0"/>
              <w:rPr>
                <w:sz w:val="18"/>
                <w:szCs w:val="18"/>
                <w:color w:val="auto"/>
              </w:rPr>
            </w:pPr>
          </w:p>
        </w:tc>
        <w:tc>
          <w:tcPr>
            <w:tcW w:w="1120" w:type="dxa"/>
            <w:vAlign w:val="bottom"/>
          </w:tcPr>
          <w:p>
            <w:pPr>
              <w:jc w:val="center"/>
              <w:ind w:left="370"/>
              <w:spacing w:after="0"/>
              <w:rPr>
                <w:sz w:val="20"/>
                <w:szCs w:val="20"/>
                <w:color w:val="auto"/>
              </w:rPr>
            </w:pPr>
            <w:r>
              <w:rPr>
                <w:rFonts w:ascii="Arial" w:cs="Arial" w:eastAsia="Arial" w:hAnsi="Arial"/>
                <w:sz w:val="18"/>
                <w:szCs w:val="18"/>
                <w:color w:val="auto"/>
                <w:w w:val="99"/>
              </w:rPr>
              <w:t>N/A</w:t>
            </w:r>
          </w:p>
        </w:tc>
      </w:tr>
      <w:tr>
        <w:trPr>
          <w:trHeight w:val="216"/>
        </w:trPr>
        <w:tc>
          <w:tcPr>
            <w:tcW w:w="1380" w:type="dxa"/>
            <w:vAlign w:val="bottom"/>
            <w:gridSpan w:val="2"/>
          </w:tcPr>
          <w:p>
            <w:pPr>
              <w:jc w:val="center"/>
              <w:ind w:right="110"/>
              <w:spacing w:after="0"/>
              <w:rPr>
                <w:sz w:val="20"/>
                <w:szCs w:val="20"/>
                <w:color w:val="auto"/>
              </w:rPr>
            </w:pPr>
            <w:r>
              <w:rPr>
                <w:rFonts w:ascii="Arial" w:cs="Arial" w:eastAsia="Arial" w:hAnsi="Arial"/>
                <w:sz w:val="18"/>
                <w:szCs w:val="18"/>
                <w:color w:val="auto"/>
                <w:w w:val="88"/>
              </w:rPr>
              <w:t>December 2025</w:t>
            </w:r>
          </w:p>
        </w:tc>
        <w:tc>
          <w:tcPr>
            <w:tcW w:w="220" w:type="dxa"/>
            <w:vAlign w:val="bottom"/>
          </w:tcPr>
          <w:p>
            <w:pPr>
              <w:spacing w:after="0"/>
              <w:rPr>
                <w:sz w:val="18"/>
                <w:szCs w:val="18"/>
                <w:color w:val="auto"/>
              </w:rPr>
            </w:pPr>
          </w:p>
        </w:tc>
        <w:tc>
          <w:tcPr>
            <w:tcW w:w="1120" w:type="dxa"/>
            <w:vAlign w:val="bottom"/>
          </w:tcPr>
          <w:p>
            <w:pPr>
              <w:jc w:val="center"/>
              <w:ind w:left="370"/>
              <w:spacing w:after="0"/>
              <w:rPr>
                <w:sz w:val="20"/>
                <w:szCs w:val="20"/>
                <w:color w:val="auto"/>
              </w:rPr>
            </w:pPr>
            <w:r>
              <w:rPr>
                <w:rFonts w:ascii="Arial" w:cs="Arial" w:eastAsia="Arial" w:hAnsi="Arial"/>
                <w:sz w:val="18"/>
                <w:szCs w:val="18"/>
                <w:color w:val="auto"/>
                <w:w w:val="99"/>
              </w:rPr>
              <w:t>N/A</w:t>
            </w:r>
          </w:p>
        </w:tc>
      </w:tr>
      <w:tr>
        <w:trPr>
          <w:trHeight w:val="230"/>
        </w:trPr>
        <w:tc>
          <w:tcPr>
            <w:tcW w:w="1380" w:type="dxa"/>
            <w:vAlign w:val="bottom"/>
            <w:gridSpan w:val="2"/>
          </w:tcPr>
          <w:p>
            <w:pPr>
              <w:jc w:val="center"/>
              <w:ind w:right="110"/>
              <w:spacing w:after="0"/>
              <w:rPr>
                <w:sz w:val="20"/>
                <w:szCs w:val="20"/>
                <w:color w:val="auto"/>
              </w:rPr>
            </w:pPr>
            <w:r>
              <w:rPr>
                <w:rFonts w:ascii="Arial" w:cs="Arial" w:eastAsia="Arial" w:hAnsi="Arial"/>
                <w:sz w:val="18"/>
                <w:szCs w:val="18"/>
                <w:color w:val="auto"/>
                <w:w w:val="86"/>
              </w:rPr>
              <w:t>Varies as loans</w:t>
            </w:r>
          </w:p>
        </w:tc>
        <w:tc>
          <w:tcPr>
            <w:tcW w:w="220" w:type="dxa"/>
            <w:vAlign w:val="bottom"/>
          </w:tcPr>
          <w:p>
            <w:pPr>
              <w:spacing w:after="0"/>
              <w:rPr>
                <w:sz w:val="20"/>
                <w:szCs w:val="20"/>
                <w:color w:val="auto"/>
              </w:rPr>
            </w:pPr>
          </w:p>
        </w:tc>
        <w:tc>
          <w:tcPr>
            <w:tcW w:w="1120" w:type="dxa"/>
            <w:vAlign w:val="bottom"/>
          </w:tcPr>
          <w:p>
            <w:pPr>
              <w:jc w:val="center"/>
              <w:ind w:right="230"/>
              <w:spacing w:after="0"/>
              <w:rPr>
                <w:sz w:val="20"/>
                <w:szCs w:val="20"/>
                <w:color w:val="auto"/>
              </w:rPr>
            </w:pPr>
            <w:r>
              <w:rPr>
                <w:rFonts w:ascii="Arial" w:cs="Arial" w:eastAsia="Arial" w:hAnsi="Arial"/>
                <w:sz w:val="18"/>
                <w:szCs w:val="18"/>
                <w:color w:val="auto"/>
                <w:w w:val="85"/>
              </w:rPr>
              <w:t>Varies as</w:t>
            </w:r>
          </w:p>
        </w:tc>
      </w:tr>
      <w:tr>
        <w:trPr>
          <w:trHeight w:val="256"/>
        </w:trPr>
        <w:tc>
          <w:tcPr>
            <w:tcW w:w="180" w:type="dxa"/>
            <w:vAlign w:val="bottom"/>
          </w:tcPr>
          <w:p>
            <w:pPr>
              <w:spacing w:after="0"/>
              <w:rPr>
                <w:sz w:val="22"/>
                <w:szCs w:val="22"/>
                <w:color w:val="auto"/>
              </w:rPr>
            </w:pPr>
          </w:p>
        </w:tc>
        <w:tc>
          <w:tcPr>
            <w:tcW w:w="1200" w:type="dxa"/>
            <w:vAlign w:val="bottom"/>
          </w:tcPr>
          <w:p>
            <w:pPr>
              <w:jc w:val="center"/>
              <w:ind w:right="290"/>
              <w:spacing w:after="0" w:line="255" w:lineRule="exact"/>
              <w:rPr>
                <w:sz w:val="20"/>
                <w:szCs w:val="20"/>
                <w:color w:val="auto"/>
              </w:rPr>
            </w:pPr>
            <w:r>
              <w:rPr>
                <w:rFonts w:ascii="Arial" w:cs="Arial" w:eastAsia="Arial" w:hAnsi="Arial"/>
                <w:sz w:val="18"/>
                <w:szCs w:val="18"/>
                <w:color w:val="auto"/>
                <w:w w:val="82"/>
              </w:rPr>
              <w:t>mature</w:t>
            </w:r>
            <w:r>
              <w:rPr>
                <w:rFonts w:ascii="Arial" w:cs="Arial" w:eastAsia="Arial" w:hAnsi="Arial"/>
                <w:sz w:val="29"/>
                <w:szCs w:val="29"/>
                <w:color w:val="auto"/>
                <w:w w:val="82"/>
                <w:vertAlign w:val="superscript"/>
              </w:rPr>
              <w:t>(1)</w:t>
            </w:r>
          </w:p>
        </w:tc>
        <w:tc>
          <w:tcPr>
            <w:tcW w:w="1340" w:type="dxa"/>
            <w:vAlign w:val="bottom"/>
            <w:gridSpan w:val="2"/>
          </w:tcPr>
          <w:p>
            <w:pPr>
              <w:jc w:val="center"/>
              <w:ind w:right="30"/>
              <w:spacing w:after="0"/>
              <w:rPr>
                <w:sz w:val="20"/>
                <w:szCs w:val="20"/>
                <w:color w:val="auto"/>
              </w:rPr>
            </w:pPr>
            <w:r>
              <w:rPr>
                <w:rFonts w:ascii="Arial" w:cs="Arial" w:eastAsia="Arial" w:hAnsi="Arial"/>
                <w:sz w:val="18"/>
                <w:szCs w:val="18"/>
                <w:color w:val="auto"/>
                <w:w w:val="86"/>
              </w:rPr>
              <w:t>leases mature</w:t>
            </w:r>
          </w:p>
        </w:tc>
      </w:tr>
      <w:tr>
        <w:trPr>
          <w:trHeight w:val="216"/>
        </w:trPr>
        <w:tc>
          <w:tcPr>
            <w:tcW w:w="1380" w:type="dxa"/>
            <w:vAlign w:val="bottom"/>
            <w:gridSpan w:val="2"/>
          </w:tcPr>
          <w:p>
            <w:pPr>
              <w:jc w:val="center"/>
              <w:ind w:right="90"/>
              <w:spacing w:after="0"/>
              <w:rPr>
                <w:sz w:val="20"/>
                <w:szCs w:val="20"/>
                <w:color w:val="auto"/>
              </w:rPr>
            </w:pPr>
            <w:r>
              <w:rPr>
                <w:rFonts w:ascii="Arial" w:cs="Arial" w:eastAsia="Arial" w:hAnsi="Arial"/>
                <w:sz w:val="18"/>
                <w:szCs w:val="18"/>
                <w:color w:val="auto"/>
                <w:w w:val="89"/>
              </w:rPr>
              <w:t>Semiannual, on</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380" w:type="dxa"/>
            <w:vAlign w:val="bottom"/>
            <w:gridSpan w:val="2"/>
          </w:tcPr>
          <w:p>
            <w:pPr>
              <w:jc w:val="center"/>
              <w:ind w:right="110"/>
              <w:spacing w:after="0"/>
              <w:rPr>
                <w:sz w:val="20"/>
                <w:szCs w:val="20"/>
                <w:color w:val="auto"/>
              </w:rPr>
            </w:pPr>
            <w:r>
              <w:rPr>
                <w:rFonts w:ascii="Arial" w:cs="Arial" w:eastAsia="Arial" w:hAnsi="Arial"/>
                <w:sz w:val="18"/>
                <w:szCs w:val="18"/>
                <w:color w:val="auto"/>
                <w:w w:val="92"/>
              </w:rPr>
              <w:t>individual loans</w:t>
            </w:r>
          </w:p>
        </w:tc>
        <w:tc>
          <w:tcPr>
            <w:tcW w:w="220" w:type="dxa"/>
            <w:vAlign w:val="bottom"/>
          </w:tcPr>
          <w:p>
            <w:pPr>
              <w:spacing w:after="0"/>
              <w:rPr>
                <w:sz w:val="18"/>
                <w:szCs w:val="18"/>
                <w:color w:val="auto"/>
              </w:rPr>
            </w:pPr>
          </w:p>
        </w:tc>
        <w:tc>
          <w:tcPr>
            <w:tcW w:w="1120" w:type="dxa"/>
            <w:vAlign w:val="bottom"/>
          </w:tcPr>
          <w:p>
            <w:pPr>
              <w:jc w:val="center"/>
              <w:ind w:right="250"/>
              <w:spacing w:after="0"/>
              <w:rPr>
                <w:sz w:val="20"/>
                <w:szCs w:val="20"/>
                <w:color w:val="auto"/>
              </w:rPr>
            </w:pPr>
            <w:r>
              <w:rPr>
                <w:rFonts w:ascii="Arial" w:cs="Arial" w:eastAsia="Arial" w:hAnsi="Arial"/>
                <w:sz w:val="18"/>
                <w:szCs w:val="18"/>
                <w:color w:val="auto"/>
                <w:w w:val="98"/>
              </w:rPr>
              <w:t>Monthly</w:t>
            </w:r>
          </w:p>
        </w:tc>
      </w:tr>
      <w:tr>
        <w:trPr>
          <w:trHeight w:val="394"/>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ind w:left="680"/>
              <w:spacing w:after="0"/>
              <w:rPr>
                <w:sz w:val="20"/>
                <w:szCs w:val="20"/>
                <w:color w:val="auto"/>
              </w:rPr>
            </w:pPr>
            <w:r>
              <w:rPr>
                <w:rFonts w:ascii="Arial" w:cs="Arial" w:eastAsia="Arial" w:hAnsi="Arial"/>
                <w:sz w:val="18"/>
                <w:szCs w:val="18"/>
                <w:color w:val="auto"/>
              </w:rPr>
              <w:t>N/A</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center"/>
              <w:ind w:left="370"/>
              <w:spacing w:after="0"/>
              <w:rPr>
                <w:sz w:val="20"/>
                <w:szCs w:val="20"/>
                <w:color w:val="auto"/>
              </w:rPr>
            </w:pPr>
            <w:r>
              <w:rPr>
                <w:rFonts w:ascii="Arial" w:cs="Arial" w:eastAsia="Arial" w:hAnsi="Arial"/>
                <w:sz w:val="18"/>
                <w:szCs w:val="18"/>
                <w:color w:val="auto"/>
                <w:w w:val="83"/>
              </w:rPr>
              <w:t>36,611</w:t>
            </w:r>
            <w:r>
              <w:rPr>
                <w:rFonts w:ascii="Arial" w:cs="Arial" w:eastAsia="Arial" w:hAnsi="Arial"/>
                <w:sz w:val="29"/>
                <w:szCs w:val="29"/>
                <w:color w:val="auto"/>
                <w:w w:val="83"/>
                <w:vertAlign w:val="superscript"/>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-4553585</wp:posOffset>
            </wp:positionH>
            <wp:positionV relativeFrom="paragraph">
              <wp:posOffset>-1371600</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-4553585</wp:posOffset>
            </wp:positionH>
            <wp:positionV relativeFrom="paragraph">
              <wp:posOffset>-1097280</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-4553585</wp:posOffset>
            </wp:positionH>
            <wp:positionV relativeFrom="paragraph">
              <wp:posOffset>-822960</wp:posOffset>
            </wp:positionV>
            <wp:extent cx="7132320" cy="3086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-4553585</wp:posOffset>
            </wp:positionH>
            <wp:positionV relativeFrom="paragraph">
              <wp:posOffset>-240030</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8" w:lineRule="exact"/>
        <w:rPr>
          <w:sz w:val="20"/>
          <w:szCs w:val="20"/>
          <w:color w:val="auto"/>
        </w:rPr>
      </w:pPr>
    </w:p>
    <w:p>
      <w:pPr>
        <w:sectPr>
          <w:pgSz w:w="11900" w:h="16838" w:orient="portrait"/>
          <w:cols w:equalWidth="0" w:num="2">
            <w:col w:w="6460" w:space="720"/>
            <w:col w:w="4060"/>
          </w:cols>
          <w:pgMar w:left="320" w:top="122" w:right="339" w:bottom="1440" w:gutter="0" w:footer="0" w:header="0"/>
          <w:type w:val="continuous"/>
        </w:sectPr>
      </w:pPr>
    </w:p>
    <w:p>
      <w:pPr>
        <w:ind w:left="660" w:right="20" w:hanging="328"/>
        <w:spacing w:after="0" w:line="202" w:lineRule="auto"/>
        <w:tabs>
          <w:tab w:leader="none" w:pos="660" w:val="left"/>
        </w:tabs>
        <w:numPr>
          <w:ilvl w:val="0"/>
          <w:numId w:val="3"/>
        </w:numPr>
        <w:rPr>
          <w:rFonts w:ascii="Arial" w:cs="Arial" w:eastAsia="Arial" w:hAnsi="Arial"/>
          <w:sz w:val="29"/>
          <w:szCs w:val="29"/>
          <w:color w:val="auto"/>
          <w:vertAlign w:val="superscript"/>
        </w:rPr>
      </w:pPr>
      <w:r>
        <w:rPr>
          <w:rFonts w:ascii="Arial" w:cs="Arial" w:eastAsia="Arial" w:hAnsi="Arial"/>
          <w:sz w:val="17"/>
          <w:szCs w:val="17"/>
          <w:color w:val="auto"/>
        </w:rPr>
        <w:t>During the three-month period ended April 30, 2023, we repaid the entire balance of 26.4 million RMB (approximately $3.9 million) remaining on the loan, of which, 2.0 million RMB was due to be paid in June 2025 and 24.4 million RMB was due to be paid in December 2025.</w:t>
      </w:r>
    </w:p>
    <w:p>
      <w:pPr>
        <w:spacing w:after="0" w:line="1" w:lineRule="exact"/>
        <w:rPr>
          <w:rFonts w:ascii="Arial" w:cs="Arial" w:eastAsia="Arial" w:hAnsi="Arial"/>
          <w:sz w:val="29"/>
          <w:szCs w:val="29"/>
          <w:color w:val="auto"/>
          <w:vertAlign w:val="superscript"/>
        </w:rPr>
      </w:pPr>
    </w:p>
    <w:p>
      <w:pPr>
        <w:ind w:left="660" w:hanging="328"/>
        <w:spacing w:after="0" w:line="180" w:lineRule="auto"/>
        <w:tabs>
          <w:tab w:leader="none" w:pos="660" w:val="left"/>
        </w:tabs>
        <w:numPr>
          <w:ilvl w:val="0"/>
          <w:numId w:val="3"/>
        </w:numPr>
        <w:rPr>
          <w:rFonts w:ascii="Arial" w:cs="Arial" w:eastAsia="Arial" w:hAnsi="Arial"/>
          <w:sz w:val="25"/>
          <w:szCs w:val="25"/>
          <w:color w:val="auto"/>
          <w:vertAlign w:val="superscript"/>
        </w:rPr>
      </w:pPr>
      <w:r>
        <w:rPr>
          <w:rFonts w:ascii="Arial" w:cs="Arial" w:eastAsia="Arial" w:hAnsi="Arial"/>
          <w:sz w:val="15"/>
          <w:szCs w:val="15"/>
          <w:color w:val="auto"/>
        </w:rPr>
        <w:t>Represents the carrying amount at the balance sheet date of the related ROU assets, in which the lessors have secured interests.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Arial" w:cs="Arial" w:eastAsia="Arial" w:hAnsi="Arial"/>
                <w:sz w:val="14"/>
                <w:szCs w:val="14"/>
                <w:i w:val="1"/>
                <w:iCs w:val="1"/>
                <w:color w:val="0000EE"/>
                <w:w w:val="90"/>
              </w:rPr>
              <w:t>Table of Contents</w:t>
            </w:r>
          </w:p>
        </w:tc>
        <w:tc>
          <w:tcPr>
            <w:tcW w:w="4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85"/>
        </w:trPr>
        <w:tc>
          <w:tcPr>
            <w:tcW w:w="6480" w:type="dxa"/>
            <w:vAlign w:val="bottom"/>
            <w:gridSpan w:val="6"/>
          </w:tcPr>
          <w:p>
            <w:pPr>
              <w:ind w:left="340"/>
              <w:spacing w:after="0"/>
              <w:rPr>
                <w:sz w:val="20"/>
                <w:szCs w:val="20"/>
                <w:color w:val="auto"/>
              </w:rPr>
            </w:pPr>
            <w:r>
              <w:rPr>
                <w:rFonts w:ascii="Arial" w:cs="Arial" w:eastAsia="Arial" w:hAnsi="Arial"/>
                <w:sz w:val="18"/>
                <w:szCs w:val="18"/>
                <w:color w:val="auto"/>
                <w:w w:val="92"/>
              </w:rPr>
              <w:t>The table below provides information on our long-term debt as of October 31, 2022.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0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Xiamen</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Xiamen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Arial" w:cs="Arial" w:eastAsia="Arial" w:hAnsi="Arial"/>
                <w:sz w:val="18"/>
                <w:szCs w:val="18"/>
                <w:b w:val="1"/>
                <w:bCs w:val="1"/>
                <w:color w:val="auto"/>
                <w:w w:val="94"/>
              </w:rPr>
              <w:t>Working</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jc w:val="right"/>
              <w:ind w:right="430"/>
              <w:spacing w:after="0"/>
              <w:rPr>
                <w:sz w:val="20"/>
                <w:szCs w:val="20"/>
                <w:color w:val="auto"/>
              </w:rPr>
            </w:pPr>
            <w:r>
              <w:rPr>
                <w:rFonts w:ascii="Arial" w:cs="Arial" w:eastAsia="Arial" w:hAnsi="Arial"/>
                <w:sz w:val="18"/>
                <w:szCs w:val="18"/>
                <w:b w:val="1"/>
                <w:bCs w:val="1"/>
                <w:color w:val="auto"/>
              </w:rPr>
              <w:t>Finance</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1020" w:type="dxa"/>
            <w:vAlign w:val="bottom"/>
          </w:tcPr>
          <w:p>
            <w:pPr>
              <w:spacing w:after="0"/>
              <w:rPr>
                <w:sz w:val="20"/>
                <w:szCs w:val="20"/>
                <w:color w:val="auto"/>
              </w:rPr>
            </w:pPr>
          </w:p>
        </w:tc>
        <w:tc>
          <w:tcPr>
            <w:tcW w:w="4060" w:type="dxa"/>
            <w:vAlign w:val="bottom"/>
          </w:tcPr>
          <w:p>
            <w:pPr>
              <w:ind w:left="640"/>
              <w:spacing w:after="0"/>
              <w:rPr>
                <w:sz w:val="20"/>
                <w:szCs w:val="20"/>
                <w:color w:val="auto"/>
              </w:rPr>
            </w:pPr>
            <w:r>
              <w:rPr>
                <w:rFonts w:ascii="Arial" w:cs="Arial" w:eastAsia="Arial" w:hAnsi="Arial"/>
                <w:sz w:val="18"/>
                <w:szCs w:val="18"/>
                <w:b w:val="1"/>
                <w:bCs w:val="1"/>
                <w:color w:val="auto"/>
              </w:rPr>
              <w:t>As of October 31, 2022</w:t>
            </w:r>
          </w:p>
        </w:tc>
        <w:tc>
          <w:tcPr>
            <w:tcW w:w="100" w:type="dxa"/>
            <w:vAlign w:val="bottom"/>
          </w:tcPr>
          <w:p>
            <w:pPr>
              <w:spacing w:after="0"/>
              <w:rPr>
                <w:sz w:val="20"/>
                <w:szCs w:val="20"/>
                <w:color w:val="auto"/>
              </w:rPr>
            </w:pPr>
          </w:p>
        </w:tc>
        <w:tc>
          <w:tcPr>
            <w:tcW w:w="130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0"/>
              </w:rPr>
              <w:t>Project Loans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Capital Loans</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Leases</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r>
      <w:tr>
        <w:trPr>
          <w:trHeight w:val="216"/>
        </w:trPr>
        <w:tc>
          <w:tcPr>
            <w:tcW w:w="50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Principal due:</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Next 12 months</w:t>
            </w:r>
          </w:p>
        </w:tc>
        <w:tc>
          <w:tcPr>
            <w:tcW w:w="28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3,512</w:t>
            </w:r>
          </w:p>
        </w:tc>
        <w:tc>
          <w:tcPr>
            <w:tcW w:w="5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6,512</w:t>
            </w:r>
          </w:p>
        </w:tc>
        <w:tc>
          <w:tcPr>
            <w:tcW w:w="4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10,024</w:t>
            </w:r>
          </w:p>
        </w:tc>
      </w:tr>
      <w:tr>
        <w:trPr>
          <w:trHeight w:val="27"/>
        </w:trPr>
        <w:tc>
          <w:tcPr>
            <w:tcW w:w="1020" w:type="dxa"/>
            <w:vAlign w:val="bottom"/>
            <w:shd w:val="clear" w:color="auto" w:fill="CCEEFF"/>
          </w:tcPr>
          <w:p>
            <w:pPr>
              <w:spacing w:after="0"/>
              <w:rPr>
                <w:sz w:val="2"/>
                <w:szCs w:val="2"/>
                <w:color w:val="auto"/>
              </w:rPr>
            </w:pPr>
          </w:p>
        </w:tc>
        <w:tc>
          <w:tcPr>
            <w:tcW w:w="4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Months 13 – 24</w:t>
            </w:r>
          </w:p>
        </w:tc>
        <w:tc>
          <w:tcPr>
            <w:tcW w:w="280" w:type="dxa"/>
            <w:vAlign w:val="bottom"/>
            <w:gridSpan w:val="2"/>
          </w:tcPr>
          <w:p>
            <w:pPr>
              <w:jc w:val="right"/>
              <w:ind w:right="18"/>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6,610</w:t>
            </w:r>
          </w:p>
        </w:tc>
        <w:tc>
          <w:tcPr>
            <w:tcW w:w="4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6,610</w:t>
            </w: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Months 25 – 36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17,961</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19,059</w:t>
            </w:r>
          </w:p>
        </w:tc>
      </w:tr>
      <w:tr>
        <w:trPr>
          <w:trHeight w:val="223"/>
        </w:trPr>
        <w:tc>
          <w:tcPr>
            <w:tcW w:w="5080" w:type="dxa"/>
            <w:vAlign w:val="bottom"/>
            <w:gridSpan w:val="2"/>
          </w:tcPr>
          <w:p>
            <w:pPr>
              <w:spacing w:after="0"/>
              <w:rPr>
                <w:sz w:val="20"/>
                <w:szCs w:val="20"/>
                <w:color w:val="auto"/>
              </w:rPr>
            </w:pPr>
            <w:r>
              <w:rPr>
                <w:rFonts w:ascii="Arial" w:cs="Arial" w:eastAsia="Arial" w:hAnsi="Arial"/>
                <w:sz w:val="18"/>
                <w:szCs w:val="18"/>
                <w:color w:val="auto"/>
              </w:rPr>
              <w:t>Months 37 – 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6,641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6,641</w:t>
            </w:r>
          </w:p>
        </w:tc>
      </w:tr>
      <w:tr>
        <w:trPr>
          <w:trHeight w:val="257"/>
        </w:trPr>
        <w:tc>
          <w:tcPr>
            <w:tcW w:w="5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7,739</w:t>
            </w:r>
          </w:p>
        </w:tc>
        <w:tc>
          <w:tcPr>
            <w:tcW w:w="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24,571</w:t>
            </w:r>
          </w:p>
        </w:tc>
        <w:tc>
          <w:tcPr>
            <w:tcW w:w="2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32,310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1240"/>
          </w:cols>
          <w:pgMar w:left="320" w:top="114" w:right="3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Interest rate at balance sheet date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Basis spread on interest rates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Interest rate reset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Maturity date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Periodic payment amount</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Periodic payment frequency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Loan collateral (carrying amount)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w w:val="94"/>
              </w:rPr>
              <w:t>4.30% - 4.45%</w:t>
            </w:r>
          </w:p>
        </w:tc>
        <w:tc>
          <w:tcPr>
            <w:tcW w:w="1580" w:type="dxa"/>
            <w:vAlign w:val="bottom"/>
          </w:tcPr>
          <w:p>
            <w:pPr>
              <w:jc w:val="right"/>
              <w:spacing w:after="0"/>
              <w:rPr>
                <w:sz w:val="20"/>
                <w:szCs w:val="20"/>
                <w:color w:val="auto"/>
              </w:rPr>
            </w:pPr>
            <w:r>
              <w:rPr>
                <w:rFonts w:ascii="Arial" w:cs="Arial" w:eastAsia="Arial" w:hAnsi="Arial"/>
                <w:sz w:val="18"/>
                <w:szCs w:val="18"/>
                <w:color w:val="auto"/>
              </w:rPr>
              <w:t>4.46%</w:t>
            </w:r>
          </w:p>
        </w:tc>
        <w:tc>
          <w:tcPr>
            <w:tcW w:w="360" w:type="dxa"/>
            <w:vAlign w:val="bottom"/>
          </w:tcPr>
          <w:p>
            <w:pPr>
              <w:spacing w:after="0"/>
              <w:rPr>
                <w:sz w:val="18"/>
                <w:szCs w:val="18"/>
                <w:color w:val="auto"/>
              </w:rPr>
            </w:pP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N/A</w:t>
            </w:r>
          </w:p>
        </w:tc>
      </w:tr>
      <w:tr>
        <w:trPr>
          <w:trHeight w:val="216"/>
        </w:trPr>
        <w:tc>
          <w:tcPr>
            <w:tcW w:w="140" w:type="dxa"/>
            <w:vAlign w:val="bottom"/>
          </w:tcPr>
          <w:p>
            <w:pPr>
              <w:spacing w:after="0"/>
              <w:rPr>
                <w:sz w:val="18"/>
                <w:szCs w:val="18"/>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0.00</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76</w:t>
            </w:r>
          </w:p>
        </w:tc>
        <w:tc>
          <w:tcPr>
            <w:tcW w:w="360" w:type="dxa"/>
            <w:vAlign w:val="bottom"/>
          </w:tcPr>
          <w:p>
            <w:pPr>
              <w:spacing w:after="0"/>
              <w:rPr>
                <w:sz w:val="18"/>
                <w:szCs w:val="18"/>
                <w:color w:val="auto"/>
              </w:rPr>
            </w:pP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N/A</w:t>
            </w:r>
          </w:p>
        </w:tc>
      </w:tr>
      <w:tr>
        <w:trPr>
          <w:trHeight w:val="216"/>
        </w:trPr>
        <w:tc>
          <w:tcPr>
            <w:tcW w:w="140" w:type="dxa"/>
            <w:vAlign w:val="bottom"/>
          </w:tcPr>
          <w:p>
            <w:pPr>
              <w:spacing w:after="0"/>
              <w:rPr>
                <w:sz w:val="18"/>
                <w:szCs w:val="18"/>
                <w:color w:val="auto"/>
              </w:rPr>
            </w:pPr>
          </w:p>
        </w:tc>
        <w:tc>
          <w:tcPr>
            <w:tcW w:w="1200" w:type="dxa"/>
            <w:vAlign w:val="bottom"/>
          </w:tcPr>
          <w:p>
            <w:pPr>
              <w:jc w:val="center"/>
              <w:ind w:right="270"/>
              <w:spacing w:after="0"/>
              <w:rPr>
                <w:sz w:val="20"/>
                <w:szCs w:val="20"/>
                <w:color w:val="auto"/>
              </w:rPr>
            </w:pPr>
            <w:r>
              <w:rPr>
                <w:rFonts w:ascii="Arial" w:cs="Arial" w:eastAsia="Arial" w:hAnsi="Arial"/>
                <w:sz w:val="18"/>
                <w:szCs w:val="18"/>
                <w:color w:val="auto"/>
                <w:w w:val="91"/>
              </w:rPr>
              <w:t>Quarterly</w:t>
            </w:r>
          </w:p>
        </w:tc>
        <w:tc>
          <w:tcPr>
            <w:tcW w:w="1580" w:type="dxa"/>
            <w:vAlign w:val="bottom"/>
          </w:tcPr>
          <w:p>
            <w:pPr>
              <w:jc w:val="center"/>
              <w:ind w:right="70"/>
              <w:spacing w:after="0"/>
              <w:rPr>
                <w:sz w:val="20"/>
                <w:szCs w:val="20"/>
                <w:color w:val="auto"/>
              </w:rPr>
            </w:pPr>
            <w:r>
              <w:rPr>
                <w:rFonts w:ascii="Arial" w:cs="Arial" w:eastAsia="Arial" w:hAnsi="Arial"/>
                <w:sz w:val="18"/>
                <w:szCs w:val="18"/>
                <w:color w:val="auto"/>
                <w:w w:val="97"/>
              </w:rPr>
              <w:t>Monthly/Annually</w:t>
            </w:r>
          </w:p>
        </w:tc>
        <w:tc>
          <w:tcPr>
            <w:tcW w:w="360" w:type="dxa"/>
            <w:vAlign w:val="bottom"/>
          </w:tcPr>
          <w:p>
            <w:pPr>
              <w:spacing w:after="0"/>
              <w:rPr>
                <w:sz w:val="18"/>
                <w:szCs w:val="18"/>
                <w:color w:val="auto"/>
              </w:rPr>
            </w:pP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N/A</w:t>
            </w:r>
          </w:p>
        </w:tc>
      </w:tr>
      <w:tr>
        <w:trPr>
          <w:trHeight w:val="216"/>
        </w:trPr>
        <w:tc>
          <w:tcPr>
            <w:tcW w:w="140" w:type="dxa"/>
            <w:vAlign w:val="bottom"/>
          </w:tcPr>
          <w:p>
            <w:pPr>
              <w:spacing w:after="0"/>
              <w:rPr>
                <w:sz w:val="18"/>
                <w:szCs w:val="18"/>
                <w:color w:val="auto"/>
              </w:rPr>
            </w:pPr>
          </w:p>
        </w:tc>
        <w:tc>
          <w:tcPr>
            <w:tcW w:w="1200" w:type="dxa"/>
            <w:vAlign w:val="bottom"/>
          </w:tcPr>
          <w:p>
            <w:pPr>
              <w:jc w:val="center"/>
              <w:ind w:right="250"/>
              <w:spacing w:after="0"/>
              <w:rPr>
                <w:sz w:val="20"/>
                <w:szCs w:val="20"/>
                <w:color w:val="auto"/>
              </w:rPr>
            </w:pPr>
            <w:r>
              <w:rPr>
                <w:rFonts w:ascii="Arial" w:cs="Arial" w:eastAsia="Arial" w:hAnsi="Arial"/>
                <w:sz w:val="18"/>
                <w:szCs w:val="18"/>
                <w:color w:val="auto"/>
                <w:w w:val="89"/>
              </w:rPr>
              <w:t>December</w:t>
            </w: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1200" w:type="dxa"/>
            <w:vAlign w:val="bottom"/>
          </w:tcPr>
          <w:p>
            <w:pPr>
              <w:jc w:val="center"/>
              <w:ind w:right="270"/>
              <w:spacing w:after="0"/>
              <w:rPr>
                <w:sz w:val="20"/>
                <w:szCs w:val="20"/>
                <w:color w:val="auto"/>
              </w:rPr>
            </w:pPr>
            <w:r>
              <w:rPr>
                <w:rFonts w:ascii="Arial" w:cs="Arial" w:eastAsia="Arial" w:hAnsi="Arial"/>
                <w:sz w:val="18"/>
                <w:szCs w:val="18"/>
                <w:color w:val="auto"/>
                <w:w w:val="89"/>
              </w:rPr>
              <w:t>2025</w:t>
            </w:r>
          </w:p>
        </w:tc>
        <w:tc>
          <w:tcPr>
            <w:tcW w:w="1580" w:type="dxa"/>
            <w:vAlign w:val="bottom"/>
          </w:tcPr>
          <w:p>
            <w:pPr>
              <w:jc w:val="center"/>
              <w:ind w:right="70"/>
              <w:spacing w:after="0"/>
              <w:rPr>
                <w:sz w:val="20"/>
                <w:szCs w:val="20"/>
                <w:color w:val="auto"/>
              </w:rPr>
            </w:pPr>
            <w:r>
              <w:rPr>
                <w:rFonts w:ascii="Arial" w:cs="Arial" w:eastAsia="Arial" w:hAnsi="Arial"/>
                <w:sz w:val="18"/>
                <w:szCs w:val="18"/>
                <w:color w:val="auto"/>
                <w:w w:val="90"/>
              </w:rPr>
              <w:t>July 2023</w:t>
            </w:r>
          </w:p>
        </w:tc>
        <w:tc>
          <w:tcPr>
            <w:tcW w:w="360" w:type="dxa"/>
            <w:vAlign w:val="bottom"/>
          </w:tcPr>
          <w:p>
            <w:pPr>
              <w:spacing w:after="0"/>
              <w:rPr>
                <w:sz w:val="18"/>
                <w:szCs w:val="18"/>
                <w:color w:val="auto"/>
              </w:rPr>
            </w:pP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N/A</w:t>
            </w:r>
          </w:p>
        </w:tc>
      </w:tr>
      <w:tr>
        <w:trPr>
          <w:trHeight w:val="230"/>
        </w:trPr>
        <w:tc>
          <w:tcPr>
            <w:tcW w:w="1340" w:type="dxa"/>
            <w:vAlign w:val="bottom"/>
            <w:gridSpan w:val="2"/>
          </w:tcPr>
          <w:p>
            <w:pPr>
              <w:jc w:val="center"/>
              <w:ind w:right="130"/>
              <w:spacing w:after="0"/>
              <w:rPr>
                <w:sz w:val="20"/>
                <w:szCs w:val="20"/>
                <w:color w:val="auto"/>
              </w:rPr>
            </w:pPr>
            <w:r>
              <w:rPr>
                <w:rFonts w:ascii="Arial" w:cs="Arial" w:eastAsia="Arial" w:hAnsi="Arial"/>
                <w:sz w:val="18"/>
                <w:szCs w:val="18"/>
                <w:color w:val="auto"/>
                <w:w w:val="87"/>
              </w:rPr>
              <w:t>Varies as loans</w:t>
            </w:r>
          </w:p>
        </w:tc>
        <w:tc>
          <w:tcPr>
            <w:tcW w:w="1580" w:type="dxa"/>
            <w:vAlign w:val="bottom"/>
          </w:tcPr>
          <w:p>
            <w:pPr>
              <w:jc w:val="center"/>
              <w:ind w:right="70"/>
              <w:spacing w:after="0"/>
              <w:rPr>
                <w:sz w:val="20"/>
                <w:szCs w:val="20"/>
                <w:color w:val="auto"/>
              </w:rPr>
            </w:pPr>
            <w:r>
              <w:rPr>
                <w:rFonts w:ascii="Arial" w:cs="Arial" w:eastAsia="Arial" w:hAnsi="Arial"/>
                <w:sz w:val="18"/>
                <w:szCs w:val="18"/>
                <w:color w:val="auto"/>
                <w:w w:val="86"/>
              </w:rPr>
              <w:t>Increases as loans</w:t>
            </w:r>
          </w:p>
        </w:tc>
        <w:tc>
          <w:tcPr>
            <w:tcW w:w="36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56"/>
        </w:trPr>
        <w:tc>
          <w:tcPr>
            <w:tcW w:w="140" w:type="dxa"/>
            <w:vAlign w:val="bottom"/>
          </w:tcPr>
          <w:p>
            <w:pPr>
              <w:spacing w:after="0"/>
              <w:rPr>
                <w:sz w:val="22"/>
                <w:szCs w:val="22"/>
                <w:color w:val="auto"/>
              </w:rPr>
            </w:pPr>
          </w:p>
        </w:tc>
        <w:tc>
          <w:tcPr>
            <w:tcW w:w="1200" w:type="dxa"/>
            <w:vAlign w:val="bottom"/>
          </w:tcPr>
          <w:p>
            <w:pPr>
              <w:jc w:val="center"/>
              <w:ind w:right="270"/>
              <w:spacing w:after="0" w:line="255" w:lineRule="exact"/>
              <w:rPr>
                <w:sz w:val="20"/>
                <w:szCs w:val="20"/>
                <w:color w:val="auto"/>
              </w:rPr>
            </w:pPr>
            <w:r>
              <w:rPr>
                <w:rFonts w:ascii="Arial" w:cs="Arial" w:eastAsia="Arial" w:hAnsi="Arial"/>
                <w:sz w:val="18"/>
                <w:szCs w:val="18"/>
                <w:color w:val="auto"/>
                <w:w w:val="85"/>
              </w:rPr>
              <w:t xml:space="preserve">mature </w:t>
            </w:r>
            <w:r>
              <w:rPr>
                <w:rFonts w:ascii="Arial" w:cs="Arial" w:eastAsia="Arial" w:hAnsi="Arial"/>
                <w:sz w:val="29"/>
                <w:szCs w:val="29"/>
                <w:color w:val="auto"/>
                <w:w w:val="85"/>
                <w:vertAlign w:val="superscript"/>
              </w:rPr>
              <w:t>(1)</w:t>
            </w:r>
          </w:p>
        </w:tc>
        <w:tc>
          <w:tcPr>
            <w:tcW w:w="1580" w:type="dxa"/>
            <w:vAlign w:val="bottom"/>
          </w:tcPr>
          <w:p>
            <w:pPr>
              <w:jc w:val="center"/>
              <w:ind w:right="70"/>
              <w:spacing w:after="0"/>
              <w:rPr>
                <w:sz w:val="20"/>
                <w:szCs w:val="20"/>
                <w:color w:val="auto"/>
              </w:rPr>
            </w:pPr>
            <w:r>
              <w:rPr>
                <w:rFonts w:ascii="Arial" w:cs="Arial" w:eastAsia="Arial" w:hAnsi="Arial"/>
                <w:sz w:val="18"/>
                <w:szCs w:val="18"/>
                <w:color w:val="auto"/>
                <w:w w:val="89"/>
              </w:rPr>
              <w:t>mature</w:t>
            </w:r>
          </w:p>
        </w:tc>
        <w:tc>
          <w:tcPr>
            <w:tcW w:w="1900" w:type="dxa"/>
            <w:vAlign w:val="bottom"/>
            <w:gridSpan w:val="2"/>
          </w:tcPr>
          <w:p>
            <w:pPr>
              <w:jc w:val="right"/>
              <w:ind w:right="90"/>
              <w:spacing w:after="0"/>
              <w:rPr>
                <w:sz w:val="20"/>
                <w:szCs w:val="20"/>
                <w:color w:val="auto"/>
              </w:rPr>
            </w:pPr>
            <w:r>
              <w:rPr>
                <w:rFonts w:ascii="Arial" w:cs="Arial" w:eastAsia="Arial" w:hAnsi="Arial"/>
                <w:sz w:val="18"/>
                <w:szCs w:val="18"/>
                <w:color w:val="auto"/>
                <w:w w:val="88"/>
              </w:rPr>
              <w:t>Varies as leases mature</w:t>
            </w:r>
          </w:p>
        </w:tc>
      </w:tr>
      <w:tr>
        <w:trPr>
          <w:trHeight w:val="216"/>
        </w:trPr>
        <w:tc>
          <w:tcPr>
            <w:tcW w:w="1340" w:type="dxa"/>
            <w:vAlign w:val="bottom"/>
            <w:gridSpan w:val="2"/>
          </w:tcPr>
          <w:p>
            <w:pPr>
              <w:jc w:val="center"/>
              <w:ind w:right="130"/>
              <w:spacing w:after="0"/>
              <w:rPr>
                <w:sz w:val="20"/>
                <w:szCs w:val="20"/>
                <w:color w:val="auto"/>
              </w:rPr>
            </w:pPr>
            <w:r>
              <w:rPr>
                <w:rFonts w:ascii="Arial" w:cs="Arial" w:eastAsia="Arial" w:hAnsi="Arial"/>
                <w:sz w:val="18"/>
                <w:szCs w:val="18"/>
                <w:color w:val="auto"/>
                <w:w w:val="89"/>
              </w:rPr>
              <w:t>Semiannual, on</w:t>
            </w: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1200" w:type="dxa"/>
            <w:vAlign w:val="bottom"/>
          </w:tcPr>
          <w:p>
            <w:pPr>
              <w:jc w:val="center"/>
              <w:ind w:right="270"/>
              <w:spacing w:after="0"/>
              <w:rPr>
                <w:sz w:val="20"/>
                <w:szCs w:val="20"/>
                <w:color w:val="auto"/>
              </w:rPr>
            </w:pPr>
            <w:r>
              <w:rPr>
                <w:rFonts w:ascii="Arial" w:cs="Arial" w:eastAsia="Arial" w:hAnsi="Arial"/>
                <w:sz w:val="18"/>
                <w:szCs w:val="18"/>
                <w:color w:val="auto"/>
                <w:w w:val="95"/>
              </w:rPr>
              <w:t>individual</w:t>
            </w:r>
          </w:p>
        </w:tc>
        <w:tc>
          <w:tcPr>
            <w:tcW w:w="1580" w:type="dxa"/>
            <w:vAlign w:val="bottom"/>
          </w:tcPr>
          <w:p>
            <w:pPr>
              <w:jc w:val="center"/>
              <w:ind w:right="50"/>
              <w:spacing w:after="0"/>
              <w:rPr>
                <w:sz w:val="20"/>
                <w:szCs w:val="20"/>
                <w:color w:val="auto"/>
              </w:rPr>
            </w:pPr>
            <w:r>
              <w:rPr>
                <w:rFonts w:ascii="Arial" w:cs="Arial" w:eastAsia="Arial" w:hAnsi="Arial"/>
                <w:sz w:val="18"/>
                <w:szCs w:val="18"/>
                <w:color w:val="auto"/>
                <w:w w:val="89"/>
              </w:rPr>
              <w:t>Semiannual, on</w:t>
            </w:r>
          </w:p>
        </w:tc>
        <w:tc>
          <w:tcPr>
            <w:tcW w:w="36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1200" w:type="dxa"/>
            <w:vAlign w:val="bottom"/>
          </w:tcPr>
          <w:p>
            <w:pPr>
              <w:jc w:val="center"/>
              <w:ind w:right="250"/>
              <w:spacing w:after="0"/>
              <w:rPr>
                <w:sz w:val="20"/>
                <w:szCs w:val="20"/>
                <w:color w:val="auto"/>
              </w:rPr>
            </w:pPr>
            <w:r>
              <w:rPr>
                <w:rFonts w:ascii="Arial" w:cs="Arial" w:eastAsia="Arial" w:hAnsi="Arial"/>
                <w:sz w:val="18"/>
                <w:szCs w:val="18"/>
                <w:color w:val="auto"/>
                <w:w w:val="88"/>
              </w:rPr>
              <w:t>loans</w:t>
            </w:r>
          </w:p>
        </w:tc>
        <w:tc>
          <w:tcPr>
            <w:tcW w:w="1580" w:type="dxa"/>
            <w:vAlign w:val="bottom"/>
          </w:tcPr>
          <w:p>
            <w:pPr>
              <w:jc w:val="center"/>
              <w:ind w:right="50"/>
              <w:spacing w:after="0"/>
              <w:rPr>
                <w:sz w:val="20"/>
                <w:szCs w:val="20"/>
                <w:color w:val="auto"/>
              </w:rPr>
            </w:pPr>
            <w:r>
              <w:rPr>
                <w:rFonts w:ascii="Arial" w:cs="Arial" w:eastAsia="Arial" w:hAnsi="Arial"/>
                <w:sz w:val="18"/>
                <w:szCs w:val="18"/>
                <w:color w:val="auto"/>
                <w:w w:val="94"/>
              </w:rPr>
              <w:t>individual loans</w:t>
            </w:r>
          </w:p>
        </w:tc>
        <w:tc>
          <w:tcPr>
            <w:tcW w:w="360" w:type="dxa"/>
            <w:vAlign w:val="bottom"/>
          </w:tcPr>
          <w:p>
            <w:pPr>
              <w:spacing w:after="0"/>
              <w:rPr>
                <w:sz w:val="18"/>
                <w:szCs w:val="18"/>
                <w:color w:val="auto"/>
              </w:rPr>
            </w:pPr>
          </w:p>
        </w:tc>
        <w:tc>
          <w:tcPr>
            <w:tcW w:w="1540" w:type="dxa"/>
            <w:vAlign w:val="bottom"/>
          </w:tcPr>
          <w:p>
            <w:pPr>
              <w:jc w:val="right"/>
              <w:ind w:right="610"/>
              <w:spacing w:after="0"/>
              <w:rPr>
                <w:sz w:val="20"/>
                <w:szCs w:val="20"/>
                <w:color w:val="auto"/>
              </w:rPr>
            </w:pPr>
            <w:r>
              <w:rPr>
                <w:rFonts w:ascii="Arial" w:cs="Arial" w:eastAsia="Arial" w:hAnsi="Arial"/>
                <w:sz w:val="18"/>
                <w:szCs w:val="18"/>
                <w:color w:val="auto"/>
              </w:rPr>
              <w:t>Monthly</w:t>
            </w:r>
          </w:p>
        </w:tc>
      </w:tr>
      <w:tr>
        <w:trPr>
          <w:trHeight w:val="394"/>
        </w:trPr>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70,705</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N/A</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37,976</w:t>
            </w:r>
            <w:r>
              <w:rPr>
                <w:rFonts w:ascii="Arial" w:cs="Arial" w:eastAsia="Arial" w:hAnsi="Arial"/>
                <w:sz w:val="29"/>
                <w:szCs w:val="29"/>
                <w:color w:val="auto"/>
                <w:vertAlign w:val="superscript"/>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-3283585</wp:posOffset>
            </wp:positionH>
            <wp:positionV relativeFrom="paragraph">
              <wp:posOffset>-1645920</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-1371600</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-960120</wp:posOffset>
            </wp:positionV>
            <wp:extent cx="7132320" cy="3086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-240030</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8" w:lineRule="exact"/>
        <w:rPr>
          <w:sz w:val="20"/>
          <w:szCs w:val="20"/>
          <w:color w:val="auto"/>
        </w:rPr>
      </w:pPr>
    </w:p>
    <w:p>
      <w:pPr>
        <w:sectPr>
          <w:pgSz w:w="11900" w:h="16838" w:orient="portrait"/>
          <w:cols w:equalWidth="0" w:num="2">
            <w:col w:w="4460" w:space="720"/>
            <w:col w:w="6060"/>
          </w:cols>
          <w:pgMar w:left="320" w:top="114" w:right="339" w:bottom="1440" w:gutter="0" w:footer="0" w:header="0"/>
          <w:type w:val="continuous"/>
        </w:sectPr>
      </w:pPr>
    </w:p>
    <w:p>
      <w:pPr>
        <w:ind w:left="660" w:right="120" w:hanging="328"/>
        <w:spacing w:after="0" w:line="194" w:lineRule="auto"/>
        <w:tabs>
          <w:tab w:leader="none" w:pos="660" w:val="left"/>
        </w:tabs>
        <w:numPr>
          <w:ilvl w:val="0"/>
          <w:numId w:val="4"/>
        </w:numPr>
        <w:rPr>
          <w:rFonts w:ascii="Arial" w:cs="Arial" w:eastAsia="Arial" w:hAnsi="Arial"/>
          <w:sz w:val="30"/>
          <w:szCs w:val="30"/>
          <w:color w:val="auto"/>
          <w:vertAlign w:val="superscript"/>
        </w:rPr>
      </w:pPr>
      <w:r>
        <w:rPr>
          <w:rFonts w:ascii="Arial" w:cs="Arial" w:eastAsia="Arial" w:hAnsi="Arial"/>
          <w:sz w:val="18"/>
          <w:szCs w:val="18"/>
          <w:color w:val="auto"/>
        </w:rPr>
        <w:t>During the three-month period ended October 31, 2022, we repaid 81.0 million RMB (approximately $11.5 million) that had contractual maturity dates ranging from December 2023 through June 2025.</w:t>
      </w:r>
    </w:p>
    <w:p>
      <w:pPr>
        <w:ind w:left="660" w:hanging="328"/>
        <w:spacing w:after="0" w:line="180" w:lineRule="auto"/>
        <w:tabs>
          <w:tab w:leader="none" w:pos="660" w:val="left"/>
        </w:tabs>
        <w:numPr>
          <w:ilvl w:val="0"/>
          <w:numId w:val="4"/>
        </w:numPr>
        <w:rPr>
          <w:rFonts w:ascii="Arial" w:cs="Arial" w:eastAsia="Arial" w:hAnsi="Arial"/>
          <w:sz w:val="25"/>
          <w:szCs w:val="25"/>
          <w:color w:val="auto"/>
          <w:vertAlign w:val="superscript"/>
        </w:rPr>
      </w:pPr>
      <w:r>
        <w:rPr>
          <w:rFonts w:ascii="Arial" w:cs="Arial" w:eastAsia="Arial" w:hAnsi="Arial"/>
          <w:sz w:val="15"/>
          <w:szCs w:val="15"/>
          <w:color w:val="auto"/>
        </w:rPr>
        <w:t>Represents the carrying amount at the balance sheet date of the related ROU assets, in which the lessors have secured interests.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Leases</w:t>
      </w:r>
    </w:p>
    <w:p>
      <w:pPr>
        <w:spacing w:after="0" w:line="22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February 2021, we entered into a five-year $7.2 million finance lease for a high-end inspection tool. Monthly payments on the lease, which commenced in February 2021, are $0.1 million per month. Upon the payment of the fiftieth monthly payment and prior to payment of the fifty-first monthly payment, we may exercise an early buyout option to purchase the tool for $2.4 million. If we do not exercise the early buyout option, then at the end of the five-year lease term, the lease shall continue to renew on a month-to-month basis at the same rental terms; at our option, after the original term or any renewal periods, we may return the tool, elect to extend the lease, or purchase the tool at its fair market value. Since we are reasonably certain that we will exercise the early buyout option, our lease liability reflects such exercise and we have classified the lease as a finance lease. The interest rate implicit in the lease is 1.08%.</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color w:val="auto"/>
        </w:rPr>
        <w:t>In December 2020, we entered into a five-year $35.5 million finance lease for a high-end lithography tool. Monthly payments on the lease, which commenced in January 2021, increased from $0.04 million during the first three months to $0.6 million for the following nine months, followed by forty-eight monthly payments of $0.5 million. As of the due date of the forty-eighth monthly payment, we may exercise an early buyout option to purchase the tool for $14.1 million. If we do not exercise the early buyout option, then at the end of the five-year lease term, at our option, we may return the tool, elect to extend the lease term for a period and a lease payment to be agreed with lessor at the time, or purchase the tool for its then-fair market value, as determined by the lessor. Since we are reasonably certain that we will exercise the early buyout option, our lease liability reflects such exercise and we have classified the lease as a finance lease. The interest rate implicit in the lease is 1.58%. The lease agreement incorporates the covenants included in our Corporate Credit Agreement, which are detailed below, and includes a cross-default provision for any agreement or instrument with an outstanding, committed balance greater than $5.0 million in which we are the indebted party.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Xiamen Project Loans</w:t>
      </w:r>
    </w:p>
    <w:p>
      <w:pPr>
        <w:spacing w:after="0" w:line="229"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In November 2018, PDMCX obtained approval to borrow 345.0 million RMB from the Industrial and Commercial Bank of China. From November 2018 through July 2020, PDMCX entered into separate loan agreements (the “Project Loans”) for the entire approved amount. In February 2023, PDMCX repaid the entire outstanding balance of 26.4 million RMB ($3.9 million). As of April 30, 2023, PDMCX had no amount outstanding. The Project Loans were used to finance certain capital expenditures at the PDMCX facility and were collateralized by liens granted on the land use right, building, and certain equipment located at the facility. The interest rates on the Project Loans were variable (based on the RMB Loan Prime Rate of the National Interbank Funding Center), and interest incurred on the loans was eligible for reimbursement through incentives provided by the Xiamen Torch Hi-Tech Industrial Development Zone, which provided for such reimbursements up to a prescribed limit and duration. The Project Loans were subject to covenants and provisions, certain of which related to the assets pledged as security for the loans, all of which we were in compliance with as of April 30, 2023.</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Xiamen Working Capital Loans</w:t>
      </w:r>
    </w:p>
    <w:p>
      <w:pPr>
        <w:spacing w:after="0" w:line="225"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In November 2018, PDMCX obtained approval for revolving, unsecured credit of the equivalent of $25.0 million, pursuant to which PDMCX may enter into separate loan agreements with varying terms to maturity. This facility is subject to annual reviews and extensions, with the most recent extension set to expire in November 2023. In December 2022, we repaid our entire outstanding balance of 25.6 million RMB ($3.6 million). As of April 30, 2023, PDMCX had no amount outstanding against the approval. The interest rates are variable, based on the RMB Loan Prime Rate of the National Interbank Funding Center. Interest incurred on the loans related to the amount borrowed was eligible for reimbursement through incentives provided by the Xiamen Torch Hi-Tech Industrial Development Zone, which provided for such reimbursements up to a prescribed limit and duration.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Credit Agreement</w:t>
      </w:r>
    </w:p>
    <w:p>
      <w:pPr>
        <w:spacing w:after="0" w:line="22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September 2018, we entered into a five-year amended and restated credit agreement (the “Credit Agreement”), which has a $50 million borrowing limit, with an expansion capacity to $100 million. The Credit Agreement is secured by substantially all of our assets located in the United States and common stock we own in certain subsidiaries. The Credit Agreement includes covenants around minimum interest coverage ratio, total leverage ratio, and minimum unrestricted cash balance (all of which we were in compliance with at April 30, 2023), and limits the amount of cash dividends, distributions, and redemptions we can pay on our common stock to an aggregate annual amount of $50 million. We had no outstanding borrowings against the Credit Agreement at April 30, 2023. The interest rate on the Credit Agreement (6.02% at April 30, 2023) is based on our total leverage ratio at one-month LIBOR plus a spread, as defined in the Credit Agreement.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Hefei Equipment Loan</w:t>
      </w:r>
    </w:p>
    <w:p>
      <w:pPr>
        <w:spacing w:after="0" w:line="225"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In October 2020, our Hefei, China, facility was approved to borrow 200 million RMB from the China Construction Bank Corporation. In July 2022, we repaid our entire outstanding balance of 120.7 million RMB ($18.0 million). This credit facility was subject to annual reviews and extension; the most recent extension expired in August 2022 and we did not apply for an extension. The loan proceeds were used to fund purchases of two lithography tools at the Hefei facility. The interest rate on the loan was variable and based on the RMB Loan Prime Rate of the National Interbank Funding Center. The borrowings were secured by the Hefei facility, its related land use right, and certain manufacturing equipment. The Hefei Equipment Loan was subject to covenants and provisions, certain of which relate to the assets pledged as security for the loan, including covenants for the ratio of total liabilities to total assets and the ratio of current assets to current liabilities, all of which we were in compliance with at the time of repayment.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REVENUE</w:t>
      </w:r>
    </w:p>
    <w:p>
      <w:pPr>
        <w:spacing w:after="0" w:line="229"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We recognize revenue when, or as, control of a good or service transfers to a customer, in an amount that reflects the consideration to which we expect to be entitled in exchange for transferring those goods or services. We account for an arrangement as a revenue contract when each party has approved and is committed to perform under the contract, the rights of the contracting parties regarding the goods or services to be transferred and the payment terms are identifiable, the arrangement has commercial substance, and collection of consideration is probable. Substantially all of our revenue comes from the sales of photomasks. We typically contract with our customers to sell sets of photomasks, which are comprised of multiple layers, the predominance of which we invoice as they ship to customers. As the photomasks are manufactured to customer specifications, they have no alternative use to us and, as our contracts generally provide us with the right to payment for work completed to date, we recognize revenue as we perform, or “over time”, on most of our contracts. We measure our performance to date using an input method, which is based on our estimated costs to complete the various manufacturing phases of a photomask. At the end of a reporting period, there are a number of uncompleted revenue contracts on which we have performed; for any such contracts under which we are entitled to be compensated for our costs incurred plus a reasonable profit, we recognize revenue and a corresponding contract asset for such performance. We account for shipping and handling activities that we perform after a customer obtains control of a good as being activities to fulfill our promise to transfer the good to the customer, rather than as promised services, or performance obligations, under the contract. We report our revenue net of any sales or similar taxes we collect on behalf of government entities.</w:t>
      </w:r>
    </w:p>
    <w:p>
      <w:pPr>
        <w:spacing w:after="0" w:line="17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As stated above, photomasks are manufactured to customer specifications in accordance with their proprietary designs; thus, they are individually unique. Due to their uniqueness and other factors, their transaction prices are individually established through negotiations with customers; consequently, our photomasks do not have standard or “list” prices. The transaction prices of the vast majority of our revenue contracts include only fixed amounts of consideration. In certain instances, such as when we offer a customer an early payment discount, an estimate of variable consideration would be included in the transaction price, but only to the extent that a significant reversal of revenue would not occur when the uncertainty related to the variability was resolved.</w:t>
      </w:r>
    </w:p>
    <w:p>
      <w:pPr>
        <w:sectPr>
          <w:pgSz w:w="11900" w:h="16838" w:orient="portrait"/>
          <w:cols w:equalWidth="0" w:num="1">
            <w:col w:w="11220"/>
          </w:cols>
          <w:pgMar w:left="320" w:top="122" w:right="359" w:bottom="0" w:gutter="0" w:footer="0" w:header="0"/>
        </w:sectPr>
      </w:pP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Contract Assets, Contract Liabilities, and Accounts Receivable</w:t>
      </w:r>
    </w:p>
    <w:p>
      <w:pPr>
        <w:sectPr>
          <w:pgSz w:w="11900" w:h="16838" w:orient="portrait"/>
          <w:cols w:equalWidth="0" w:num="1">
            <w:col w:w="11220"/>
          </w:cols>
          <w:pgMar w:left="320" w:top="122" w:right="359" w:bottom="0" w:gutter="0" w:footer="0" w:header="0"/>
          <w:type w:val="continuous"/>
        </w:sectPr>
      </w:pPr>
    </w:p>
    <w:bookmarkStart w:id="16" w:name="page17"/>
    <w:bookmarkEnd w:id="16"/>
    <w:p>
      <w:pPr>
        <w:ind w:firstLine="324"/>
        <w:spacing w:after="0" w:line="271" w:lineRule="auto"/>
        <w:rPr>
          <w:sz w:val="20"/>
          <w:szCs w:val="20"/>
          <w:color w:val="auto"/>
        </w:rPr>
      </w:pPr>
      <w:r>
        <w:rPr>
          <w:rFonts w:ascii="Arial" w:cs="Arial" w:eastAsia="Arial" w:hAnsi="Arial"/>
          <w:sz w:val="17"/>
          <w:szCs w:val="17"/>
          <w:color w:val="auto"/>
        </w:rPr>
        <w:t>We recognize a contract asset when our performance under a contract precedes our receipt of consideration from a customer, or before payment is due, and our receipt of consideration is conditional upon factors other than the passage of time. Contract assets reflect our transfer of control of photomasks that are in process or completed but not yet shipped to customers. A receivable is recognized when we have an unconditional right to payment for our performance, which generally occurs when we ship the photomasks. Our contract assets primarily consist of a significant amount of our in-process production orders and fully manufactured photomasks which have not yet shipped, for which we have an enforceable right to collect consideration (including a reasonable profit) in the event the in-process orders are cancelled by customers. On an individual contract basis, we net contract assets with contract liabilities (deferred revenue) for financial reporting purposes. We did not identify impairment indicators for any outstanding contract assets during the three or six-month periods ended April 30, 2023, or May 1, 2022.</w:t>
      </w:r>
    </w:p>
    <w:p>
      <w:pPr>
        <w:spacing w:after="0" w:line="349"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Arial" w:cs="Arial" w:eastAsia="Arial" w:hAnsi="Arial"/>
                <w:sz w:val="14"/>
                <w:szCs w:val="14"/>
                <w:i w:val="1"/>
                <w:iCs w:val="1"/>
                <w:color w:val="0000EE"/>
                <w:w w:val="90"/>
              </w:rPr>
              <w:t>Table of Contents</w:t>
            </w:r>
          </w:p>
        </w:tc>
        <w:tc>
          <w:tcPr>
            <w:tcW w:w="7640" w:type="dxa"/>
            <w:vAlign w:val="bottom"/>
            <w:gridSpan w:val="3"/>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85"/>
        </w:trPr>
        <w:tc>
          <w:tcPr>
            <w:tcW w:w="8660" w:type="dxa"/>
            <w:vAlign w:val="bottom"/>
            <w:gridSpan w:val="4"/>
          </w:tcPr>
          <w:p>
            <w:pPr>
              <w:ind w:left="340"/>
              <w:spacing w:after="0"/>
              <w:rPr>
                <w:sz w:val="20"/>
                <w:szCs w:val="20"/>
                <w:color w:val="auto"/>
              </w:rPr>
            </w:pPr>
            <w:r>
              <w:rPr>
                <w:rFonts w:ascii="Arial" w:cs="Arial" w:eastAsia="Arial" w:hAnsi="Arial"/>
                <w:sz w:val="18"/>
                <w:szCs w:val="18"/>
                <w:color w:val="auto"/>
              </w:rPr>
              <w:t>The following table provides information about our contract balances at the balance sheet dates.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b w:val="1"/>
                <w:bCs w:val="1"/>
                <w:color w:val="auto"/>
              </w:rPr>
              <w:t>April 30,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w w:val="90"/>
              </w:rPr>
              <w:t>October 31,</w:t>
            </w:r>
          </w:p>
        </w:tc>
        <w:tc>
          <w:tcPr>
            <w:tcW w:w="100" w:type="dxa"/>
            <w:vAlign w:val="bottom"/>
          </w:tcPr>
          <w:p>
            <w:pPr>
              <w:spacing w:after="0"/>
              <w:rPr>
                <w:sz w:val="24"/>
                <w:szCs w:val="24"/>
                <w:color w:val="auto"/>
              </w:rPr>
            </w:pPr>
          </w:p>
        </w:tc>
      </w:tr>
      <w:tr>
        <w:trPr>
          <w:trHeight w:val="241"/>
        </w:trPr>
        <w:tc>
          <w:tcPr>
            <w:tcW w:w="8660" w:type="dxa"/>
            <w:vAlign w:val="bottom"/>
            <w:gridSpan w:val="4"/>
          </w:tcPr>
          <w:p>
            <w:pPr>
              <w:spacing w:after="0"/>
              <w:rPr>
                <w:sz w:val="20"/>
                <w:szCs w:val="20"/>
                <w:color w:val="auto"/>
              </w:rPr>
            </w:pPr>
            <w:r>
              <w:rPr>
                <w:rFonts w:ascii="Arial" w:cs="Arial" w:eastAsia="Arial" w:hAnsi="Arial"/>
                <w:sz w:val="18"/>
                <w:szCs w:val="18"/>
                <w:b w:val="1"/>
                <w:bCs w:val="1"/>
                <w:color w:val="auto"/>
              </w:rPr>
              <w:t>Classification</w:t>
            </w: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176"/>
        </w:trPr>
        <w:tc>
          <w:tcPr>
            <w:tcW w:w="8660" w:type="dxa"/>
            <w:vAlign w:val="bottom"/>
            <w:gridSpan w:val="4"/>
          </w:tcPr>
          <w:p>
            <w:pPr>
              <w:spacing w:after="0" w:line="176" w:lineRule="exact"/>
              <w:rPr>
                <w:sz w:val="20"/>
                <w:szCs w:val="20"/>
                <w:color w:val="auto"/>
              </w:rPr>
            </w:pPr>
            <w:r>
              <w:rPr>
                <w:rFonts w:ascii="Arial" w:cs="Arial" w:eastAsia="Arial" w:hAnsi="Arial"/>
                <w:sz w:val="18"/>
                <w:szCs w:val="18"/>
                <w:color w:val="auto"/>
              </w:rPr>
              <w:t>Contract Assets</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0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660" w:type="dxa"/>
            <w:vAlign w:val="bottom"/>
            <w:gridSpan w:val="4"/>
            <w:shd w:val="clear" w:color="auto" w:fill="CCEEFF"/>
          </w:tcPr>
          <w:p>
            <w:pPr>
              <w:spacing w:after="0"/>
              <w:rPr>
                <w:sz w:val="20"/>
                <w:szCs w:val="20"/>
                <w:color w:val="auto"/>
              </w:rPr>
            </w:pPr>
            <w:r>
              <w:rPr>
                <w:rFonts w:ascii="Arial" w:cs="Arial" w:eastAsia="Arial" w:hAnsi="Arial"/>
                <w:sz w:val="18"/>
                <w:szCs w:val="18"/>
                <w:i w:val="1"/>
                <w:iCs w:val="1"/>
                <w:color w:val="auto"/>
              </w:rPr>
              <w:t>Other current assets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15,752</w:t>
            </w:r>
          </w:p>
        </w:tc>
        <w:tc>
          <w:tcPr>
            <w:tcW w:w="10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866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Contract Liabilities</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400" w:type="dxa"/>
            <w:vAlign w:val="bottom"/>
            <w:tcBorders>
              <w:top w:val="single" w:sz="8" w:color="auto"/>
            </w:tcBorders>
            <w:gridSpan w:val="3"/>
          </w:tcPr>
          <w:p>
            <w:pPr>
              <w:spacing w:after="0"/>
              <w:rPr>
                <w:sz w:val="20"/>
                <w:szCs w:val="20"/>
                <w:color w:val="auto"/>
              </w:rPr>
            </w:pPr>
            <w:r>
              <w:rPr>
                <w:rFonts w:ascii="Arial" w:cs="Arial" w:eastAsia="Arial" w:hAnsi="Arial"/>
                <w:sz w:val="18"/>
                <w:szCs w:val="18"/>
                <w:i w:val="1"/>
                <w:iCs w:val="1"/>
                <w:color w:val="auto"/>
                <w:w w:val="99"/>
              </w:rPr>
              <w:t>Accrued liabilities</w:t>
            </w:r>
          </w:p>
        </w:tc>
        <w:tc>
          <w:tcPr>
            <w:tcW w:w="72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19,224</w:t>
            </w:r>
          </w:p>
        </w:tc>
        <w:tc>
          <w:tcPr>
            <w:tcW w:w="32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18,872</w:t>
            </w:r>
          </w:p>
        </w:tc>
        <w:tc>
          <w:tcPr>
            <w:tcW w:w="100" w:type="dxa"/>
            <w:vAlign w:val="bottom"/>
            <w:tcBorders>
              <w:top w:val="single" w:sz="8" w:color="CCEEFF"/>
            </w:tcBorders>
          </w:tcPr>
          <w:p>
            <w:pPr>
              <w:spacing w:after="0"/>
              <w:rPr>
                <w:sz w:val="18"/>
                <w:szCs w:val="18"/>
                <w:color w:val="auto"/>
              </w:rPr>
            </w:pPr>
          </w:p>
        </w:tc>
      </w:tr>
      <w:tr>
        <w:trPr>
          <w:trHeight w:val="223"/>
        </w:trPr>
        <w:tc>
          <w:tcPr>
            <w:tcW w:w="86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i w:val="1"/>
                <w:iCs w:val="1"/>
                <w:color w:val="auto"/>
              </w:rPr>
              <w:t>Other liabilities</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13,189</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6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32,413</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23,861</w:t>
            </w:r>
          </w:p>
        </w:tc>
        <w:tc>
          <w:tcPr>
            <w:tcW w:w="100" w:type="dxa"/>
            <w:vAlign w:val="bottom"/>
          </w:tcPr>
          <w:p>
            <w:pPr>
              <w:spacing w:after="0"/>
              <w:rPr>
                <w:sz w:val="19"/>
                <w:szCs w:val="19"/>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revenue recognized from contract liabilities that existed at the beginning of the reporting periods.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5"/>
          </w:tcPr>
          <w:p>
            <w:pPr>
              <w:jc w:val="right"/>
              <w:ind w:right="33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8"/>
                <w:szCs w:val="18"/>
                <w:b w:val="1"/>
                <w:bCs w:val="1"/>
                <w:color w:val="auto"/>
              </w:rPr>
              <w:t>Six Months Ended</w:t>
            </w:r>
          </w:p>
        </w:tc>
        <w:tc>
          <w:tcPr>
            <w:tcW w:w="100" w:type="dxa"/>
            <w:vAlign w:val="bottom"/>
          </w:tcPr>
          <w:p>
            <w:pPr>
              <w:spacing w:after="0"/>
              <w:rPr>
                <w:sz w:val="20"/>
                <w:szCs w:val="20"/>
                <w:color w:val="auto"/>
              </w:rPr>
            </w:pPr>
          </w:p>
        </w:tc>
      </w:tr>
      <w:tr>
        <w:trPr>
          <w:trHeight w:val="198"/>
        </w:trPr>
        <w:tc>
          <w:tcPr>
            <w:tcW w:w="46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280"/>
              <w:spacing w:after="0" w:line="198" w:lineRule="exact"/>
              <w:rPr>
                <w:sz w:val="20"/>
                <w:szCs w:val="20"/>
                <w:color w:val="auto"/>
              </w:rPr>
            </w:pPr>
            <w:r>
              <w:rPr>
                <w:rFonts w:ascii="Arial" w:cs="Arial" w:eastAsia="Arial" w:hAnsi="Arial"/>
                <w:sz w:val="18"/>
                <w:szCs w:val="18"/>
                <w:b w:val="1"/>
                <w:bCs w:val="1"/>
                <w:color w:val="auto"/>
                <w:w w:val="95"/>
              </w:rPr>
              <w:t>April 30,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center"/>
              <w:ind w:right="110"/>
              <w:spacing w:after="0" w:line="198" w:lineRule="exact"/>
              <w:rPr>
                <w:sz w:val="20"/>
                <w:szCs w:val="20"/>
                <w:color w:val="auto"/>
              </w:rPr>
            </w:pPr>
            <w:r>
              <w:rPr>
                <w:rFonts w:ascii="Arial" w:cs="Arial" w:eastAsia="Arial" w:hAnsi="Arial"/>
                <w:sz w:val="18"/>
                <w:szCs w:val="18"/>
                <w:b w:val="1"/>
                <w:bCs w:val="1"/>
                <w:color w:val="auto"/>
                <w:w w:val="98"/>
              </w:rPr>
              <w:t>May 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center"/>
              <w:ind w:right="70"/>
              <w:spacing w:after="0" w:line="198" w:lineRule="exact"/>
              <w:rPr>
                <w:sz w:val="20"/>
                <w:szCs w:val="20"/>
                <w:color w:val="auto"/>
              </w:rPr>
            </w:pPr>
            <w:r>
              <w:rPr>
                <w:rFonts w:ascii="Arial" w:cs="Arial" w:eastAsia="Arial" w:hAnsi="Arial"/>
                <w:sz w:val="18"/>
                <w:szCs w:val="18"/>
                <w:b w:val="1"/>
                <w:bCs w:val="1"/>
                <w:color w:val="auto"/>
                <w:w w:val="95"/>
              </w:rPr>
              <w:t>April 30,</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center"/>
              <w:ind w:right="110"/>
              <w:spacing w:after="0" w:line="198" w:lineRule="exact"/>
              <w:rPr>
                <w:sz w:val="20"/>
                <w:szCs w:val="20"/>
                <w:color w:val="auto"/>
              </w:rPr>
            </w:pPr>
            <w:r>
              <w:rPr>
                <w:rFonts w:ascii="Arial" w:cs="Arial" w:eastAsia="Arial" w:hAnsi="Arial"/>
                <w:sz w:val="18"/>
                <w:szCs w:val="18"/>
                <w:b w:val="1"/>
                <w:bCs w:val="1"/>
                <w:color w:val="auto"/>
                <w:w w:val="98"/>
              </w:rPr>
              <w:t>May 1,</w:t>
            </w:r>
          </w:p>
        </w:tc>
        <w:tc>
          <w:tcPr>
            <w:tcW w:w="100" w:type="dxa"/>
            <w:vAlign w:val="bottom"/>
          </w:tcPr>
          <w:p>
            <w:pPr>
              <w:spacing w:after="0"/>
              <w:rPr>
                <w:sz w:val="17"/>
                <w:szCs w:val="17"/>
                <w:color w:val="auto"/>
              </w:rPr>
            </w:pPr>
          </w:p>
        </w:tc>
      </w:tr>
      <w:tr>
        <w:trPr>
          <w:trHeight w:val="241"/>
        </w:trPr>
        <w:tc>
          <w:tcPr>
            <w:tcW w:w="46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6"/>
        </w:trPr>
        <w:tc>
          <w:tcPr>
            <w:tcW w:w="4600" w:type="dxa"/>
            <w:vAlign w:val="bottom"/>
          </w:tcPr>
          <w:p>
            <w:pPr>
              <w:spacing w:after="0"/>
              <w:rPr>
                <w:sz w:val="18"/>
                <w:szCs w:val="18"/>
                <w:color w:val="auto"/>
              </w:rPr>
            </w:pPr>
          </w:p>
        </w:tc>
        <w:tc>
          <w:tcPr>
            <w:tcW w:w="152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Revenue recognized from beginning liability</w:t>
            </w: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11,228</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11,460</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7,875</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7,278</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color w:val="auto"/>
        </w:rPr>
        <w:t>We generally record our accounts receivable at their billed amounts. All outstanding past due customer invoices are reviewed for collectability during, and at the end of, every reporting period. To the extent we believe a loss on the collection of a customer invoice is probable, we record the loss and credit an allowance for credit losses. In the event that an amount is determined to be uncollectible, we charge the allowance for credit losses and derecognize the related receivable. We incurred credit losses on our accounts receivable of $0.1 million during the three and six-month periods ended April 30, 2023, and there were no charges for the three and six-month periods ended May 1, 2022.</w:t>
      </w:r>
    </w:p>
    <w:p>
      <w:pPr>
        <w:spacing w:after="0" w:line="17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invoice terms generally range from net-thirty to ninety days, depending on both the geographic market in which the transaction occurs and our payment agreements with specific customers. In the event that our evaluation of a customer’s business prospects and financial condition indicate that the customer presents a collectability risk, we modify terms of sale, which may require payment in advance of performance. At the time of adoption, we elected the practical expedient allowed under ASC Topic 606 “Revenue from Contracts with Customers” (“Topic 606”) that permits us not to adjust a contract’s promised amount of consideration to reflect a financing component when the period between when we transfer control of goods or services to customers and when we are paid is one year or less.</w:t>
      </w:r>
    </w:p>
    <w:p>
      <w:pPr>
        <w:spacing w:after="0" w:line="192"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In instances when we are paid in advance of our performance, we record a contract liability and, as allowed under the practical expedient in Topic 606, recognize interest expense only if the period between when we receive payment from the customer and the date when we expect to be entitled to the payment is greater than one year. Historically, advance payments we have received from customers have generally not preceded the completion of our performance obligations by more than one year.</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25"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following tables present our revenue for the three and six-month periods ended April 30, 2023, and May 1, 2022, disaggregated by product type, geographic origin, and timing of recognition.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20" w:type="dxa"/>
            <w:vAlign w:val="bottom"/>
            <w:gridSpan w:val="5"/>
          </w:tcPr>
          <w:p>
            <w:pPr>
              <w:ind w:left="26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2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Six Months Ended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130"/>
              <w:spacing w:after="0" w:line="198" w:lineRule="exact"/>
              <w:rPr>
                <w:sz w:val="20"/>
                <w:szCs w:val="20"/>
                <w:color w:val="auto"/>
              </w:rPr>
            </w:pPr>
            <w:r>
              <w:rPr>
                <w:rFonts w:ascii="Arial" w:cs="Arial" w:eastAsia="Arial" w:hAnsi="Arial"/>
                <w:sz w:val="18"/>
                <w:szCs w:val="18"/>
                <w:b w:val="1"/>
                <w:bCs w:val="1"/>
                <w:color w:val="auto"/>
              </w:rPr>
              <w:t>April 30,</w:t>
            </w:r>
          </w:p>
        </w:tc>
        <w:tc>
          <w:tcPr>
            <w:tcW w:w="2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210"/>
              <w:spacing w:after="0" w:line="198" w:lineRule="exact"/>
              <w:rPr>
                <w:sz w:val="20"/>
                <w:szCs w:val="20"/>
                <w:color w:val="auto"/>
              </w:rPr>
            </w:pPr>
            <w:r>
              <w:rPr>
                <w:rFonts w:ascii="Arial" w:cs="Arial" w:eastAsia="Arial" w:hAnsi="Arial"/>
                <w:sz w:val="18"/>
                <w:szCs w:val="18"/>
                <w:b w:val="1"/>
                <w:bCs w:val="1"/>
                <w:color w:val="auto"/>
              </w:rPr>
              <w:t>May 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130"/>
              <w:spacing w:after="0" w:line="198" w:lineRule="exact"/>
              <w:rPr>
                <w:sz w:val="20"/>
                <w:szCs w:val="20"/>
                <w:color w:val="auto"/>
              </w:rPr>
            </w:pPr>
            <w:r>
              <w:rPr>
                <w:rFonts w:ascii="Arial" w:cs="Arial" w:eastAsia="Arial" w:hAnsi="Arial"/>
                <w:sz w:val="18"/>
                <w:szCs w:val="18"/>
                <w:b w:val="1"/>
                <w:bCs w:val="1"/>
                <w:color w:val="auto"/>
              </w:rPr>
              <w:t>April 30,</w:t>
            </w:r>
          </w:p>
        </w:tc>
        <w:tc>
          <w:tcPr>
            <w:tcW w:w="2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210"/>
              <w:spacing w:after="0" w:line="198" w:lineRule="exact"/>
              <w:rPr>
                <w:sz w:val="20"/>
                <w:szCs w:val="20"/>
                <w:color w:val="auto"/>
              </w:rPr>
            </w:pPr>
            <w:r>
              <w:rPr>
                <w:rFonts w:ascii="Arial" w:cs="Arial" w:eastAsia="Arial" w:hAnsi="Arial"/>
                <w:sz w:val="18"/>
                <w:szCs w:val="18"/>
                <w:b w:val="1"/>
                <w:bCs w:val="1"/>
                <w:color w:val="auto"/>
              </w:rPr>
              <w:t>May 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5960" w:type="dxa"/>
            <w:vAlign w:val="bottom"/>
            <w:gridSpan w:val="5"/>
          </w:tcPr>
          <w:p>
            <w:pPr>
              <w:spacing w:after="0" w:line="194" w:lineRule="exact"/>
              <w:rPr>
                <w:sz w:val="20"/>
                <w:szCs w:val="20"/>
                <w:color w:val="auto"/>
              </w:rPr>
            </w:pPr>
            <w:r>
              <w:rPr>
                <w:rFonts w:ascii="Arial" w:cs="Arial" w:eastAsia="Arial" w:hAnsi="Arial"/>
                <w:sz w:val="18"/>
                <w:szCs w:val="18"/>
                <w:b w:val="1"/>
                <w:bCs w:val="1"/>
                <w:color w:val="auto"/>
              </w:rPr>
              <w:t>Revenue by Product Type</w:t>
            </w:r>
          </w:p>
        </w:tc>
        <w:tc>
          <w:tcPr>
            <w:tcW w:w="160" w:type="dxa"/>
            <w:vAlign w:val="bottom"/>
          </w:tcPr>
          <w:p>
            <w:pPr>
              <w:spacing w:after="0"/>
              <w:rPr>
                <w:sz w:val="16"/>
                <w:szCs w:val="16"/>
                <w:color w:val="auto"/>
              </w:rPr>
            </w:pPr>
          </w:p>
        </w:tc>
        <w:tc>
          <w:tcPr>
            <w:tcW w:w="960" w:type="dxa"/>
            <w:vAlign w:val="bottom"/>
          </w:tcPr>
          <w:p>
            <w:pPr>
              <w:jc w:val="right"/>
              <w:ind w:right="290"/>
              <w:spacing w:after="0" w:line="194" w:lineRule="exact"/>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290"/>
              <w:spacing w:after="0" w:line="194" w:lineRule="exact"/>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290"/>
              <w:spacing w:after="0" w:line="194" w:lineRule="exact"/>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310"/>
              <w:spacing w:after="0" w:line="194" w:lineRule="exact"/>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160" w:type="dxa"/>
            <w:vAlign w:val="bottom"/>
            <w:tcBorders>
              <w:top w:val="single" w:sz="8" w:color="auto"/>
            </w:tcBorders>
          </w:tcPr>
          <w:p>
            <w:pPr>
              <w:spacing w:after="0"/>
              <w:rPr>
                <w:sz w:val="2"/>
                <w:szCs w:val="2"/>
                <w:color w:val="auto"/>
              </w:rPr>
            </w:pPr>
          </w:p>
        </w:tc>
        <w:tc>
          <w:tcPr>
            <w:tcW w:w="1820" w:type="dxa"/>
            <w:vAlign w:val="bottom"/>
            <w:tcBorders>
              <w:top w:val="single" w:sz="8" w:color="auto"/>
              <w:bottom w:val="single" w:sz="8" w:color="auto"/>
            </w:tcBorders>
            <w:gridSpan w:val="3"/>
            <w:vMerge w:val="restart"/>
          </w:tcPr>
          <w:p>
            <w:pPr>
              <w:ind w:left="20"/>
              <w:spacing w:after="0"/>
              <w:rPr>
                <w:sz w:val="20"/>
                <w:szCs w:val="20"/>
                <w:color w:val="auto"/>
              </w:rPr>
            </w:pPr>
            <w:r>
              <w:rPr>
                <w:rFonts w:ascii="Arial" w:cs="Arial" w:eastAsia="Arial" w:hAnsi="Arial"/>
                <w:sz w:val="18"/>
                <w:szCs w:val="18"/>
                <w:color w:val="auto"/>
              </w:rPr>
              <w:t>IC</w:t>
            </w:r>
          </w:p>
        </w:tc>
        <w:tc>
          <w:tcPr>
            <w:tcW w:w="3980" w:type="dxa"/>
            <w:vAlign w:val="bottom"/>
            <w:vMerge w:val="restart"/>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1820" w:type="dxa"/>
            <w:vAlign w:val="bottom"/>
            <w:gridSpan w:val="3"/>
            <w:vMerge w:val="continue"/>
          </w:tcPr>
          <w:p>
            <w:pPr>
              <w:spacing w:after="0"/>
              <w:rPr>
                <w:sz w:val="15"/>
                <w:szCs w:val="15"/>
                <w:color w:val="auto"/>
              </w:rPr>
            </w:pPr>
          </w:p>
        </w:tc>
        <w:tc>
          <w:tcPr>
            <w:tcW w:w="39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6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580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High-end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43,920</w:t>
            </w:r>
          </w:p>
        </w:tc>
        <w:tc>
          <w:tcPr>
            <w:tcW w:w="4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51,362</w:t>
            </w:r>
          </w:p>
        </w:tc>
        <w:tc>
          <w:tcPr>
            <w:tcW w:w="2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91,923</w:t>
            </w:r>
          </w:p>
        </w:tc>
        <w:tc>
          <w:tcPr>
            <w:tcW w:w="4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5800" w:type="dxa"/>
            <w:vAlign w:val="bottom"/>
            <w:gridSpan w:val="4"/>
          </w:tcPr>
          <w:p>
            <w:pPr>
              <w:ind w:left="180"/>
              <w:spacing w:after="0"/>
              <w:rPr>
                <w:sz w:val="20"/>
                <w:szCs w:val="20"/>
                <w:color w:val="auto"/>
              </w:rPr>
            </w:pPr>
            <w:r>
              <w:rPr>
                <w:rFonts w:ascii="Arial" w:cs="Arial" w:eastAsia="Arial" w:hAnsi="Arial"/>
                <w:sz w:val="18"/>
                <w:szCs w:val="18"/>
                <w:color w:val="auto"/>
              </w:rPr>
              <w:t>Mainstream</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123,134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94,437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231,720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177,275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56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Total IC</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167,054</w:t>
            </w:r>
          </w:p>
        </w:tc>
        <w:tc>
          <w:tcPr>
            <w:tcW w:w="2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145,799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323,643</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275,560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83"/>
              </w:rPr>
              <w:t>FPD</w:t>
            </w:r>
          </w:p>
        </w:tc>
        <w:tc>
          <w:tcPr>
            <w:tcW w:w="5460" w:type="dxa"/>
            <w:vAlign w:val="bottom"/>
            <w:tcBorders>
              <w:bottom w:val="single" w:sz="8" w:color="CCEEFF"/>
            </w:tcBorders>
            <w:gridSpan w:val="2"/>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5800" w:type="dxa"/>
            <w:vAlign w:val="bottom"/>
            <w:gridSpan w:val="4"/>
          </w:tcPr>
          <w:p>
            <w:pPr>
              <w:ind w:left="180"/>
              <w:spacing w:after="0"/>
              <w:rPr>
                <w:sz w:val="20"/>
                <w:szCs w:val="20"/>
                <w:color w:val="auto"/>
              </w:rPr>
            </w:pPr>
            <w:r>
              <w:rPr>
                <w:rFonts w:ascii="Arial" w:cs="Arial" w:eastAsia="Arial" w:hAnsi="Arial"/>
                <w:sz w:val="18"/>
                <w:szCs w:val="18"/>
                <w:color w:val="auto"/>
              </w:rPr>
              <w:t>High-end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51,888</w:t>
            </w:r>
          </w:p>
        </w:tc>
        <w:tc>
          <w:tcPr>
            <w:tcW w:w="4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46,610</w:t>
            </w:r>
          </w:p>
        </w:tc>
        <w:tc>
          <w:tcPr>
            <w:tcW w:w="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97,579</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92,886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60" w:type="dxa"/>
            <w:vAlign w:val="bottom"/>
            <w:tcBorders>
              <w:bottom w:val="single" w:sz="8" w:color="CCEEFF"/>
            </w:tcBorders>
            <w:shd w:val="clear" w:color="auto" w:fill="CCEEFF"/>
          </w:tcPr>
          <w:p>
            <w:pPr>
              <w:spacing w:after="0"/>
              <w:rPr>
                <w:sz w:val="19"/>
                <w:szCs w:val="19"/>
                <w:color w:val="auto"/>
              </w:rPr>
            </w:pPr>
          </w:p>
        </w:tc>
        <w:tc>
          <w:tcPr>
            <w:tcW w:w="5800" w:type="dxa"/>
            <w:vAlign w:val="bottom"/>
            <w:tcBorders>
              <w:bottom w:val="single" w:sz="8" w:color="CCEEFF"/>
            </w:tcBorders>
            <w:gridSpan w:val="4"/>
            <w:shd w:val="clear" w:color="auto" w:fill="CCEEFF"/>
          </w:tcPr>
          <w:p>
            <w:pPr>
              <w:ind w:left="180"/>
              <w:spacing w:after="0"/>
              <w:rPr>
                <w:sz w:val="20"/>
                <w:szCs w:val="20"/>
                <w:color w:val="auto"/>
              </w:rPr>
            </w:pPr>
            <w:r>
              <w:rPr>
                <w:rFonts w:ascii="Arial" w:cs="Arial" w:eastAsia="Arial" w:hAnsi="Arial"/>
                <w:sz w:val="18"/>
                <w:szCs w:val="18"/>
                <w:color w:val="auto"/>
              </w:rPr>
              <w:t>Mainstream</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10,364</w:t>
            </w:r>
          </w:p>
        </w:tc>
        <w:tc>
          <w:tcPr>
            <w:tcW w:w="2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12,100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19,175</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25,890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20" w:type="dxa"/>
            <w:vAlign w:val="bottom"/>
            <w:gridSpan w:val="3"/>
          </w:tcPr>
          <w:p>
            <w:pPr>
              <w:ind w:left="160"/>
              <w:spacing w:after="0"/>
              <w:rPr>
                <w:sz w:val="20"/>
                <w:szCs w:val="20"/>
                <w:color w:val="auto"/>
              </w:rPr>
            </w:pPr>
            <w:r>
              <w:rPr>
                <w:rFonts w:ascii="Arial" w:cs="Arial" w:eastAsia="Arial" w:hAnsi="Arial"/>
                <w:sz w:val="18"/>
                <w:szCs w:val="18"/>
                <w:color w:val="auto"/>
              </w:rPr>
              <w:t>Total FPD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62,252</w:t>
            </w:r>
          </w:p>
        </w:tc>
        <w:tc>
          <w:tcPr>
            <w:tcW w:w="4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58,710</w:t>
            </w:r>
          </w:p>
        </w:tc>
        <w:tc>
          <w:tcPr>
            <w:tcW w:w="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116,754</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118,776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39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229,306</w:t>
            </w:r>
          </w:p>
        </w:tc>
        <w:tc>
          <w:tcPr>
            <w:tcW w:w="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204,509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440,397</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394,336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50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20" w:type="dxa"/>
            <w:vAlign w:val="bottom"/>
            <w:gridSpan w:val="5"/>
          </w:tcPr>
          <w:p>
            <w:pPr>
              <w:ind w:left="26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2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Six Months Ended</w:t>
            </w:r>
          </w:p>
        </w:tc>
        <w:tc>
          <w:tcPr>
            <w:tcW w:w="100" w:type="dxa"/>
            <w:vAlign w:val="bottom"/>
          </w:tcPr>
          <w:p>
            <w:pPr>
              <w:spacing w:after="0"/>
              <w:rPr>
                <w:sz w:val="20"/>
                <w:szCs w:val="20"/>
                <w:color w:val="auto"/>
              </w:rPr>
            </w:pPr>
          </w:p>
        </w:tc>
      </w:tr>
      <w:tr>
        <w:trPr>
          <w:trHeight w:val="198"/>
        </w:trPr>
        <w:tc>
          <w:tcPr>
            <w:tcW w:w="250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130"/>
              <w:spacing w:after="0" w:line="198" w:lineRule="exact"/>
              <w:rPr>
                <w:sz w:val="20"/>
                <w:szCs w:val="20"/>
                <w:color w:val="auto"/>
              </w:rPr>
            </w:pPr>
            <w:r>
              <w:rPr>
                <w:rFonts w:ascii="Arial" w:cs="Arial" w:eastAsia="Arial" w:hAnsi="Arial"/>
                <w:sz w:val="18"/>
                <w:szCs w:val="18"/>
                <w:b w:val="1"/>
                <w:bCs w:val="1"/>
                <w:color w:val="auto"/>
              </w:rPr>
              <w:t>April 30,</w:t>
            </w:r>
          </w:p>
        </w:tc>
        <w:tc>
          <w:tcPr>
            <w:tcW w:w="2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210"/>
              <w:spacing w:after="0" w:line="198" w:lineRule="exact"/>
              <w:rPr>
                <w:sz w:val="20"/>
                <w:szCs w:val="20"/>
                <w:color w:val="auto"/>
              </w:rPr>
            </w:pPr>
            <w:r>
              <w:rPr>
                <w:rFonts w:ascii="Arial" w:cs="Arial" w:eastAsia="Arial" w:hAnsi="Arial"/>
                <w:sz w:val="18"/>
                <w:szCs w:val="18"/>
                <w:b w:val="1"/>
                <w:bCs w:val="1"/>
                <w:color w:val="auto"/>
              </w:rPr>
              <w:t>May 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130"/>
              <w:spacing w:after="0" w:line="198" w:lineRule="exact"/>
              <w:rPr>
                <w:sz w:val="20"/>
                <w:szCs w:val="20"/>
                <w:color w:val="auto"/>
              </w:rPr>
            </w:pPr>
            <w:r>
              <w:rPr>
                <w:rFonts w:ascii="Arial" w:cs="Arial" w:eastAsia="Arial" w:hAnsi="Arial"/>
                <w:sz w:val="18"/>
                <w:szCs w:val="18"/>
                <w:b w:val="1"/>
                <w:bCs w:val="1"/>
                <w:color w:val="auto"/>
              </w:rPr>
              <w:t>April 30,</w:t>
            </w:r>
          </w:p>
        </w:tc>
        <w:tc>
          <w:tcPr>
            <w:tcW w:w="2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210"/>
              <w:spacing w:after="0" w:line="198" w:lineRule="exact"/>
              <w:rPr>
                <w:sz w:val="20"/>
                <w:szCs w:val="20"/>
                <w:color w:val="auto"/>
              </w:rPr>
            </w:pPr>
            <w:r>
              <w:rPr>
                <w:rFonts w:ascii="Arial" w:cs="Arial" w:eastAsia="Arial" w:hAnsi="Arial"/>
                <w:sz w:val="18"/>
                <w:szCs w:val="18"/>
                <w:b w:val="1"/>
                <w:bCs w:val="1"/>
                <w:color w:val="auto"/>
              </w:rPr>
              <w:t>May 1,</w:t>
            </w:r>
          </w:p>
        </w:tc>
        <w:tc>
          <w:tcPr>
            <w:tcW w:w="100" w:type="dxa"/>
            <w:vAlign w:val="bottom"/>
          </w:tcPr>
          <w:p>
            <w:pPr>
              <w:spacing w:after="0"/>
              <w:rPr>
                <w:sz w:val="17"/>
                <w:szCs w:val="17"/>
                <w:color w:val="auto"/>
              </w:rPr>
            </w:pPr>
          </w:p>
        </w:tc>
      </w:tr>
      <w:tr>
        <w:trPr>
          <w:trHeight w:val="194"/>
        </w:trPr>
        <w:tc>
          <w:tcPr>
            <w:tcW w:w="596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Revenue by Geographic Origin*</w:t>
            </w:r>
          </w:p>
        </w:tc>
        <w:tc>
          <w:tcPr>
            <w:tcW w:w="160" w:type="dxa"/>
            <w:vAlign w:val="bottom"/>
          </w:tcPr>
          <w:p>
            <w:pPr>
              <w:spacing w:after="0"/>
              <w:rPr>
                <w:sz w:val="16"/>
                <w:szCs w:val="16"/>
                <w:color w:val="auto"/>
              </w:rPr>
            </w:pPr>
          </w:p>
        </w:tc>
        <w:tc>
          <w:tcPr>
            <w:tcW w:w="960" w:type="dxa"/>
            <w:vAlign w:val="bottom"/>
          </w:tcPr>
          <w:p>
            <w:pPr>
              <w:jc w:val="right"/>
              <w:ind w:right="290"/>
              <w:spacing w:after="0" w:line="194" w:lineRule="exact"/>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290"/>
              <w:spacing w:after="0" w:line="194" w:lineRule="exact"/>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290"/>
              <w:spacing w:after="0" w:line="194" w:lineRule="exact"/>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310"/>
              <w:spacing w:after="0" w:line="194" w:lineRule="exact"/>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6"/>
                <w:szCs w:val="16"/>
                <w:color w:val="auto"/>
              </w:rPr>
            </w:pPr>
          </w:p>
        </w:tc>
      </w:tr>
      <w:tr>
        <w:trPr>
          <w:trHeight w:val="28"/>
        </w:trPr>
        <w:tc>
          <w:tcPr>
            <w:tcW w:w="2500" w:type="dxa"/>
            <w:vAlign w:val="bottom"/>
            <w:tcBorders>
              <w:top w:val="single" w:sz="8" w:color="auto"/>
            </w:tcBorders>
          </w:tcPr>
          <w:p>
            <w:pPr>
              <w:spacing w:after="0"/>
              <w:rPr>
                <w:sz w:val="2"/>
                <w:szCs w:val="2"/>
                <w:color w:val="auto"/>
              </w:rPr>
            </w:pPr>
          </w:p>
        </w:tc>
        <w:tc>
          <w:tcPr>
            <w:tcW w:w="34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Taiwan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80,448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69,852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156,017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137,693</w:t>
            </w:r>
          </w:p>
        </w:tc>
        <w:tc>
          <w:tcPr>
            <w:tcW w:w="100" w:type="dxa"/>
            <w:vAlign w:val="bottom"/>
            <w:shd w:val="clear" w:color="auto" w:fill="CCEEFF"/>
          </w:tcPr>
          <w:p>
            <w:pPr>
              <w:spacing w:after="0"/>
              <w:rPr>
                <w:sz w:val="18"/>
                <w:szCs w:val="18"/>
                <w:color w:val="auto"/>
              </w:rPr>
            </w:pP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China</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65,215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53,691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124,148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99,645</w:t>
            </w:r>
          </w:p>
        </w:tc>
        <w:tc>
          <w:tcPr>
            <w:tcW w:w="100" w:type="dxa"/>
            <w:vAlign w:val="bottom"/>
          </w:tcPr>
          <w:p>
            <w:pPr>
              <w:spacing w:after="0"/>
              <w:rPr>
                <w:sz w:val="18"/>
                <w:szCs w:val="18"/>
                <w:color w:val="auto"/>
              </w:rPr>
            </w:pPr>
          </w:p>
        </w:tc>
      </w:tr>
      <w:tr>
        <w:trPr>
          <w:trHeight w:val="216"/>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Korea</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41,372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40,769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79,204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80,283</w:t>
            </w:r>
          </w:p>
        </w:tc>
        <w:tc>
          <w:tcPr>
            <w:tcW w:w="100" w:type="dxa"/>
            <w:vAlign w:val="bottom"/>
            <w:shd w:val="clear" w:color="auto" w:fill="CCEEFF"/>
          </w:tcPr>
          <w:p>
            <w:pPr>
              <w:spacing w:after="0"/>
              <w:rPr>
                <w:sz w:val="18"/>
                <w:szCs w:val="18"/>
                <w:color w:val="auto"/>
              </w:rPr>
            </w:pP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United States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32,495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30,335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62,377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57,511</w:t>
            </w:r>
          </w:p>
        </w:tc>
        <w:tc>
          <w:tcPr>
            <w:tcW w:w="100" w:type="dxa"/>
            <w:vAlign w:val="bottom"/>
          </w:tcPr>
          <w:p>
            <w:pPr>
              <w:spacing w:after="0"/>
              <w:rPr>
                <w:sz w:val="18"/>
                <w:szCs w:val="18"/>
                <w:color w:val="auto"/>
              </w:rPr>
            </w:pPr>
          </w:p>
        </w:tc>
      </w:tr>
      <w:tr>
        <w:trPr>
          <w:trHeight w:val="216"/>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Europe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18,420</w:t>
            </w:r>
          </w:p>
        </w:tc>
        <w:tc>
          <w:tcPr>
            <w:tcW w:w="100" w:type="dxa"/>
            <w:vAlign w:val="bottom"/>
            <w:shd w:val="clear" w:color="auto" w:fill="CCEEFF"/>
          </w:tcPr>
          <w:p>
            <w:pPr>
              <w:spacing w:after="0"/>
              <w:rPr>
                <w:sz w:val="18"/>
                <w:szCs w:val="18"/>
                <w:color w:val="auto"/>
              </w:rPr>
            </w:pPr>
          </w:p>
        </w:tc>
      </w:tr>
      <w:tr>
        <w:trPr>
          <w:trHeight w:val="223"/>
        </w:trPr>
        <w:tc>
          <w:tcPr>
            <w:tcW w:w="5960" w:type="dxa"/>
            <w:vAlign w:val="bottom"/>
            <w:gridSpan w:val="2"/>
          </w:tcPr>
          <w:p>
            <w:pPr>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356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784</w:t>
            </w:r>
          </w:p>
        </w:tc>
        <w:tc>
          <w:tcPr>
            <w:tcW w:w="100" w:type="dxa"/>
            <w:vAlign w:val="bottom"/>
          </w:tcPr>
          <w:p>
            <w:pPr>
              <w:spacing w:after="0"/>
              <w:rPr>
                <w:sz w:val="19"/>
                <w:szCs w:val="19"/>
                <w:color w:val="auto"/>
              </w:rPr>
            </w:pPr>
          </w:p>
        </w:tc>
      </w:tr>
      <w:tr>
        <w:trPr>
          <w:trHeight w:val="256"/>
        </w:trPr>
        <w:tc>
          <w:tcPr>
            <w:tcW w:w="2500" w:type="dxa"/>
            <w:vAlign w:val="bottom"/>
            <w:tcBorders>
              <w:bottom w:val="single" w:sz="8" w:color="CCEEFF"/>
            </w:tcBorders>
            <w:shd w:val="clear" w:color="auto" w:fill="CCEEFF"/>
          </w:tcPr>
          <w:p>
            <w:pPr>
              <w:spacing w:after="0"/>
              <w:rPr>
                <w:sz w:val="22"/>
                <w:szCs w:val="22"/>
                <w:color w:val="auto"/>
              </w:rPr>
            </w:pPr>
          </w:p>
        </w:tc>
        <w:tc>
          <w:tcPr>
            <w:tcW w:w="34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229,306</w:t>
            </w:r>
          </w:p>
        </w:tc>
        <w:tc>
          <w:tcPr>
            <w:tcW w:w="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204,509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440,397</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394,336</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6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8"/>
                <w:szCs w:val="18"/>
                <w:b w:val="1"/>
                <w:bCs w:val="1"/>
                <w:color w:val="auto"/>
              </w:rPr>
              <w:t>Six Months Ended</w:t>
            </w:r>
          </w:p>
        </w:tc>
        <w:tc>
          <w:tcPr>
            <w:tcW w:w="100" w:type="dxa"/>
            <w:vAlign w:val="bottom"/>
          </w:tcPr>
          <w:p>
            <w:pPr>
              <w:spacing w:after="0"/>
              <w:rPr>
                <w:sz w:val="20"/>
                <w:szCs w:val="20"/>
                <w:color w:val="auto"/>
              </w:rPr>
            </w:pPr>
          </w:p>
        </w:tc>
      </w:tr>
      <w:tr>
        <w:trPr>
          <w:trHeight w:val="198"/>
        </w:trPr>
        <w:tc>
          <w:tcPr>
            <w:tcW w:w="266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130"/>
              <w:spacing w:after="0" w:line="198" w:lineRule="exact"/>
              <w:rPr>
                <w:sz w:val="20"/>
                <w:szCs w:val="20"/>
                <w:color w:val="auto"/>
              </w:rPr>
            </w:pPr>
            <w:r>
              <w:rPr>
                <w:rFonts w:ascii="Arial" w:cs="Arial" w:eastAsia="Arial" w:hAnsi="Arial"/>
                <w:sz w:val="18"/>
                <w:szCs w:val="18"/>
                <w:b w:val="1"/>
                <w:bCs w:val="1"/>
                <w:color w:val="auto"/>
              </w:rPr>
              <w:t>April 30,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210"/>
              <w:spacing w:after="0" w:line="198" w:lineRule="exact"/>
              <w:rPr>
                <w:sz w:val="20"/>
                <w:szCs w:val="20"/>
                <w:color w:val="auto"/>
              </w:rPr>
            </w:pPr>
            <w:r>
              <w:rPr>
                <w:rFonts w:ascii="Arial" w:cs="Arial" w:eastAsia="Arial" w:hAnsi="Arial"/>
                <w:sz w:val="18"/>
                <w:szCs w:val="18"/>
                <w:b w:val="1"/>
                <w:bCs w:val="1"/>
                <w:color w:val="auto"/>
              </w:rPr>
              <w:t>May 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130"/>
              <w:spacing w:after="0" w:line="198" w:lineRule="exact"/>
              <w:rPr>
                <w:sz w:val="20"/>
                <w:szCs w:val="20"/>
                <w:color w:val="auto"/>
              </w:rPr>
            </w:pPr>
            <w:r>
              <w:rPr>
                <w:rFonts w:ascii="Arial" w:cs="Arial" w:eastAsia="Arial" w:hAnsi="Arial"/>
                <w:sz w:val="18"/>
                <w:szCs w:val="18"/>
                <w:b w:val="1"/>
                <w:bCs w:val="1"/>
                <w:color w:val="auto"/>
              </w:rPr>
              <w:t>April 30,</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210"/>
              <w:spacing w:after="0" w:line="198" w:lineRule="exact"/>
              <w:rPr>
                <w:sz w:val="20"/>
                <w:szCs w:val="20"/>
                <w:color w:val="auto"/>
              </w:rPr>
            </w:pPr>
            <w:r>
              <w:rPr>
                <w:rFonts w:ascii="Arial" w:cs="Arial" w:eastAsia="Arial" w:hAnsi="Arial"/>
                <w:sz w:val="18"/>
                <w:szCs w:val="18"/>
                <w:b w:val="1"/>
                <w:bCs w:val="1"/>
                <w:color w:val="auto"/>
              </w:rPr>
              <w:t>May 1,</w:t>
            </w:r>
          </w:p>
        </w:tc>
        <w:tc>
          <w:tcPr>
            <w:tcW w:w="100" w:type="dxa"/>
            <w:vAlign w:val="bottom"/>
          </w:tcPr>
          <w:p>
            <w:pPr>
              <w:spacing w:after="0"/>
              <w:rPr>
                <w:sz w:val="17"/>
                <w:szCs w:val="17"/>
                <w:color w:val="auto"/>
              </w:rPr>
            </w:pPr>
          </w:p>
        </w:tc>
      </w:tr>
      <w:tr>
        <w:trPr>
          <w:trHeight w:val="194"/>
        </w:trPr>
        <w:tc>
          <w:tcPr>
            <w:tcW w:w="2660" w:type="dxa"/>
            <w:vAlign w:val="bottom"/>
            <w:tcBorders>
              <w:bottom w:val="single" w:sz="8" w:color="auto"/>
            </w:tcBorders>
          </w:tcPr>
          <w:p>
            <w:pPr>
              <w:spacing w:after="0" w:line="194" w:lineRule="exact"/>
              <w:rPr>
                <w:sz w:val="20"/>
                <w:szCs w:val="20"/>
                <w:color w:val="auto"/>
              </w:rPr>
            </w:pPr>
            <w:r>
              <w:rPr>
                <w:rFonts w:ascii="Arial" w:cs="Arial" w:eastAsia="Arial" w:hAnsi="Arial"/>
                <w:sz w:val="18"/>
                <w:szCs w:val="18"/>
                <w:b w:val="1"/>
                <w:bCs w:val="1"/>
                <w:color w:val="auto"/>
                <w:w w:val="89"/>
              </w:rPr>
              <w:t>Revenue by Timing of Recognition</w:t>
            </w:r>
          </w:p>
        </w:tc>
        <w:tc>
          <w:tcPr>
            <w:tcW w:w="3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290"/>
              <w:spacing w:after="0" w:line="194" w:lineRule="exact"/>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290"/>
              <w:spacing w:after="0" w:line="194" w:lineRule="exact"/>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290"/>
              <w:spacing w:after="0" w:line="194" w:lineRule="exact"/>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310"/>
              <w:spacing w:after="0" w:line="194" w:lineRule="exact"/>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6"/>
                <w:szCs w:val="16"/>
                <w:color w:val="auto"/>
              </w:rPr>
            </w:pPr>
          </w:p>
        </w:tc>
      </w:tr>
      <w:tr>
        <w:trPr>
          <w:trHeight w:val="28"/>
        </w:trPr>
        <w:tc>
          <w:tcPr>
            <w:tcW w:w="26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Over time</w:t>
            </w:r>
          </w:p>
        </w:tc>
        <w:tc>
          <w:tcPr>
            <w:tcW w:w="33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215,376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192,770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412,541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363,034</w:t>
            </w:r>
          </w:p>
        </w:tc>
        <w:tc>
          <w:tcPr>
            <w:tcW w:w="100" w:type="dxa"/>
            <w:vAlign w:val="bottom"/>
            <w:shd w:val="clear" w:color="auto" w:fill="CCEEFF"/>
          </w:tcPr>
          <w:p>
            <w:pPr>
              <w:spacing w:after="0"/>
              <w:rPr>
                <w:sz w:val="18"/>
                <w:szCs w:val="18"/>
                <w:color w:val="auto"/>
              </w:rPr>
            </w:pPr>
          </w:p>
        </w:tc>
      </w:tr>
      <w:tr>
        <w:trPr>
          <w:trHeight w:val="223"/>
        </w:trPr>
        <w:tc>
          <w:tcPr>
            <w:tcW w:w="2660" w:type="dxa"/>
            <w:vAlign w:val="bottom"/>
          </w:tcPr>
          <w:p>
            <w:pPr>
              <w:spacing w:after="0"/>
              <w:rPr>
                <w:sz w:val="20"/>
                <w:szCs w:val="20"/>
                <w:color w:val="auto"/>
              </w:rPr>
            </w:pPr>
            <w:r>
              <w:rPr>
                <w:rFonts w:ascii="Arial" w:cs="Arial" w:eastAsia="Arial" w:hAnsi="Arial"/>
                <w:sz w:val="18"/>
                <w:szCs w:val="18"/>
                <w:color w:val="auto"/>
              </w:rPr>
              <w:t>At a point in time</w:t>
            </w:r>
          </w:p>
        </w:tc>
        <w:tc>
          <w:tcPr>
            <w:tcW w:w="3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13,930</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11,739</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27,856</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31,302</w:t>
            </w:r>
          </w:p>
        </w:tc>
        <w:tc>
          <w:tcPr>
            <w:tcW w:w="100" w:type="dxa"/>
            <w:vAlign w:val="bottom"/>
          </w:tcPr>
          <w:p>
            <w:pPr>
              <w:spacing w:after="0"/>
              <w:rPr>
                <w:sz w:val="19"/>
                <w:szCs w:val="19"/>
                <w:color w:val="auto"/>
              </w:rPr>
            </w:pPr>
          </w:p>
        </w:tc>
      </w:tr>
      <w:tr>
        <w:trPr>
          <w:trHeight w:val="257"/>
        </w:trPr>
        <w:tc>
          <w:tcPr>
            <w:tcW w:w="2660" w:type="dxa"/>
            <w:vAlign w:val="bottom"/>
            <w:tcBorders>
              <w:bottom w:val="single" w:sz="8" w:color="CCEEFF"/>
            </w:tcBorders>
            <w:shd w:val="clear" w:color="auto" w:fill="CCEEFF"/>
          </w:tcPr>
          <w:p>
            <w:pPr>
              <w:spacing w:after="0"/>
              <w:rPr>
                <w:sz w:val="22"/>
                <w:szCs w:val="22"/>
                <w:color w:val="auto"/>
              </w:rPr>
            </w:pPr>
          </w:p>
        </w:tc>
        <w:tc>
          <w:tcPr>
            <w:tcW w:w="33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229,306</w:t>
            </w:r>
          </w:p>
        </w:tc>
        <w:tc>
          <w:tcPr>
            <w:tcW w:w="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204,509</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440,397</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394,336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62"/>
        </w:trPr>
        <w:tc>
          <w:tcPr>
            <w:tcW w:w="2660" w:type="dxa"/>
            <w:vAlign w:val="bottom"/>
          </w:tcPr>
          <w:p>
            <w:pPr>
              <w:spacing w:after="0"/>
              <w:rPr>
                <w:sz w:val="24"/>
                <w:szCs w:val="24"/>
                <w:color w:val="auto"/>
              </w:rPr>
            </w:pPr>
          </w:p>
        </w:tc>
        <w:tc>
          <w:tcPr>
            <w:tcW w:w="3300" w:type="dxa"/>
            <w:vAlign w:val="bottom"/>
          </w:tcPr>
          <w:p>
            <w:pPr>
              <w:jc w:val="right"/>
              <w:ind w:right="188"/>
              <w:spacing w:after="0"/>
              <w:rPr>
                <w:sz w:val="20"/>
                <w:szCs w:val="20"/>
                <w:color w:val="auto"/>
              </w:rPr>
            </w:pPr>
            <w:r>
              <w:rPr>
                <w:rFonts w:ascii="Arial" w:cs="Arial" w:eastAsia="Arial" w:hAnsi="Arial"/>
                <w:sz w:val="14"/>
                <w:szCs w:val="14"/>
                <w:color w:val="auto"/>
              </w:rPr>
              <w:t>18</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2660" w:type="dxa"/>
            <w:vAlign w:val="bottom"/>
            <w:tcBorders>
              <w:bottom w:val="single" w:sz="8" w:color="auto"/>
            </w:tcBorders>
          </w:tcPr>
          <w:p>
            <w:pPr>
              <w:spacing w:after="0"/>
              <w:rPr>
                <w:sz w:val="4"/>
                <w:szCs w:val="4"/>
                <w:color w:val="auto"/>
              </w:rPr>
            </w:pPr>
          </w:p>
        </w:tc>
        <w:tc>
          <w:tcPr>
            <w:tcW w:w="33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Costs</w:t>
      </w:r>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pay commissions to third-party sales agents for certain sales they procure on our behalf. However, the bases of the commissions are the transaction prices of the sales, which are completed in less than one year; thus, no relationship is established with a customer that will result in future business. Therefore, we do not recognize any portion of these sales commissions as costs of obtaining a contract, nor do we currently foresee other circumstances under which we would recognize contract obtainment costs as assets.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225"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As we are typically required to fulfill customer orders within a short period of time, our backlog of orders has historically been two to three weeks for FPD photomasks and one to two weeks for IC photomasks. However, the demand for some IC photomasks has expanded beyond the industry’s capacity to supply them within the traditional time period; thus the backlog, in some cases, can expand to as long as two to three months. As allowed under Topic 606, we have elected not to disclose our remaining performance obligations, which represent the costs associated with the completion of the manufacturing process of in-process photomasks related to contracts that have an original duration of one year or less.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Warranties</w:t>
      </w:r>
    </w:p>
    <w:p>
      <w:pPr>
        <w:spacing w:after="0" w:line="225"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Our photomasks are sold under warranties that generally range from one to twenty-four months. We warrant that our photomasks conform to customer specifications and will typically repair, replace, or issue a refund for any photomasks that fail to do so. The warranties do not represent separate performance obligations in our revenue contracts. Historically, customer claims under warranties have been immaterial.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SHARE-BASED COMPENSATION</w:t>
      </w:r>
    </w:p>
    <w:p>
      <w:pPr>
        <w:spacing w:after="0" w:line="229"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In March 2016, shareholders approved our current equity incentive compensation plan (the “Plan”), under which incentive stock options, non-qualified stock options, stock grants, stock-based awards, restricted stock, restricted stock units, stock appreciation rights, performance units, performance stock, and other stock or cash awards may be granted. Shares to be issued under the Plan may be authorized and unissued shares, issued shares that have been reacquired by us (in the open market or in private transactions), or a combination thereof. The maximum number of shares of common stock approved that may be issued under the Plan was four million shares. On March 16, 2023, at its annual meeting of shareholders, the shareholders of Photronics, Inc., approved amendments to the Plan to increase the number of shares available for issuance by an additional one million shares, thereby increasing the shares available for issuance under the Plan from four million to five million. Awards may be granted to officers, employees, directors, consultants, advisors, and independent contractors of Photronics or its subsidiaries. In the event of a change in control (as defined in the Plan), the vesting of awards may be accelerated. The Plan, aspects of which are more fully described below, prohibits further awards from being issued under prior plans. The table below presents information on our share-based compensation expenses for the three and six-month periods ended April 30, 2023, and May 1, 2022.</w:t>
      </w:r>
    </w:p>
    <w:p>
      <w:pPr>
        <w:spacing w:after="0" w:line="353" w:lineRule="exact"/>
        <w:rPr>
          <w:sz w:val="20"/>
          <w:szCs w:val="20"/>
          <w:color w:val="auto"/>
        </w:rPr>
      </w:pPr>
    </w:p>
    <w:p>
      <w:pPr>
        <w:jc w:val="center"/>
        <w:ind w:right="-35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5620" w:type="dxa"/>
            <w:vAlign w:val="bottom"/>
            <w:gridSpan w:val="2"/>
          </w:tcPr>
          <w:p>
            <w:pPr>
              <w:spacing w:after="0"/>
              <w:rPr>
                <w:sz w:val="20"/>
                <w:szCs w:val="20"/>
                <w:color w:val="auto"/>
              </w:rPr>
            </w:pPr>
            <w:r>
              <w:rPr>
                <w:rFonts w:ascii="Arial" w:cs="Arial" w:eastAsia="Arial" w:hAnsi="Arial"/>
                <w:sz w:val="14"/>
                <w:szCs w:val="14"/>
                <w:i w:val="1"/>
                <w:iCs w:val="1"/>
                <w:color w:val="0000EE"/>
              </w:rPr>
              <w:t>Table of Contents</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92"/>
        </w:trPr>
        <w:tc>
          <w:tcPr>
            <w:tcW w:w="34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46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5"/>
          </w:tcPr>
          <w:p>
            <w:pPr>
              <w:jc w:val="right"/>
              <w:ind w:right="33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8"/>
                <w:szCs w:val="18"/>
                <w:b w:val="1"/>
                <w:bCs w:val="1"/>
                <w:color w:val="auto"/>
              </w:rPr>
              <w:t>Six Months Ended</w:t>
            </w:r>
          </w:p>
        </w:tc>
        <w:tc>
          <w:tcPr>
            <w:tcW w:w="100" w:type="dxa"/>
            <w:vAlign w:val="bottom"/>
          </w:tcPr>
          <w:p>
            <w:pPr>
              <w:spacing w:after="0"/>
              <w:rPr>
                <w:sz w:val="24"/>
                <w:szCs w:val="24"/>
                <w:color w:val="auto"/>
              </w:rPr>
            </w:pPr>
          </w:p>
        </w:tc>
      </w:tr>
      <w:tr>
        <w:trPr>
          <w:trHeight w:val="198"/>
        </w:trPr>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340"/>
              <w:spacing w:after="0" w:line="198" w:lineRule="exact"/>
              <w:rPr>
                <w:sz w:val="20"/>
                <w:szCs w:val="20"/>
                <w:color w:val="auto"/>
              </w:rPr>
            </w:pPr>
            <w:r>
              <w:rPr>
                <w:rFonts w:ascii="Arial" w:cs="Arial" w:eastAsia="Arial" w:hAnsi="Arial"/>
                <w:sz w:val="18"/>
                <w:szCs w:val="18"/>
                <w:b w:val="1"/>
                <w:bCs w:val="1"/>
                <w:color w:val="auto"/>
              </w:rPr>
              <w:t>April 30,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210"/>
              <w:spacing w:after="0" w:line="198" w:lineRule="exact"/>
              <w:rPr>
                <w:sz w:val="20"/>
                <w:szCs w:val="20"/>
                <w:color w:val="auto"/>
              </w:rPr>
            </w:pPr>
            <w:r>
              <w:rPr>
                <w:rFonts w:ascii="Arial" w:cs="Arial" w:eastAsia="Arial" w:hAnsi="Arial"/>
                <w:sz w:val="18"/>
                <w:szCs w:val="18"/>
                <w:b w:val="1"/>
                <w:bCs w:val="1"/>
                <w:color w:val="auto"/>
              </w:rPr>
              <w:t>May 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130"/>
              <w:spacing w:after="0" w:line="198" w:lineRule="exact"/>
              <w:rPr>
                <w:sz w:val="20"/>
                <w:szCs w:val="20"/>
                <w:color w:val="auto"/>
              </w:rPr>
            </w:pPr>
            <w:r>
              <w:rPr>
                <w:rFonts w:ascii="Arial" w:cs="Arial" w:eastAsia="Arial" w:hAnsi="Arial"/>
                <w:sz w:val="18"/>
                <w:szCs w:val="18"/>
                <w:b w:val="1"/>
                <w:bCs w:val="1"/>
                <w:color w:val="auto"/>
              </w:rPr>
              <w:t>April 30,</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210"/>
              <w:spacing w:after="0" w:line="198" w:lineRule="exact"/>
              <w:rPr>
                <w:sz w:val="20"/>
                <w:szCs w:val="20"/>
                <w:color w:val="auto"/>
              </w:rPr>
            </w:pPr>
            <w:r>
              <w:rPr>
                <w:rFonts w:ascii="Arial" w:cs="Arial" w:eastAsia="Arial" w:hAnsi="Arial"/>
                <w:sz w:val="18"/>
                <w:szCs w:val="18"/>
                <w:b w:val="1"/>
                <w:bCs w:val="1"/>
                <w:color w:val="auto"/>
              </w:rPr>
              <w:t>May 1,</w:t>
            </w:r>
          </w:p>
        </w:tc>
        <w:tc>
          <w:tcPr>
            <w:tcW w:w="100" w:type="dxa"/>
            <w:vAlign w:val="bottom"/>
          </w:tcPr>
          <w:p>
            <w:pPr>
              <w:spacing w:after="0"/>
              <w:rPr>
                <w:sz w:val="17"/>
                <w:szCs w:val="17"/>
                <w:color w:val="auto"/>
              </w:rPr>
            </w:pPr>
          </w:p>
        </w:tc>
      </w:tr>
      <w:tr>
        <w:trPr>
          <w:trHeight w:val="241"/>
        </w:trPr>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6"/>
        </w:trPr>
        <w:tc>
          <w:tcPr>
            <w:tcW w:w="5960" w:type="dxa"/>
            <w:vAlign w:val="bottom"/>
            <w:gridSpan w:val="3"/>
          </w:tcPr>
          <w:p>
            <w:pPr>
              <w:spacing w:after="0"/>
              <w:rPr>
                <w:sz w:val="20"/>
                <w:szCs w:val="20"/>
                <w:color w:val="auto"/>
              </w:rPr>
            </w:pPr>
            <w:r>
              <w:rPr>
                <w:rFonts w:ascii="Arial" w:cs="Arial" w:eastAsia="Arial" w:hAnsi="Arial"/>
                <w:sz w:val="18"/>
                <w:szCs w:val="18"/>
                <w:color w:val="auto"/>
              </w:rPr>
              <w:t>Expense reported in:</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gridSpan w:val="3"/>
            <w:shd w:val="clear" w:color="auto" w:fill="CCEEFF"/>
          </w:tcPr>
          <w:p>
            <w:pPr>
              <w:ind w:left="240"/>
              <w:spacing w:after="0"/>
              <w:rPr>
                <w:sz w:val="20"/>
                <w:szCs w:val="20"/>
                <w:color w:val="auto"/>
              </w:rPr>
            </w:pPr>
            <w:r>
              <w:rPr>
                <w:rFonts w:ascii="Arial" w:cs="Arial" w:eastAsia="Arial" w:hAnsi="Arial"/>
                <w:sz w:val="18"/>
                <w:szCs w:val="18"/>
                <w:i w:val="1"/>
                <w:iCs w:val="1"/>
                <w:color w:val="auto"/>
              </w:rPr>
              <w:t>Cost of goods sold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00" w:type="dxa"/>
            <w:vAlign w:val="bottom"/>
            <w:shd w:val="clear" w:color="auto" w:fill="CCEEFF"/>
          </w:tcPr>
          <w:p>
            <w:pPr>
              <w:spacing w:after="0"/>
              <w:rPr>
                <w:sz w:val="18"/>
                <w:szCs w:val="18"/>
                <w:color w:val="auto"/>
              </w:rPr>
            </w:pPr>
          </w:p>
        </w:tc>
      </w:tr>
      <w:tr>
        <w:trPr>
          <w:trHeight w:val="216"/>
        </w:trPr>
        <w:tc>
          <w:tcPr>
            <w:tcW w:w="5960" w:type="dxa"/>
            <w:vAlign w:val="bottom"/>
            <w:gridSpan w:val="3"/>
          </w:tcPr>
          <w:p>
            <w:pPr>
              <w:ind w:left="240"/>
              <w:spacing w:after="0"/>
              <w:rPr>
                <w:sz w:val="20"/>
                <w:szCs w:val="20"/>
                <w:color w:val="auto"/>
              </w:rPr>
            </w:pPr>
            <w:r>
              <w:rPr>
                <w:rFonts w:ascii="Arial" w:cs="Arial" w:eastAsia="Arial" w:hAnsi="Arial"/>
                <w:sz w:val="18"/>
                <w:szCs w:val="18"/>
                <w:i w:val="1"/>
                <w:iCs w:val="1"/>
                <w:color w:val="auto"/>
              </w:rPr>
              <w:t>Selling, general, and administrative</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1,243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2,908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2,424</w:t>
            </w:r>
          </w:p>
        </w:tc>
        <w:tc>
          <w:tcPr>
            <w:tcW w:w="100" w:type="dxa"/>
            <w:vAlign w:val="bottom"/>
          </w:tcPr>
          <w:p>
            <w:pPr>
              <w:spacing w:after="0"/>
              <w:rPr>
                <w:sz w:val="18"/>
                <w:szCs w:val="18"/>
                <w:color w:val="auto"/>
              </w:rPr>
            </w:pPr>
          </w:p>
        </w:tc>
      </w:tr>
      <w:tr>
        <w:trPr>
          <w:trHeight w:val="223"/>
        </w:trPr>
        <w:tc>
          <w:tcPr>
            <w:tcW w:w="596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i w:val="1"/>
                <w:iCs w:val="1"/>
                <w:color w:val="auto"/>
              </w:rPr>
              <w:t>Research and development</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60" w:type="dxa"/>
            <w:vAlign w:val="bottom"/>
            <w:gridSpan w:val="3"/>
          </w:tcPr>
          <w:p>
            <w:pPr>
              <w:spacing w:after="0"/>
              <w:rPr>
                <w:sz w:val="20"/>
                <w:szCs w:val="20"/>
                <w:color w:val="auto"/>
              </w:rPr>
            </w:pPr>
            <w:r>
              <w:rPr>
                <w:rFonts w:ascii="Arial" w:cs="Arial" w:eastAsia="Arial" w:hAnsi="Arial"/>
                <w:sz w:val="18"/>
                <w:szCs w:val="18"/>
                <w:color w:val="auto"/>
              </w:rPr>
              <w:t>Total expense incurred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2,009</w:t>
            </w:r>
          </w:p>
        </w:tc>
        <w:tc>
          <w:tcPr>
            <w:tcW w:w="12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1,584</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3,830</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3,041</w:t>
            </w:r>
          </w:p>
        </w:tc>
        <w:tc>
          <w:tcPr>
            <w:tcW w:w="100" w:type="dxa"/>
            <w:vAlign w:val="bottom"/>
          </w:tcPr>
          <w:p>
            <w:pPr>
              <w:spacing w:after="0"/>
              <w:rPr>
                <w:sz w:val="18"/>
                <w:szCs w:val="18"/>
                <w:color w:val="auto"/>
              </w:rPr>
            </w:pPr>
          </w:p>
        </w:tc>
      </w:tr>
      <w:tr>
        <w:trPr>
          <w:trHeight w:val="21"/>
        </w:trPr>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60" w:type="dxa"/>
            <w:vAlign w:val="bottom"/>
            <w:gridSpan w:val="3"/>
          </w:tcPr>
          <w:p>
            <w:pPr>
              <w:spacing w:after="0"/>
              <w:rPr>
                <w:sz w:val="20"/>
                <w:szCs w:val="20"/>
                <w:color w:val="auto"/>
              </w:rPr>
            </w:pPr>
            <w:r>
              <w:rPr>
                <w:rFonts w:ascii="Arial" w:cs="Arial" w:eastAsia="Arial" w:hAnsi="Arial"/>
                <w:sz w:val="18"/>
                <w:szCs w:val="18"/>
                <w:color w:val="auto"/>
              </w:rPr>
              <w:t>Expense by award type: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Restricted stock awards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1,974</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3,738</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2,683</w:t>
            </w:r>
          </w:p>
        </w:tc>
        <w:tc>
          <w:tcPr>
            <w:tcW w:w="100" w:type="dxa"/>
            <w:vAlign w:val="bottom"/>
            <w:shd w:val="clear" w:color="auto" w:fill="CCEEFF"/>
          </w:tcPr>
          <w:p>
            <w:pPr>
              <w:spacing w:after="0"/>
              <w:rPr>
                <w:sz w:val="18"/>
                <w:szCs w:val="18"/>
                <w:color w:val="auto"/>
              </w:rPr>
            </w:pPr>
          </w:p>
        </w:tc>
      </w:tr>
      <w:tr>
        <w:trPr>
          <w:trHeight w:val="216"/>
        </w:trPr>
        <w:tc>
          <w:tcPr>
            <w:tcW w:w="5960" w:type="dxa"/>
            <w:vAlign w:val="bottom"/>
            <w:gridSpan w:val="3"/>
          </w:tcPr>
          <w:p>
            <w:pPr>
              <w:ind w:left="240"/>
              <w:spacing w:after="0"/>
              <w:rPr>
                <w:sz w:val="20"/>
                <w:szCs w:val="20"/>
                <w:color w:val="auto"/>
              </w:rPr>
            </w:pPr>
            <w:r>
              <w:rPr>
                <w:rFonts w:ascii="Arial" w:cs="Arial" w:eastAsia="Arial" w:hAnsi="Arial"/>
                <w:sz w:val="18"/>
                <w:szCs w:val="18"/>
                <w:color w:val="auto"/>
              </w:rPr>
              <w:t>Stock options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18"/>
                <w:szCs w:val="18"/>
                <w:color w:val="auto"/>
              </w:rPr>
            </w:pPr>
          </w:p>
        </w:tc>
      </w:tr>
      <w:tr>
        <w:trPr>
          <w:trHeight w:val="216"/>
        </w:trPr>
        <w:tc>
          <w:tcPr>
            <w:tcW w:w="59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Employee stock purchase plan</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8"/>
                <w:szCs w:val="18"/>
                <w:color w:val="auto"/>
              </w:rPr>
            </w:pPr>
          </w:p>
        </w:tc>
      </w:tr>
      <w:tr>
        <w:trPr>
          <w:trHeight w:val="27"/>
        </w:trPr>
        <w:tc>
          <w:tcPr>
            <w:tcW w:w="3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46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60" w:type="dxa"/>
            <w:vAlign w:val="bottom"/>
            <w:gridSpan w:val="3"/>
          </w:tcPr>
          <w:p>
            <w:pPr>
              <w:spacing w:after="0"/>
              <w:rPr>
                <w:sz w:val="20"/>
                <w:szCs w:val="20"/>
                <w:color w:val="auto"/>
              </w:rPr>
            </w:pPr>
            <w:r>
              <w:rPr>
                <w:rFonts w:ascii="Arial" w:cs="Arial" w:eastAsia="Arial" w:hAnsi="Arial"/>
                <w:sz w:val="18"/>
                <w:szCs w:val="18"/>
                <w:color w:val="auto"/>
              </w:rPr>
              <w:t>Total expense incurred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2,009</w:t>
            </w:r>
          </w:p>
        </w:tc>
        <w:tc>
          <w:tcPr>
            <w:tcW w:w="12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1,584</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3,830</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3,041</w:t>
            </w:r>
          </w:p>
        </w:tc>
        <w:tc>
          <w:tcPr>
            <w:tcW w:w="100" w:type="dxa"/>
            <w:vAlign w:val="bottom"/>
          </w:tcPr>
          <w:p>
            <w:pPr>
              <w:spacing w:after="0"/>
              <w:rPr>
                <w:sz w:val="18"/>
                <w:szCs w:val="18"/>
                <w:color w:val="auto"/>
              </w:rPr>
            </w:pPr>
          </w:p>
        </w:tc>
      </w:tr>
      <w:tr>
        <w:trPr>
          <w:trHeight w:val="21"/>
        </w:trPr>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60" w:type="dxa"/>
            <w:vAlign w:val="bottom"/>
            <w:gridSpan w:val="3"/>
          </w:tcPr>
          <w:p>
            <w:pPr>
              <w:spacing w:after="0"/>
              <w:rPr>
                <w:sz w:val="20"/>
                <w:szCs w:val="20"/>
                <w:color w:val="auto"/>
              </w:rPr>
            </w:pPr>
            <w:r>
              <w:rPr>
                <w:rFonts w:ascii="Arial" w:cs="Arial" w:eastAsia="Arial" w:hAnsi="Arial"/>
                <w:sz w:val="18"/>
                <w:szCs w:val="18"/>
                <w:color w:val="auto"/>
              </w:rPr>
              <w:t>Income tax benefits of share-based compensation</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104</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361</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8"/>
                <w:szCs w:val="18"/>
                <w:color w:val="auto"/>
              </w:rPr>
            </w:pPr>
          </w:p>
        </w:tc>
      </w:tr>
      <w:tr>
        <w:trPr>
          <w:trHeight w:val="216"/>
        </w:trPr>
        <w:tc>
          <w:tcPr>
            <w:tcW w:w="5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Share-based compensation cost capitalized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225"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We periodically grant restricted stock awards, the restrictions on which typically lapse over a service period of one to four years. The fair value of the awards is determined on the date of grant, based on the closing price of our common stock. The table below presents information on our restricted stock awards for the three and six-month periods ended April 30, 2023, and May 1, 2022.</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20" w:type="dxa"/>
            <w:vAlign w:val="bottom"/>
            <w:gridSpan w:val="6"/>
          </w:tcPr>
          <w:p>
            <w:pPr>
              <w:ind w:left="26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2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Six Months Ended</w:t>
            </w:r>
          </w:p>
        </w:tc>
        <w:tc>
          <w:tcPr>
            <w:tcW w:w="100" w:type="dxa"/>
            <w:vAlign w:val="bottom"/>
          </w:tcPr>
          <w:p>
            <w:pPr>
              <w:spacing w:after="0"/>
              <w:rPr>
                <w:sz w:val="20"/>
                <w:szCs w:val="20"/>
                <w:color w:val="auto"/>
              </w:rPr>
            </w:pPr>
          </w:p>
        </w:tc>
      </w:tr>
      <w:tr>
        <w:trPr>
          <w:trHeight w:val="198"/>
        </w:trPr>
        <w:tc>
          <w:tcPr>
            <w:tcW w:w="5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jc w:val="right"/>
              <w:ind w:right="340"/>
              <w:spacing w:after="0" w:line="198" w:lineRule="exact"/>
              <w:rPr>
                <w:sz w:val="20"/>
                <w:szCs w:val="20"/>
                <w:color w:val="auto"/>
              </w:rPr>
            </w:pPr>
            <w:r>
              <w:rPr>
                <w:rFonts w:ascii="Arial" w:cs="Arial" w:eastAsia="Arial" w:hAnsi="Arial"/>
                <w:sz w:val="18"/>
                <w:szCs w:val="18"/>
                <w:b w:val="1"/>
                <w:bCs w:val="1"/>
                <w:color w:val="auto"/>
              </w:rPr>
              <w:t>April 30,</w:t>
            </w: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210"/>
              <w:spacing w:after="0" w:line="198" w:lineRule="exact"/>
              <w:rPr>
                <w:sz w:val="20"/>
                <w:szCs w:val="20"/>
                <w:color w:val="auto"/>
              </w:rPr>
            </w:pPr>
            <w:r>
              <w:rPr>
                <w:rFonts w:ascii="Arial" w:cs="Arial" w:eastAsia="Arial" w:hAnsi="Arial"/>
                <w:sz w:val="18"/>
                <w:szCs w:val="18"/>
                <w:b w:val="1"/>
                <w:bCs w:val="1"/>
                <w:color w:val="auto"/>
              </w:rPr>
              <w:t>May 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130"/>
              <w:spacing w:after="0" w:line="198" w:lineRule="exact"/>
              <w:rPr>
                <w:sz w:val="20"/>
                <w:szCs w:val="20"/>
                <w:color w:val="auto"/>
              </w:rPr>
            </w:pPr>
            <w:r>
              <w:rPr>
                <w:rFonts w:ascii="Arial" w:cs="Arial" w:eastAsia="Arial" w:hAnsi="Arial"/>
                <w:sz w:val="18"/>
                <w:szCs w:val="18"/>
                <w:b w:val="1"/>
                <w:bCs w:val="1"/>
                <w:color w:val="auto"/>
              </w:rPr>
              <w:t>April 30,</w:t>
            </w:r>
          </w:p>
        </w:tc>
        <w:tc>
          <w:tcPr>
            <w:tcW w:w="2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210"/>
              <w:spacing w:after="0" w:line="198" w:lineRule="exact"/>
              <w:rPr>
                <w:sz w:val="20"/>
                <w:szCs w:val="20"/>
                <w:color w:val="auto"/>
              </w:rPr>
            </w:pPr>
            <w:r>
              <w:rPr>
                <w:rFonts w:ascii="Arial" w:cs="Arial" w:eastAsia="Arial" w:hAnsi="Arial"/>
                <w:sz w:val="18"/>
                <w:szCs w:val="18"/>
                <w:b w:val="1"/>
                <w:bCs w:val="1"/>
                <w:color w:val="auto"/>
              </w:rPr>
              <w:t>May 1,</w:t>
            </w:r>
          </w:p>
        </w:tc>
        <w:tc>
          <w:tcPr>
            <w:tcW w:w="100" w:type="dxa"/>
            <w:vAlign w:val="bottom"/>
          </w:tcPr>
          <w:p>
            <w:pPr>
              <w:spacing w:after="0"/>
              <w:rPr>
                <w:sz w:val="17"/>
                <w:szCs w:val="17"/>
                <w:color w:val="auto"/>
              </w:rPr>
            </w:pPr>
          </w:p>
        </w:tc>
      </w:tr>
      <w:tr>
        <w:trPr>
          <w:trHeight w:val="241"/>
        </w:trPr>
        <w:tc>
          <w:tcPr>
            <w:tcW w:w="5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Number of shares granted in period</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786,500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535,400</w:t>
            </w:r>
          </w:p>
        </w:tc>
        <w:tc>
          <w:tcPr>
            <w:tcW w:w="100" w:type="dxa"/>
            <w:vAlign w:val="bottom"/>
            <w:shd w:val="clear" w:color="auto" w:fill="CCEEFF"/>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Weighted-average grant-date fair value of awards (in dollars per share)</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16.77</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19.28</w:t>
            </w:r>
          </w:p>
        </w:tc>
        <w:tc>
          <w:tcPr>
            <w:tcW w:w="100" w:type="dxa"/>
            <w:vAlign w:val="bottom"/>
          </w:tcPr>
          <w:p>
            <w:pPr>
              <w:spacing w:after="0"/>
              <w:rPr>
                <w:sz w:val="18"/>
                <w:szCs w:val="18"/>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Compensation cost not yet recognized</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16,419</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10,779</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16,419</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10,779</w:t>
            </w:r>
          </w:p>
        </w:tc>
        <w:tc>
          <w:tcPr>
            <w:tcW w:w="100" w:type="dxa"/>
            <w:vAlign w:val="bottom"/>
            <w:shd w:val="clear" w:color="auto" w:fill="CCEEFF"/>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w w:val="94"/>
              </w:rPr>
              <w:t>Weighted-average amortization period for cost not yet recognized (in years)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balance sheet date</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1,328,572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891,429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1,328,572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891,429</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Option awards generally vest in one to four years and have a ten-year contractual term. All incentive and non-qualified stock option grants must have an exercise price no less than the market value of the underlying common stock on the date of grant. The grant-date fair values of options are based on closing prices of our common stock on the dates of grant and are calculated using the Black-Scholes option pricing model. Expected volatility is based on the historical volatility of our common stock. We use historical option exercise behavior and employee termination data to estimate expected term, which represents the period of time that options are expected to remain outstanding. The risk-free rate of return for the estimated term of an option is based on the U.S. Treasury yield curve in effect at the date of grant. The table below presents information on our stock options for the three and six-month periods ended April 30, 2023, and May 1, 2022.</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61"/>
        </w:trPr>
        <w:tc>
          <w:tcPr>
            <w:tcW w:w="5940" w:type="dxa"/>
            <w:vAlign w:val="bottom"/>
            <w:gridSpan w:val="2"/>
          </w:tcPr>
          <w:p>
            <w:pPr>
              <w:spacing w:after="0"/>
              <w:rPr>
                <w:sz w:val="20"/>
                <w:szCs w:val="20"/>
                <w:color w:val="auto"/>
              </w:rPr>
            </w:pPr>
            <w:r>
              <w:rPr>
                <w:rFonts w:ascii="Arial" w:cs="Arial" w:eastAsia="Arial" w:hAnsi="Arial"/>
                <w:sz w:val="14"/>
                <w:szCs w:val="14"/>
                <w:i w:val="1"/>
                <w:iCs w:val="1"/>
                <w:color w:val="0000EE"/>
              </w:rPr>
              <w:t>Table of Contents</w:t>
            </w: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92"/>
        </w:trPr>
        <w:tc>
          <w:tcPr>
            <w:tcW w:w="1020" w:type="dxa"/>
            <w:vAlign w:val="bottom"/>
            <w:tcBorders>
              <w:top w:val="single" w:sz="8" w:color="0000EE"/>
            </w:tcBorders>
          </w:tcPr>
          <w:p>
            <w:pPr>
              <w:spacing w:after="0"/>
              <w:rPr>
                <w:sz w:val="24"/>
                <w:szCs w:val="24"/>
                <w:color w:val="auto"/>
              </w:rPr>
            </w:pPr>
          </w:p>
        </w:tc>
        <w:tc>
          <w:tcPr>
            <w:tcW w:w="4920" w:type="dxa"/>
            <w:vAlign w:val="bottom"/>
          </w:tcPr>
          <w:p>
            <w:pPr>
              <w:spacing w:after="0"/>
              <w:rPr>
                <w:sz w:val="24"/>
                <w:szCs w:val="24"/>
                <w:color w:val="auto"/>
              </w:rPr>
            </w:pPr>
          </w:p>
        </w:tc>
        <w:tc>
          <w:tcPr>
            <w:tcW w:w="2200" w:type="dxa"/>
            <w:vAlign w:val="bottom"/>
            <w:tcBorders>
              <w:bottom w:val="single" w:sz="8" w:color="auto"/>
            </w:tcBorders>
            <w:gridSpan w:val="5"/>
          </w:tcPr>
          <w:p>
            <w:pPr>
              <w:jc w:val="right"/>
              <w:ind w:right="5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8"/>
                <w:szCs w:val="18"/>
                <w:b w:val="1"/>
                <w:bCs w:val="1"/>
                <w:color w:val="auto"/>
              </w:rPr>
              <w:t>Six Months Ended</w:t>
            </w:r>
          </w:p>
        </w:tc>
        <w:tc>
          <w:tcPr>
            <w:tcW w:w="100" w:type="dxa"/>
            <w:vAlign w:val="bottom"/>
          </w:tcPr>
          <w:p>
            <w:pPr>
              <w:spacing w:after="0"/>
              <w:rPr>
                <w:sz w:val="24"/>
                <w:szCs w:val="24"/>
                <w:color w:val="auto"/>
              </w:rPr>
            </w:pPr>
          </w:p>
        </w:tc>
      </w:tr>
      <w:tr>
        <w:trPr>
          <w:trHeight w:val="198"/>
        </w:trPr>
        <w:tc>
          <w:tcPr>
            <w:tcW w:w="102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940" w:type="dxa"/>
            <w:vAlign w:val="bottom"/>
          </w:tcPr>
          <w:p>
            <w:pPr>
              <w:jc w:val="right"/>
              <w:spacing w:after="0" w:line="198" w:lineRule="exact"/>
              <w:rPr>
                <w:sz w:val="20"/>
                <w:szCs w:val="20"/>
                <w:color w:val="auto"/>
              </w:rPr>
            </w:pPr>
            <w:r>
              <w:rPr>
                <w:rFonts w:ascii="Arial" w:cs="Arial" w:eastAsia="Arial" w:hAnsi="Arial"/>
                <w:sz w:val="18"/>
                <w:szCs w:val="18"/>
                <w:b w:val="1"/>
                <w:bCs w:val="1"/>
                <w:color w:val="auto"/>
              </w:rPr>
              <w:t>April 30,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line="198" w:lineRule="exact"/>
              <w:rPr>
                <w:sz w:val="20"/>
                <w:szCs w:val="20"/>
                <w:color w:val="auto"/>
              </w:rPr>
            </w:pPr>
            <w:r>
              <w:rPr>
                <w:rFonts w:ascii="Arial" w:cs="Arial" w:eastAsia="Arial" w:hAnsi="Arial"/>
                <w:sz w:val="18"/>
                <w:szCs w:val="18"/>
                <w:b w:val="1"/>
                <w:bCs w:val="1"/>
                <w:color w:val="auto"/>
              </w:rPr>
              <w:t>May 1,</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ind w:right="130"/>
              <w:spacing w:after="0" w:line="198" w:lineRule="exact"/>
              <w:rPr>
                <w:sz w:val="20"/>
                <w:szCs w:val="20"/>
                <w:color w:val="auto"/>
              </w:rPr>
            </w:pPr>
            <w:r>
              <w:rPr>
                <w:rFonts w:ascii="Arial" w:cs="Arial" w:eastAsia="Arial" w:hAnsi="Arial"/>
                <w:sz w:val="18"/>
                <w:szCs w:val="18"/>
                <w:b w:val="1"/>
                <w:bCs w:val="1"/>
                <w:color w:val="auto"/>
              </w:rPr>
              <w:t>April 30,</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230"/>
              <w:spacing w:after="0" w:line="198" w:lineRule="exact"/>
              <w:rPr>
                <w:sz w:val="20"/>
                <w:szCs w:val="20"/>
                <w:color w:val="auto"/>
              </w:rPr>
            </w:pPr>
            <w:r>
              <w:rPr>
                <w:rFonts w:ascii="Arial" w:cs="Arial" w:eastAsia="Arial" w:hAnsi="Arial"/>
                <w:sz w:val="18"/>
                <w:szCs w:val="18"/>
                <w:b w:val="1"/>
                <w:bCs w:val="1"/>
                <w:color w:val="auto"/>
              </w:rPr>
              <w:t>May 1,</w:t>
            </w:r>
          </w:p>
        </w:tc>
        <w:tc>
          <w:tcPr>
            <w:tcW w:w="100" w:type="dxa"/>
            <w:vAlign w:val="bottom"/>
          </w:tcPr>
          <w:p>
            <w:pPr>
              <w:spacing w:after="0"/>
              <w:rPr>
                <w:sz w:val="17"/>
                <w:szCs w:val="17"/>
                <w:color w:val="auto"/>
              </w:rPr>
            </w:pPr>
          </w:p>
        </w:tc>
      </w:tr>
      <w:tr>
        <w:trPr>
          <w:trHeight w:val="241"/>
        </w:trPr>
        <w:tc>
          <w:tcPr>
            <w:tcW w:w="10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b w:val="1"/>
                <w:bCs w:val="1"/>
                <w:color w:val="auto"/>
              </w:rPr>
              <w:t>2023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Number of options granted in period</w:t>
            </w:r>
          </w:p>
        </w:tc>
        <w:tc>
          <w:tcPr>
            <w:tcW w:w="9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Cash received from options exercised</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20</w:t>
            </w:r>
          </w:p>
        </w:tc>
        <w:tc>
          <w:tcPr>
            <w:tcW w:w="960" w:type="dxa"/>
            <w:vAlign w:val="bottom"/>
            <w:gridSpan w:val="2"/>
          </w:tcPr>
          <w:p>
            <w:pPr>
              <w:jc w:val="right"/>
              <w:ind w:right="67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438</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583</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4,149</w:t>
            </w:r>
          </w:p>
        </w:tc>
        <w:tc>
          <w:tcPr>
            <w:tcW w:w="100" w:type="dxa"/>
            <w:vAlign w:val="bottom"/>
          </w:tcPr>
          <w:p>
            <w:pPr>
              <w:spacing w:after="0"/>
              <w:rPr>
                <w:sz w:val="18"/>
                <w:szCs w:val="18"/>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cost not yet recognized</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r>
      <w:tr>
        <w:trPr>
          <w:trHeight w:val="230"/>
        </w:trPr>
        <w:tc>
          <w:tcPr>
            <w:tcW w:w="5940" w:type="dxa"/>
            <w:vAlign w:val="bottom"/>
            <w:gridSpan w:val="2"/>
          </w:tcPr>
          <w:p>
            <w:pPr>
              <w:spacing w:after="0"/>
              <w:rPr>
                <w:sz w:val="20"/>
                <w:szCs w:val="20"/>
                <w:color w:val="auto"/>
              </w:rPr>
            </w:pPr>
            <w:r>
              <w:rPr>
                <w:rFonts w:ascii="Arial" w:cs="Arial" w:eastAsia="Arial" w:hAnsi="Arial"/>
                <w:sz w:val="18"/>
                <w:szCs w:val="18"/>
                <w:color w:val="auto"/>
                <w:w w:val="98"/>
              </w:rPr>
              <w:t>Weighted-average amortization period for cost not yet recognized (in years)</w:t>
            </w:r>
          </w:p>
        </w:tc>
        <w:tc>
          <w:tcPr>
            <w:tcW w:w="940" w:type="dxa"/>
            <w:vAlign w:val="bottom"/>
          </w:tcPr>
          <w:p>
            <w:pPr>
              <w:spacing w:after="0"/>
              <w:rPr>
                <w:sz w:val="20"/>
                <w:szCs w:val="20"/>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on outstanding and exercisable option awards as of April 30, 2023, is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47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center"/>
              <w:ind w:right="170"/>
              <w:spacing w:after="0"/>
              <w:rPr>
                <w:sz w:val="20"/>
                <w:szCs w:val="20"/>
                <w:color w:val="auto"/>
              </w:rPr>
            </w:pPr>
            <w:r>
              <w:rPr>
                <w:rFonts w:ascii="Arial" w:cs="Arial" w:eastAsia="Arial" w:hAnsi="Arial"/>
                <w:sz w:val="18"/>
                <w:szCs w:val="18"/>
                <w:b w:val="1"/>
                <w:bCs w:val="1"/>
                <w:color w:val="auto"/>
                <w:w w:val="88"/>
              </w:rPr>
              <w:t>Weighted</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47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b w:val="1"/>
                <w:bCs w:val="1"/>
                <w:color w:val="auto"/>
                <w:w w:val="87"/>
              </w:rPr>
              <w:t>Average</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240" w:type="dxa"/>
            <w:vAlign w:val="bottom"/>
          </w:tcPr>
          <w:p>
            <w:pPr>
              <w:spacing w:after="0"/>
              <w:rPr>
                <w:sz w:val="18"/>
                <w:szCs w:val="18"/>
                <w:color w:val="auto"/>
              </w:rPr>
            </w:pPr>
          </w:p>
        </w:tc>
        <w:tc>
          <w:tcPr>
            <w:tcW w:w="112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Aggregate</w:t>
            </w:r>
          </w:p>
        </w:tc>
      </w:tr>
      <w:tr>
        <w:trPr>
          <w:trHeight w:val="216"/>
        </w:trPr>
        <w:tc>
          <w:tcPr>
            <w:tcW w:w="47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center"/>
              <w:ind w:right="170"/>
              <w:spacing w:after="0"/>
              <w:rPr>
                <w:sz w:val="20"/>
                <w:szCs w:val="20"/>
                <w:color w:val="auto"/>
              </w:rPr>
            </w:pPr>
            <w:r>
              <w:rPr>
                <w:rFonts w:ascii="Arial" w:cs="Arial" w:eastAsia="Arial" w:hAnsi="Arial"/>
                <w:sz w:val="18"/>
                <w:szCs w:val="18"/>
                <w:b w:val="1"/>
                <w:bCs w:val="1"/>
                <w:color w:val="auto"/>
                <w:w w:val="86"/>
              </w:rPr>
              <w:t>Exercise</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3"/>
              </w:rPr>
              <w:t>Contractual</w:t>
            </w:r>
          </w:p>
        </w:tc>
        <w:tc>
          <w:tcPr>
            <w:tcW w:w="240" w:type="dxa"/>
            <w:vAlign w:val="bottom"/>
          </w:tcPr>
          <w:p>
            <w:pPr>
              <w:spacing w:after="0"/>
              <w:rPr>
                <w:sz w:val="18"/>
                <w:szCs w:val="18"/>
                <w:color w:val="auto"/>
              </w:rPr>
            </w:pPr>
          </w:p>
        </w:tc>
        <w:tc>
          <w:tcPr>
            <w:tcW w:w="1120" w:type="dxa"/>
            <w:vAlign w:val="bottom"/>
          </w:tcPr>
          <w:p>
            <w:pPr>
              <w:jc w:val="center"/>
              <w:ind w:right="130"/>
              <w:spacing w:after="0"/>
              <w:rPr>
                <w:sz w:val="20"/>
                <w:szCs w:val="20"/>
                <w:color w:val="auto"/>
              </w:rPr>
            </w:pPr>
            <w:r>
              <w:rPr>
                <w:rFonts w:ascii="Arial" w:cs="Arial" w:eastAsia="Arial" w:hAnsi="Arial"/>
                <w:sz w:val="18"/>
                <w:szCs w:val="18"/>
                <w:b w:val="1"/>
                <w:bCs w:val="1"/>
                <w:color w:val="auto"/>
                <w:w w:val="94"/>
              </w:rPr>
              <w:t>Intrinsic</w:t>
            </w:r>
          </w:p>
        </w:tc>
      </w:tr>
      <w:tr>
        <w:trPr>
          <w:trHeight w:val="241"/>
        </w:trPr>
        <w:tc>
          <w:tcPr>
            <w:tcW w:w="4780" w:type="dxa"/>
            <w:vAlign w:val="bottom"/>
            <w:tcBorders>
              <w:bottom w:val="single" w:sz="8" w:color="auto"/>
            </w:tcBorders>
          </w:tcPr>
          <w:p>
            <w:pPr>
              <w:ind w:left="2620"/>
              <w:spacing w:after="0"/>
              <w:rPr>
                <w:sz w:val="20"/>
                <w:szCs w:val="20"/>
                <w:color w:val="auto"/>
              </w:rPr>
            </w:pPr>
            <w:r>
              <w:rPr>
                <w:rFonts w:ascii="Arial" w:cs="Arial" w:eastAsia="Arial" w:hAnsi="Arial"/>
                <w:sz w:val="18"/>
                <w:szCs w:val="18"/>
                <w:b w:val="1"/>
                <w:bCs w:val="1"/>
                <w:color w:val="auto"/>
              </w:rPr>
              <w:t>Options</w:t>
            </w:r>
          </w:p>
        </w:tc>
        <w:tc>
          <w:tcPr>
            <w:tcW w:w="24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Shares</w:t>
            </w: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0"/>
              </w:rPr>
              <w:t>Price</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Life (in years)</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1"/>
              </w:rPr>
              <w:t>Value</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Outstanding and exercisable at April 30, 2023</w:t>
            </w:r>
          </w:p>
        </w:tc>
        <w:tc>
          <w:tcPr>
            <w:tcW w:w="2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526,926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10.11</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2,293</w:t>
            </w:r>
          </w:p>
        </w:tc>
      </w:tr>
      <w:tr>
        <w:trPr>
          <w:trHeight w:val="432"/>
        </w:trPr>
        <w:tc>
          <w:tcPr>
            <w:tcW w:w="4780" w:type="dxa"/>
            <w:vAlign w:val="bottom"/>
          </w:tcPr>
          <w:p>
            <w:pPr>
              <w:spacing w:after="0"/>
              <w:rPr>
                <w:sz w:val="20"/>
                <w:szCs w:val="20"/>
                <w:color w:val="auto"/>
              </w:rPr>
            </w:pPr>
            <w:r>
              <w:rPr>
                <w:rFonts w:ascii="Arial" w:cs="Arial" w:eastAsia="Arial" w:hAnsi="Arial"/>
                <w:sz w:val="18"/>
                <w:szCs w:val="18"/>
                <w:b w:val="1"/>
                <w:bCs w:val="1"/>
                <w:color w:val="auto"/>
              </w:rPr>
              <w:t>NOTE 9 - INCOME TAXES</w:t>
            </w:r>
          </w:p>
        </w:tc>
        <w:tc>
          <w:tcPr>
            <w:tcW w:w="2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pacing w:after="0" w:line="202"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We calculate our provision for income taxes at the end of each interim reporting period on the basis of an estimated annual effective tax rate adjusted for tax items that are discrete to each period. The table below sets forth the primary reasons that our effective income tax rates differed from the U.S. statutory tax rates in effect during the three and six-month periods ended April 30, 2023, and May 1, 2022.</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9"/>
              </w:rPr>
              <w:t>Photronics</w:t>
            </w:r>
          </w:p>
        </w:tc>
        <w:tc>
          <w:tcPr>
            <w:tcW w:w="10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2"/>
              </w:rPr>
              <w:t>U.S. Statutory</w:t>
            </w: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0"/>
              </w:rPr>
              <w:t>Effective Tax</w:t>
            </w:r>
          </w:p>
        </w:tc>
        <w:tc>
          <w:tcPr>
            <w:tcW w:w="10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340" w:type="dxa"/>
            <w:vAlign w:val="bottom"/>
            <w:tcBorders>
              <w:bottom w:val="single" w:sz="8" w:color="auto"/>
            </w:tcBorders>
            <w:gridSpan w:val="2"/>
          </w:tcPr>
          <w:p>
            <w:pPr>
              <w:ind w:left="1520"/>
              <w:spacing w:after="0"/>
              <w:rPr>
                <w:sz w:val="20"/>
                <w:szCs w:val="20"/>
                <w:color w:val="auto"/>
              </w:rPr>
            </w:pPr>
            <w:r>
              <w:rPr>
                <w:rFonts w:ascii="Arial" w:cs="Arial" w:eastAsia="Arial" w:hAnsi="Arial"/>
                <w:sz w:val="18"/>
                <w:szCs w:val="18"/>
                <w:b w:val="1"/>
                <w:bCs w:val="1"/>
                <w:color w:val="auto"/>
              </w:rPr>
              <w:t>Reporting Period</w:t>
            </w:r>
          </w:p>
        </w:tc>
        <w:tc>
          <w:tcPr>
            <w:tcW w:w="10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Tax Rates</w:t>
            </w:r>
          </w:p>
        </w:tc>
        <w:tc>
          <w:tcPr>
            <w:tcW w:w="10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Rates</w:t>
            </w:r>
          </w:p>
        </w:tc>
        <w:tc>
          <w:tcPr>
            <w:tcW w:w="100" w:type="dxa"/>
            <w:vAlign w:val="bottom"/>
          </w:tcPr>
          <w:p>
            <w:pPr>
              <w:spacing w:after="0"/>
              <w:rPr>
                <w:sz w:val="20"/>
                <w:szCs w:val="20"/>
                <w:color w:val="auto"/>
              </w:rPr>
            </w:pPr>
          </w:p>
        </w:tc>
        <w:tc>
          <w:tcPr>
            <w:tcW w:w="4340" w:type="dxa"/>
            <w:vAlign w:val="bottom"/>
            <w:tcBorders>
              <w:bottom w:val="single" w:sz="8" w:color="auto"/>
            </w:tcBorders>
            <w:gridSpan w:val="4"/>
          </w:tcPr>
          <w:p>
            <w:pPr>
              <w:ind w:left="920"/>
              <w:spacing w:after="0"/>
              <w:rPr>
                <w:sz w:val="20"/>
                <w:szCs w:val="20"/>
                <w:color w:val="auto"/>
              </w:rPr>
            </w:pPr>
            <w:r>
              <w:rPr>
                <w:rFonts w:ascii="Arial" w:cs="Arial" w:eastAsia="Arial" w:hAnsi="Arial"/>
                <w:sz w:val="18"/>
                <w:szCs w:val="18"/>
                <w:b w:val="1"/>
                <w:bCs w:val="1"/>
                <w:color w:val="auto"/>
              </w:rPr>
              <w:t>Primary Reasons for Differences</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180" w:type="dxa"/>
            <w:vAlign w:val="bottom"/>
            <w:gridSpan w:val="2"/>
          </w:tcPr>
          <w:p>
            <w:pPr>
              <w:spacing w:after="0"/>
              <w:rPr>
                <w:sz w:val="18"/>
                <w:szCs w:val="18"/>
                <w:color w:val="auto"/>
              </w:rPr>
            </w:pPr>
          </w:p>
        </w:tc>
        <w:tc>
          <w:tcPr>
            <w:tcW w:w="408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3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Three months ended April 30, 2023</w:t>
            </w:r>
          </w:p>
        </w:tc>
        <w:tc>
          <w:tcPr>
            <w:tcW w:w="1280" w:type="dxa"/>
            <w:vAlign w:val="bottom"/>
            <w:gridSpan w:val="2"/>
            <w:shd w:val="clear" w:color="auto" w:fill="CCEEFF"/>
          </w:tcPr>
          <w:p>
            <w:pPr>
              <w:jc w:val="center"/>
              <w:ind w:left="10"/>
              <w:spacing w:after="0" w:line="201" w:lineRule="exact"/>
              <w:rPr>
                <w:sz w:val="20"/>
                <w:szCs w:val="20"/>
                <w:color w:val="auto"/>
              </w:rPr>
            </w:pPr>
            <w:r>
              <w:rPr>
                <w:rFonts w:ascii="Arial" w:cs="Arial" w:eastAsia="Arial" w:hAnsi="Arial"/>
                <w:sz w:val="18"/>
                <w:szCs w:val="18"/>
                <w:color w:val="auto"/>
                <w:w w:val="90"/>
              </w:rPr>
              <w:t>21.0%</w:t>
            </w:r>
          </w:p>
        </w:tc>
        <w:tc>
          <w:tcPr>
            <w:tcW w:w="1180" w:type="dxa"/>
            <w:vAlign w:val="bottom"/>
            <w:gridSpan w:val="2"/>
            <w:shd w:val="clear" w:color="auto" w:fill="CCEEFF"/>
          </w:tcPr>
          <w:p>
            <w:pPr>
              <w:jc w:val="center"/>
              <w:ind w:left="10"/>
              <w:spacing w:after="0" w:line="201" w:lineRule="exact"/>
              <w:rPr>
                <w:sz w:val="20"/>
                <w:szCs w:val="20"/>
                <w:color w:val="auto"/>
              </w:rPr>
            </w:pPr>
            <w:r>
              <w:rPr>
                <w:rFonts w:ascii="Arial" w:cs="Arial" w:eastAsia="Arial" w:hAnsi="Arial"/>
                <w:sz w:val="18"/>
                <w:szCs w:val="18"/>
                <w:color w:val="auto"/>
                <w:w w:val="93"/>
              </w:rPr>
              <w:t>26.5%</w:t>
            </w:r>
          </w:p>
        </w:tc>
        <w:tc>
          <w:tcPr>
            <w:tcW w:w="4440" w:type="dxa"/>
            <w:vAlign w:val="bottom"/>
            <w:gridSpan w:val="5"/>
            <w:shd w:val="clear" w:color="auto" w:fill="CCEEFF"/>
          </w:tcPr>
          <w:p>
            <w:pPr>
              <w:ind w:left="100"/>
              <w:spacing w:after="0" w:line="201" w:lineRule="exact"/>
              <w:rPr>
                <w:sz w:val="20"/>
                <w:szCs w:val="20"/>
                <w:color w:val="auto"/>
              </w:rPr>
            </w:pPr>
            <w:r>
              <w:rPr>
                <w:rFonts w:ascii="Arial" w:cs="Arial" w:eastAsia="Arial" w:hAnsi="Arial"/>
                <w:sz w:val="18"/>
                <w:szCs w:val="18"/>
                <w:color w:val="auto"/>
                <w:w w:val="94"/>
              </w:rPr>
              <w:t>Non-recognition of the tax benefit of losses that, in certain</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440" w:type="dxa"/>
            <w:vAlign w:val="bottom"/>
            <w:gridSpan w:val="5"/>
            <w:shd w:val="clear" w:color="auto" w:fill="CCEEFF"/>
          </w:tcPr>
          <w:p>
            <w:pPr>
              <w:ind w:left="100"/>
              <w:spacing w:after="0"/>
              <w:rPr>
                <w:sz w:val="20"/>
                <w:szCs w:val="20"/>
                <w:color w:val="auto"/>
              </w:rPr>
            </w:pPr>
            <w:r>
              <w:rPr>
                <w:rFonts w:ascii="Arial" w:cs="Arial" w:eastAsia="Arial" w:hAnsi="Arial"/>
                <w:sz w:val="18"/>
                <w:szCs w:val="18"/>
                <w:color w:val="auto"/>
                <w:w w:val="98"/>
              </w:rPr>
              <w:t>jurisdictions, have been offset by valuation allowances,</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440" w:type="dxa"/>
            <w:vAlign w:val="bottom"/>
            <w:gridSpan w:val="5"/>
            <w:shd w:val="clear" w:color="auto" w:fill="CCEEFF"/>
          </w:tcPr>
          <w:p>
            <w:pPr>
              <w:ind w:left="100"/>
              <w:spacing w:after="0"/>
              <w:rPr>
                <w:sz w:val="20"/>
                <w:szCs w:val="20"/>
                <w:color w:val="auto"/>
              </w:rPr>
            </w:pPr>
            <w:r>
              <w:rPr>
                <w:rFonts w:ascii="Arial" w:cs="Arial" w:eastAsia="Arial" w:hAnsi="Arial"/>
                <w:sz w:val="18"/>
                <w:szCs w:val="18"/>
                <w:color w:val="auto"/>
                <w:w w:val="97"/>
              </w:rPr>
              <w:t>non-U.S. pre-tax income being taxed at higher statutory</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440" w:type="dxa"/>
            <w:vAlign w:val="bottom"/>
            <w:gridSpan w:val="5"/>
            <w:shd w:val="clear" w:color="auto" w:fill="CCEEFF"/>
          </w:tcPr>
          <w:p>
            <w:pPr>
              <w:ind w:left="100"/>
              <w:spacing w:after="0"/>
              <w:rPr>
                <w:sz w:val="20"/>
                <w:szCs w:val="20"/>
                <w:color w:val="auto"/>
              </w:rPr>
            </w:pPr>
            <w:r>
              <w:rPr>
                <w:rFonts w:ascii="Arial" w:cs="Arial" w:eastAsia="Arial" w:hAnsi="Arial"/>
                <w:sz w:val="18"/>
                <w:szCs w:val="18"/>
                <w:color w:val="auto"/>
                <w:w w:val="91"/>
              </w:rPr>
              <w:t>rates in the non-U.S. jurisdictions, and the establishment of</w:t>
            </w:r>
          </w:p>
        </w:tc>
        <w:tc>
          <w:tcPr>
            <w:tcW w:w="0" w:type="dxa"/>
            <w:vAlign w:val="bottom"/>
          </w:tcPr>
          <w:p>
            <w:pPr>
              <w:spacing w:after="0"/>
              <w:rPr>
                <w:sz w:val="1"/>
                <w:szCs w:val="1"/>
                <w:color w:val="auto"/>
              </w:rPr>
            </w:pPr>
          </w:p>
        </w:tc>
      </w:tr>
      <w:tr>
        <w:trPr>
          <w:trHeight w:val="230"/>
        </w:trPr>
        <w:tc>
          <w:tcPr>
            <w:tcW w:w="226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4440" w:type="dxa"/>
            <w:vAlign w:val="bottom"/>
            <w:gridSpan w:val="5"/>
            <w:shd w:val="clear" w:color="auto" w:fill="CCEEFF"/>
          </w:tcPr>
          <w:p>
            <w:pPr>
              <w:ind w:left="100"/>
              <w:spacing w:after="0"/>
              <w:rPr>
                <w:sz w:val="20"/>
                <w:szCs w:val="20"/>
                <w:color w:val="auto"/>
              </w:rPr>
            </w:pPr>
            <w:r>
              <w:rPr>
                <w:rFonts w:ascii="Arial" w:cs="Arial" w:eastAsia="Arial" w:hAnsi="Arial"/>
                <w:sz w:val="18"/>
                <w:szCs w:val="18"/>
                <w:color w:val="auto"/>
              </w:rPr>
              <w:t>uncertain tax positions in non-U.S. jurisdictions.</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180" w:type="dxa"/>
            <w:vAlign w:val="bottom"/>
            <w:gridSpan w:val="2"/>
          </w:tcPr>
          <w:p>
            <w:pPr>
              <w:spacing w:after="0"/>
              <w:rPr>
                <w:sz w:val="18"/>
                <w:szCs w:val="18"/>
                <w:color w:val="auto"/>
              </w:rPr>
            </w:pPr>
          </w:p>
        </w:tc>
        <w:tc>
          <w:tcPr>
            <w:tcW w:w="408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3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Three months ended May 1, 2022</w:t>
            </w:r>
          </w:p>
        </w:tc>
        <w:tc>
          <w:tcPr>
            <w:tcW w:w="1280" w:type="dxa"/>
            <w:vAlign w:val="bottom"/>
            <w:gridSpan w:val="2"/>
            <w:shd w:val="clear" w:color="auto" w:fill="CCEEFF"/>
          </w:tcPr>
          <w:p>
            <w:pPr>
              <w:jc w:val="center"/>
              <w:ind w:left="10"/>
              <w:spacing w:after="0" w:line="201" w:lineRule="exact"/>
              <w:rPr>
                <w:sz w:val="20"/>
                <w:szCs w:val="20"/>
                <w:color w:val="auto"/>
              </w:rPr>
            </w:pPr>
            <w:r>
              <w:rPr>
                <w:rFonts w:ascii="Arial" w:cs="Arial" w:eastAsia="Arial" w:hAnsi="Arial"/>
                <w:sz w:val="18"/>
                <w:szCs w:val="18"/>
                <w:color w:val="auto"/>
                <w:w w:val="90"/>
              </w:rPr>
              <w:t>21.0%</w:t>
            </w:r>
          </w:p>
        </w:tc>
        <w:tc>
          <w:tcPr>
            <w:tcW w:w="1180" w:type="dxa"/>
            <w:vAlign w:val="bottom"/>
            <w:gridSpan w:val="2"/>
            <w:shd w:val="clear" w:color="auto" w:fill="CCEEFF"/>
          </w:tcPr>
          <w:p>
            <w:pPr>
              <w:jc w:val="center"/>
              <w:ind w:left="10"/>
              <w:spacing w:after="0" w:line="201" w:lineRule="exact"/>
              <w:rPr>
                <w:sz w:val="20"/>
                <w:szCs w:val="20"/>
                <w:color w:val="auto"/>
              </w:rPr>
            </w:pPr>
            <w:r>
              <w:rPr>
                <w:rFonts w:ascii="Arial" w:cs="Arial" w:eastAsia="Arial" w:hAnsi="Arial"/>
                <w:sz w:val="18"/>
                <w:szCs w:val="18"/>
                <w:color w:val="auto"/>
                <w:w w:val="93"/>
              </w:rPr>
              <w:t>25.1%</w:t>
            </w:r>
          </w:p>
        </w:tc>
        <w:tc>
          <w:tcPr>
            <w:tcW w:w="4440" w:type="dxa"/>
            <w:vAlign w:val="bottom"/>
            <w:gridSpan w:val="5"/>
            <w:shd w:val="clear" w:color="auto" w:fill="CCEEFF"/>
          </w:tcPr>
          <w:p>
            <w:pPr>
              <w:ind w:left="100"/>
              <w:spacing w:after="0" w:line="201" w:lineRule="exact"/>
              <w:rPr>
                <w:sz w:val="20"/>
                <w:szCs w:val="20"/>
                <w:color w:val="auto"/>
              </w:rPr>
            </w:pPr>
            <w:r>
              <w:rPr>
                <w:rFonts w:ascii="Arial" w:cs="Arial" w:eastAsia="Arial" w:hAnsi="Arial"/>
                <w:sz w:val="18"/>
                <w:szCs w:val="18"/>
                <w:color w:val="auto"/>
                <w:w w:val="94"/>
              </w:rPr>
              <w:t>Non-recognition of the tax benefit of losses that, in certain</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440" w:type="dxa"/>
            <w:vAlign w:val="bottom"/>
            <w:gridSpan w:val="5"/>
            <w:shd w:val="clear" w:color="auto" w:fill="CCEEFF"/>
          </w:tcPr>
          <w:p>
            <w:pPr>
              <w:ind w:left="100"/>
              <w:spacing w:after="0"/>
              <w:rPr>
                <w:sz w:val="20"/>
                <w:szCs w:val="20"/>
                <w:color w:val="auto"/>
              </w:rPr>
            </w:pPr>
            <w:r>
              <w:rPr>
                <w:rFonts w:ascii="Arial" w:cs="Arial" w:eastAsia="Arial" w:hAnsi="Arial"/>
                <w:sz w:val="18"/>
                <w:szCs w:val="18"/>
                <w:color w:val="auto"/>
                <w:w w:val="98"/>
              </w:rPr>
              <w:t>jurisdictions, have been offset by valuation allowances,</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440" w:type="dxa"/>
            <w:vAlign w:val="bottom"/>
            <w:gridSpan w:val="5"/>
            <w:shd w:val="clear" w:color="auto" w:fill="CCEEFF"/>
          </w:tcPr>
          <w:p>
            <w:pPr>
              <w:ind w:left="100"/>
              <w:spacing w:after="0"/>
              <w:rPr>
                <w:sz w:val="20"/>
                <w:szCs w:val="20"/>
                <w:color w:val="auto"/>
              </w:rPr>
            </w:pPr>
            <w:r>
              <w:rPr>
                <w:rFonts w:ascii="Arial" w:cs="Arial" w:eastAsia="Arial" w:hAnsi="Arial"/>
                <w:sz w:val="18"/>
                <w:szCs w:val="18"/>
                <w:color w:val="auto"/>
                <w:w w:val="97"/>
              </w:rPr>
              <w:t>non-U.S. pre-tax income being taxed at higher statutory</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440" w:type="dxa"/>
            <w:vAlign w:val="bottom"/>
            <w:gridSpan w:val="5"/>
            <w:shd w:val="clear" w:color="auto" w:fill="CCEEFF"/>
          </w:tcPr>
          <w:p>
            <w:pPr>
              <w:ind w:left="100"/>
              <w:spacing w:after="0"/>
              <w:rPr>
                <w:sz w:val="20"/>
                <w:szCs w:val="20"/>
                <w:color w:val="auto"/>
              </w:rPr>
            </w:pPr>
            <w:r>
              <w:rPr>
                <w:rFonts w:ascii="Arial" w:cs="Arial" w:eastAsia="Arial" w:hAnsi="Arial"/>
                <w:sz w:val="18"/>
                <w:szCs w:val="18"/>
                <w:color w:val="auto"/>
                <w:w w:val="91"/>
              </w:rPr>
              <w:t>rates in the non-U.S. jurisdictions, and the establishment of</w:t>
            </w:r>
          </w:p>
        </w:tc>
        <w:tc>
          <w:tcPr>
            <w:tcW w:w="0" w:type="dxa"/>
            <w:vAlign w:val="bottom"/>
          </w:tcPr>
          <w:p>
            <w:pPr>
              <w:spacing w:after="0"/>
              <w:rPr>
                <w:sz w:val="1"/>
                <w:szCs w:val="1"/>
                <w:color w:val="auto"/>
              </w:rPr>
            </w:pPr>
          </w:p>
        </w:tc>
      </w:tr>
      <w:tr>
        <w:trPr>
          <w:trHeight w:val="230"/>
        </w:trPr>
        <w:tc>
          <w:tcPr>
            <w:tcW w:w="226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4440" w:type="dxa"/>
            <w:vAlign w:val="bottom"/>
            <w:gridSpan w:val="5"/>
            <w:shd w:val="clear" w:color="auto" w:fill="CCEEFF"/>
          </w:tcPr>
          <w:p>
            <w:pPr>
              <w:ind w:left="100"/>
              <w:spacing w:after="0"/>
              <w:rPr>
                <w:sz w:val="20"/>
                <w:szCs w:val="20"/>
                <w:color w:val="auto"/>
              </w:rPr>
            </w:pPr>
            <w:r>
              <w:rPr>
                <w:rFonts w:ascii="Arial" w:cs="Arial" w:eastAsia="Arial" w:hAnsi="Arial"/>
                <w:sz w:val="18"/>
                <w:szCs w:val="18"/>
                <w:color w:val="auto"/>
              </w:rPr>
              <w:t>uncertain tax positions in non-U.S. jurisdictions.</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180" w:type="dxa"/>
            <w:vAlign w:val="bottom"/>
            <w:gridSpan w:val="2"/>
          </w:tcPr>
          <w:p>
            <w:pPr>
              <w:spacing w:after="0"/>
              <w:rPr>
                <w:sz w:val="18"/>
                <w:szCs w:val="18"/>
                <w:color w:val="auto"/>
              </w:rPr>
            </w:pPr>
          </w:p>
        </w:tc>
        <w:tc>
          <w:tcPr>
            <w:tcW w:w="408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3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shd w:val="clear" w:color="auto" w:fill="CCEEFF"/>
              </w:rPr>
              <w:t>Six months ended April 30, 2023</w:t>
            </w:r>
          </w:p>
        </w:tc>
        <w:tc>
          <w:tcPr>
            <w:tcW w:w="1280" w:type="dxa"/>
            <w:vAlign w:val="bottom"/>
            <w:gridSpan w:val="2"/>
            <w:shd w:val="clear" w:color="auto" w:fill="CCEEFF"/>
          </w:tcPr>
          <w:p>
            <w:pPr>
              <w:jc w:val="center"/>
              <w:ind w:left="10"/>
              <w:spacing w:after="0" w:line="202" w:lineRule="exact"/>
              <w:rPr>
                <w:sz w:val="20"/>
                <w:szCs w:val="20"/>
                <w:color w:val="auto"/>
              </w:rPr>
            </w:pPr>
            <w:r>
              <w:rPr>
                <w:rFonts w:ascii="Arial" w:cs="Arial" w:eastAsia="Arial" w:hAnsi="Arial"/>
                <w:sz w:val="18"/>
                <w:szCs w:val="18"/>
                <w:color w:val="auto"/>
                <w:w w:val="90"/>
              </w:rPr>
              <w:t>21.0%</w:t>
            </w:r>
          </w:p>
        </w:tc>
        <w:tc>
          <w:tcPr>
            <w:tcW w:w="1180" w:type="dxa"/>
            <w:vAlign w:val="bottom"/>
            <w:gridSpan w:val="2"/>
            <w:shd w:val="clear" w:color="auto" w:fill="CCEEFF"/>
          </w:tcPr>
          <w:p>
            <w:pPr>
              <w:jc w:val="center"/>
              <w:ind w:left="10"/>
              <w:spacing w:after="0" w:line="202" w:lineRule="exact"/>
              <w:rPr>
                <w:sz w:val="20"/>
                <w:szCs w:val="20"/>
                <w:color w:val="auto"/>
              </w:rPr>
            </w:pPr>
            <w:r>
              <w:rPr>
                <w:rFonts w:ascii="Arial" w:cs="Arial" w:eastAsia="Arial" w:hAnsi="Arial"/>
                <w:sz w:val="18"/>
                <w:szCs w:val="18"/>
                <w:color w:val="auto"/>
                <w:w w:val="93"/>
              </w:rPr>
              <w:t>27.8%</w:t>
            </w:r>
          </w:p>
        </w:tc>
        <w:tc>
          <w:tcPr>
            <w:tcW w:w="100" w:type="dxa"/>
            <w:vAlign w:val="bottom"/>
            <w:shd w:val="clear" w:color="auto" w:fill="CCEEFF"/>
          </w:tcPr>
          <w:p>
            <w:pPr>
              <w:spacing w:after="0"/>
              <w:rPr>
                <w:sz w:val="17"/>
                <w:szCs w:val="17"/>
                <w:color w:val="auto"/>
              </w:rPr>
            </w:pPr>
          </w:p>
        </w:tc>
        <w:tc>
          <w:tcPr>
            <w:tcW w:w="42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w w:val="91"/>
                <w:shd w:val="clear" w:color="auto" w:fill="CCEEFF"/>
              </w:rPr>
              <w:t>Non-recognition of the tax benefit of losses that, in certain</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w w:val="90"/>
                <w:shd w:val="clear" w:color="auto" w:fill="CCEEFF"/>
              </w:rPr>
              <w:t>jurisdictions, have been offset by valuation allowances,</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w w:val="89"/>
                <w:shd w:val="clear" w:color="auto" w:fill="CCEEFF"/>
              </w:rPr>
              <w:t>non-U.S. pre-tax income being taxed at higher statutory</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8"/>
                <w:shd w:val="clear" w:color="auto" w:fill="CCEEFF"/>
              </w:rPr>
              <w:t>rates in the non-U.S. jurisdictions, and the establishment</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shd w:val="clear" w:color="auto" w:fill="CCEEFF"/>
              </w:rPr>
              <w:t>of</w:t>
            </w:r>
          </w:p>
        </w:tc>
        <w:tc>
          <w:tcPr>
            <w:tcW w:w="0" w:type="dxa"/>
            <w:vAlign w:val="bottom"/>
          </w:tcPr>
          <w:p>
            <w:pPr>
              <w:spacing w:after="0"/>
              <w:rPr>
                <w:sz w:val="1"/>
                <w:szCs w:val="1"/>
                <w:color w:val="auto"/>
              </w:rPr>
            </w:pPr>
          </w:p>
        </w:tc>
      </w:tr>
      <w:tr>
        <w:trPr>
          <w:trHeight w:val="230"/>
        </w:trPr>
        <w:tc>
          <w:tcPr>
            <w:tcW w:w="226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shd w:val="clear" w:color="auto" w:fill="CCEEFF"/>
              </w:rPr>
              <w:t>uncertain tax positions in non-U.S. jurisdictions.</w:t>
            </w:r>
          </w:p>
        </w:tc>
        <w:tc>
          <w:tcPr>
            <w:tcW w:w="360" w:type="dxa"/>
            <w:vAlign w:val="bottom"/>
            <w:gridSpan w:val="3"/>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2080" w:type="dxa"/>
            <w:vAlign w:val="bottom"/>
            <w:vMerge w:val="restart"/>
          </w:tcPr>
          <w:p>
            <w:pPr>
              <w:spacing w:after="0"/>
              <w:rPr>
                <w:sz w:val="18"/>
                <w:szCs w:val="18"/>
                <w:color w:val="auto"/>
              </w:rPr>
            </w:pPr>
          </w:p>
        </w:tc>
        <w:tc>
          <w:tcPr>
            <w:tcW w:w="1280" w:type="dxa"/>
            <w:vAlign w:val="bottom"/>
            <w:gridSpan w:val="2"/>
            <w:vMerge w:val="restart"/>
          </w:tcPr>
          <w:p>
            <w:pPr>
              <w:jc w:val="center"/>
              <w:ind w:left="10"/>
              <w:spacing w:after="0"/>
              <w:rPr>
                <w:sz w:val="20"/>
                <w:szCs w:val="20"/>
                <w:color w:val="auto"/>
              </w:rPr>
            </w:pPr>
            <w:r>
              <w:rPr>
                <w:rFonts w:ascii="Arial" w:cs="Arial" w:eastAsia="Arial" w:hAnsi="Arial"/>
                <w:sz w:val="18"/>
                <w:szCs w:val="18"/>
                <w:color w:val="auto"/>
                <w:w w:val="90"/>
              </w:rPr>
              <w:t>21.0%</w:t>
            </w:r>
          </w:p>
        </w:tc>
        <w:tc>
          <w:tcPr>
            <w:tcW w:w="1180" w:type="dxa"/>
            <w:vAlign w:val="bottom"/>
            <w:gridSpan w:val="2"/>
            <w:vMerge w:val="restart"/>
          </w:tcPr>
          <w:p>
            <w:pPr>
              <w:jc w:val="center"/>
              <w:ind w:left="10"/>
              <w:spacing w:after="0"/>
              <w:rPr>
                <w:sz w:val="20"/>
                <w:szCs w:val="20"/>
                <w:color w:val="auto"/>
              </w:rPr>
            </w:pPr>
            <w:r>
              <w:rPr>
                <w:rFonts w:ascii="Arial" w:cs="Arial" w:eastAsia="Arial" w:hAnsi="Arial"/>
                <w:sz w:val="18"/>
                <w:szCs w:val="18"/>
                <w:color w:val="auto"/>
                <w:w w:val="93"/>
              </w:rPr>
              <w:t>25.5%</w:t>
            </w:r>
          </w:p>
        </w:tc>
        <w:tc>
          <w:tcPr>
            <w:tcW w:w="100" w:type="dxa"/>
            <w:vAlign w:val="bottom"/>
            <w:vMerge w:val="restart"/>
          </w:tcPr>
          <w:p>
            <w:pPr>
              <w:spacing w:after="0"/>
              <w:rPr>
                <w:sz w:val="18"/>
                <w:szCs w:val="18"/>
                <w:color w:val="auto"/>
              </w:rPr>
            </w:pPr>
          </w:p>
        </w:tc>
        <w:tc>
          <w:tcPr>
            <w:tcW w:w="4200" w:type="dxa"/>
            <w:vAlign w:val="bottom"/>
            <w:gridSpan w:val="3"/>
          </w:tcPr>
          <w:p>
            <w:pPr>
              <w:spacing w:after="0"/>
              <w:rPr>
                <w:sz w:val="18"/>
                <w:szCs w:val="18"/>
                <w:color w:val="auto"/>
              </w:rPr>
            </w:pPr>
          </w:p>
        </w:tc>
        <w:tc>
          <w:tcPr>
            <w:tcW w:w="1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0"/>
                <w:shd w:val="clear" w:color="auto" w:fill="CCEEFF"/>
              </w:rPr>
              <w:t>Six months ended May 1, 2022</w:t>
            </w:r>
          </w:p>
        </w:tc>
        <w:tc>
          <w:tcPr>
            <w:tcW w:w="2080" w:type="dxa"/>
            <w:vAlign w:val="bottom"/>
            <w:vMerge w:val="continue"/>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42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w w:val="91"/>
                <w:shd w:val="clear" w:color="auto" w:fill="CCEEFF"/>
              </w:rPr>
              <w:t>Non-recognition of the tax benefit of losses that, in certain</w:t>
            </w:r>
          </w:p>
        </w:tc>
        <w:tc>
          <w:tcPr>
            <w:tcW w:w="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w w:val="90"/>
                <w:shd w:val="clear" w:color="auto" w:fill="CCEEFF"/>
              </w:rPr>
              <w:t>jurisdictions, have been offset by valuation allowances,</w:t>
            </w:r>
          </w:p>
        </w:tc>
        <w:tc>
          <w:tcPr>
            <w:tcW w:w="2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6858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685800"/>
                    </a:xfrm>
                    <a:prstGeom prst="rect">
                      <a:avLst/>
                    </a:prstGeom>
                    <a:noFill/>
                  </pic:spPr>
                </pic:pic>
              </a:graphicData>
            </a:graphic>
          </wp:anchor>
        </w:drawing>
      </w:r>
    </w:p>
    <w:p>
      <w:pPr>
        <w:ind w:left="6900"/>
        <w:spacing w:after="0"/>
        <w:rPr>
          <w:sz w:val="20"/>
          <w:szCs w:val="20"/>
          <w:color w:val="auto"/>
        </w:rPr>
      </w:pPr>
      <w:r>
        <w:rPr>
          <w:rFonts w:ascii="Arial" w:cs="Arial" w:eastAsia="Arial" w:hAnsi="Arial"/>
          <w:sz w:val="17"/>
          <w:szCs w:val="17"/>
          <w:color w:val="auto"/>
          <w:shd w:val="clear" w:color="auto" w:fill="CCEEFF"/>
        </w:rPr>
        <w:t>non-U.S. pre-tax income being taxed at higher statutory</w:t>
      </w:r>
    </w:p>
    <w:p>
      <w:pPr>
        <w:spacing w:after="0" w:line="34" w:lineRule="exact"/>
        <w:rPr>
          <w:sz w:val="20"/>
          <w:szCs w:val="20"/>
          <w:color w:val="auto"/>
        </w:rPr>
      </w:pPr>
    </w:p>
    <w:p>
      <w:pPr>
        <w:ind w:left="6900"/>
        <w:spacing w:after="0"/>
        <w:rPr>
          <w:sz w:val="20"/>
          <w:szCs w:val="20"/>
          <w:color w:val="auto"/>
        </w:rPr>
      </w:pPr>
      <w:r>
        <w:rPr>
          <w:rFonts w:ascii="Arial" w:cs="Arial" w:eastAsia="Arial" w:hAnsi="Arial"/>
          <w:sz w:val="16"/>
          <w:szCs w:val="16"/>
          <w:color w:val="auto"/>
          <w:shd w:val="clear" w:color="auto" w:fill="CCEEFF"/>
        </w:rPr>
        <w:t>rates in the non-U.S. jurisdictions, and the establishment of</w:t>
      </w:r>
    </w:p>
    <w:p>
      <w:pPr>
        <w:spacing w:after="0" w:line="32" w:lineRule="exact"/>
        <w:rPr>
          <w:sz w:val="20"/>
          <w:szCs w:val="20"/>
          <w:color w:val="auto"/>
        </w:rPr>
      </w:pPr>
    </w:p>
    <w:p>
      <w:pPr>
        <w:ind w:left="6900"/>
        <w:spacing w:after="0"/>
        <w:rPr>
          <w:sz w:val="20"/>
          <w:szCs w:val="20"/>
          <w:color w:val="auto"/>
        </w:rPr>
      </w:pPr>
      <w:r>
        <w:rPr>
          <w:rFonts w:ascii="Arial" w:cs="Arial" w:eastAsia="Arial" w:hAnsi="Arial"/>
          <w:sz w:val="18"/>
          <w:szCs w:val="18"/>
          <w:color w:val="auto"/>
          <w:shd w:val="clear" w:color="auto" w:fill="CCEEFF"/>
        </w:rPr>
        <w:t>uncertain tax positions in non-U.S. jurisdictions.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225"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 xml:space="preserve">We include unrecognized tax benefits in </w:t>
      </w:r>
      <w:r>
        <w:rPr>
          <w:rFonts w:ascii="Arial" w:cs="Arial" w:eastAsia="Arial" w:hAnsi="Arial"/>
          <w:sz w:val="17"/>
          <w:szCs w:val="17"/>
          <w:i w:val="1"/>
          <w:iCs w:val="1"/>
          <w:color w:val="auto"/>
        </w:rPr>
        <w:t>Other liabilities</w:t>
      </w:r>
      <w:r>
        <w:rPr>
          <w:rFonts w:ascii="Arial" w:cs="Arial" w:eastAsia="Arial" w:hAnsi="Arial"/>
          <w:sz w:val="17"/>
          <w:szCs w:val="17"/>
          <w:color w:val="auto"/>
        </w:rPr>
        <w:t>, and we include any applicable interests and penalties related to uncertain tax positions in our income tax provision. Although the timing of reversal of uncertain tax positions may be uncertain, as they can be dependent upon the settlement of tax audits, we believe that the amount of uncertain tax positions (including interest and penalties, and net of tax benefits) that may be resolved over the next twelve months is immaterial. Resolution of these uncertain tax positions may result from either or both the lapses of statutes of limitations and tax settlements. We are no longer subject to tax authority examinations in the U.S., major foreign, or state tax jurisdictions for years prior to fiscal year 2017. The table below presents information on our unrecognized tax benefits as of the balance sheet dates.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b w:val="1"/>
                <w:bCs w:val="1"/>
                <w:color w:val="auto"/>
              </w:rPr>
              <w:t>April 30,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w w:val="88"/>
              </w:rPr>
              <w:t>October 31,</w:t>
            </w:r>
          </w:p>
        </w:tc>
        <w:tc>
          <w:tcPr>
            <w:tcW w:w="100" w:type="dxa"/>
            <w:vAlign w:val="bottom"/>
          </w:tcPr>
          <w:p>
            <w:pPr>
              <w:spacing w:after="0"/>
              <w:rPr>
                <w:sz w:val="18"/>
                <w:szCs w:val="18"/>
                <w:color w:val="auto"/>
              </w:rPr>
            </w:pPr>
          </w:p>
        </w:tc>
      </w:tr>
      <w:tr>
        <w:trPr>
          <w:trHeight w:val="241"/>
        </w:trPr>
        <w:tc>
          <w:tcPr>
            <w:tcW w:w="86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benefits related to uncertain tax positions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5,599</w:t>
            </w:r>
          </w:p>
        </w:tc>
        <w:tc>
          <w:tcPr>
            <w:tcW w:w="100" w:type="dxa"/>
            <w:vAlign w:val="bottom"/>
            <w:shd w:val="clear" w:color="auto" w:fill="CCEEFF"/>
          </w:tcPr>
          <w:p>
            <w:pPr>
              <w:spacing w:after="0"/>
              <w:rPr>
                <w:sz w:val="18"/>
                <w:szCs w:val="18"/>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Unrecognized tax benefits that, if recognized, would impact the effective tax rate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7,128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5,599</w:t>
            </w:r>
          </w:p>
        </w:tc>
        <w:tc>
          <w:tcPr>
            <w:tcW w:w="100" w:type="dxa"/>
            <w:vAlign w:val="bottom"/>
          </w:tcPr>
          <w:p>
            <w:pPr>
              <w:spacing w:after="0"/>
              <w:rPr>
                <w:sz w:val="18"/>
                <w:szCs w:val="18"/>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and penalties related to uncertain tax positions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240"/>
          </w:cols>
          <w:pgMar w:left="320" w:top="113" w:right="339" w:bottom="1111" w:gutter="0" w:footer="0" w:header="0"/>
        </w:sectPr>
      </w:pPr>
    </w:p>
    <w:p>
      <w:pPr>
        <w:spacing w:after="0" w:line="186" w:lineRule="exact"/>
        <w:rPr>
          <w:sz w:val="20"/>
          <w:szCs w:val="20"/>
          <w:color w:val="auto"/>
        </w:rPr>
      </w:pPr>
    </w:p>
    <w:p>
      <w:pPr>
        <w:jc w:val="center"/>
        <w:ind w:right="-339"/>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 w:right="339" w:bottom="1111" w:gutter="0" w:footer="0" w:header="0"/>
          <w:type w:val="continuous"/>
        </w:sectPr>
      </w:pPr>
    </w:p>
    <w:bookmarkStart w:id="22" w:name="page23"/>
    <w:bookmarkEnd w:id="22"/>
    <w:p>
      <w:pPr>
        <w:ind w:left="340"/>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EARNINGS PER SHARE</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calculations of basic and diluted earnings per share are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20" w:type="dxa"/>
            <w:vAlign w:val="bottom"/>
            <w:gridSpan w:val="5"/>
          </w:tcPr>
          <w:p>
            <w:pPr>
              <w:ind w:left="26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2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Six Months Ended</w:t>
            </w:r>
          </w:p>
        </w:tc>
        <w:tc>
          <w:tcPr>
            <w:tcW w:w="100" w:type="dxa"/>
            <w:vAlign w:val="bottom"/>
          </w:tcPr>
          <w:p>
            <w:pPr>
              <w:spacing w:after="0"/>
              <w:rPr>
                <w:sz w:val="20"/>
                <w:szCs w:val="20"/>
                <w:color w:val="auto"/>
              </w:rPr>
            </w:pPr>
          </w:p>
        </w:tc>
      </w:tr>
      <w:tr>
        <w:trPr>
          <w:trHeight w:val="198"/>
        </w:trPr>
        <w:tc>
          <w:tcPr>
            <w:tcW w:w="5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130"/>
              <w:spacing w:after="0" w:line="198" w:lineRule="exact"/>
              <w:rPr>
                <w:sz w:val="20"/>
                <w:szCs w:val="20"/>
                <w:color w:val="auto"/>
              </w:rPr>
            </w:pPr>
            <w:r>
              <w:rPr>
                <w:rFonts w:ascii="Arial" w:cs="Arial" w:eastAsia="Arial" w:hAnsi="Arial"/>
                <w:sz w:val="18"/>
                <w:szCs w:val="18"/>
                <w:b w:val="1"/>
                <w:bCs w:val="1"/>
                <w:color w:val="auto"/>
              </w:rPr>
              <w:t>April 30,</w:t>
            </w:r>
          </w:p>
        </w:tc>
        <w:tc>
          <w:tcPr>
            <w:tcW w:w="2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210"/>
              <w:spacing w:after="0" w:line="198" w:lineRule="exact"/>
              <w:rPr>
                <w:sz w:val="20"/>
                <w:szCs w:val="20"/>
                <w:color w:val="auto"/>
              </w:rPr>
            </w:pPr>
            <w:r>
              <w:rPr>
                <w:rFonts w:ascii="Arial" w:cs="Arial" w:eastAsia="Arial" w:hAnsi="Arial"/>
                <w:sz w:val="18"/>
                <w:szCs w:val="18"/>
                <w:b w:val="1"/>
                <w:bCs w:val="1"/>
                <w:color w:val="auto"/>
              </w:rPr>
              <w:t>May 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130"/>
              <w:spacing w:after="0" w:line="198" w:lineRule="exact"/>
              <w:rPr>
                <w:sz w:val="20"/>
                <w:szCs w:val="20"/>
                <w:color w:val="auto"/>
              </w:rPr>
            </w:pPr>
            <w:r>
              <w:rPr>
                <w:rFonts w:ascii="Arial" w:cs="Arial" w:eastAsia="Arial" w:hAnsi="Arial"/>
                <w:sz w:val="18"/>
                <w:szCs w:val="18"/>
                <w:b w:val="1"/>
                <w:bCs w:val="1"/>
                <w:color w:val="auto"/>
              </w:rPr>
              <w:t>April 30,</w:t>
            </w:r>
          </w:p>
        </w:tc>
        <w:tc>
          <w:tcPr>
            <w:tcW w:w="2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210"/>
              <w:spacing w:after="0" w:line="198" w:lineRule="exact"/>
              <w:rPr>
                <w:sz w:val="20"/>
                <w:szCs w:val="20"/>
                <w:color w:val="auto"/>
              </w:rPr>
            </w:pPr>
            <w:r>
              <w:rPr>
                <w:rFonts w:ascii="Arial" w:cs="Arial" w:eastAsia="Arial" w:hAnsi="Arial"/>
                <w:sz w:val="18"/>
                <w:szCs w:val="18"/>
                <w:b w:val="1"/>
                <w:bCs w:val="1"/>
                <w:color w:val="auto"/>
              </w:rPr>
              <w:t>May 1,</w:t>
            </w:r>
          </w:p>
        </w:tc>
        <w:tc>
          <w:tcPr>
            <w:tcW w:w="100" w:type="dxa"/>
            <w:vAlign w:val="bottom"/>
          </w:tcPr>
          <w:p>
            <w:pPr>
              <w:spacing w:after="0"/>
              <w:rPr>
                <w:sz w:val="17"/>
                <w:szCs w:val="17"/>
                <w:color w:val="auto"/>
              </w:rPr>
            </w:pPr>
          </w:p>
        </w:tc>
      </w:tr>
      <w:tr>
        <w:trPr>
          <w:trHeight w:val="241"/>
        </w:trPr>
        <w:tc>
          <w:tcPr>
            <w:tcW w:w="5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Photronics, Inc. shareholders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39,929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53,915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50,496</w:t>
            </w:r>
          </w:p>
        </w:tc>
        <w:tc>
          <w:tcPr>
            <w:tcW w:w="100" w:type="dxa"/>
            <w:vAlign w:val="bottom"/>
            <w:shd w:val="clear" w:color="auto" w:fill="CCEEFF"/>
          </w:tcPr>
          <w:p>
            <w:pPr>
              <w:spacing w:after="0"/>
              <w:rPr>
                <w:sz w:val="18"/>
                <w:szCs w:val="18"/>
                <w:color w:val="auto"/>
              </w:rPr>
            </w:pPr>
          </w:p>
        </w:tc>
      </w:tr>
      <w:tr>
        <w:trPr>
          <w:trHeight w:val="223"/>
        </w:trPr>
        <w:tc>
          <w:tcPr>
            <w:tcW w:w="548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4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56"/>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Earnings used for diluted earnings per share</w:t>
            </w:r>
          </w:p>
        </w:tc>
        <w:tc>
          <w:tcPr>
            <w:tcW w:w="4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39,929</w:t>
            </w:r>
          </w:p>
        </w:tc>
        <w:tc>
          <w:tcPr>
            <w:tcW w:w="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27,432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53,915</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50,496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5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computations: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80" w:type="dxa"/>
            <w:vAlign w:val="bottom"/>
          </w:tcPr>
          <w:p>
            <w:pPr>
              <w:ind w:left="140"/>
              <w:spacing w:after="0"/>
              <w:rPr>
                <w:sz w:val="20"/>
                <w:szCs w:val="20"/>
                <w:color w:val="auto"/>
              </w:rPr>
            </w:pPr>
            <w:r>
              <w:rPr>
                <w:rFonts w:ascii="Arial" w:cs="Arial" w:eastAsia="Arial" w:hAnsi="Arial"/>
                <w:sz w:val="18"/>
                <w:szCs w:val="18"/>
                <w:color w:val="auto"/>
                <w:w w:val="96"/>
              </w:rPr>
              <w:t>Weighted-average common shares used for basic earnings per share</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61,138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60,606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61,016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60,382</w:t>
            </w:r>
          </w:p>
        </w:tc>
        <w:tc>
          <w:tcPr>
            <w:tcW w:w="100" w:type="dxa"/>
            <w:vAlign w:val="bottom"/>
          </w:tcPr>
          <w:p>
            <w:pPr>
              <w:spacing w:after="0"/>
              <w:rPr>
                <w:sz w:val="18"/>
                <w:szCs w:val="18"/>
                <w:color w:val="auto"/>
              </w:rPr>
            </w:pPr>
          </w:p>
        </w:tc>
      </w:tr>
      <w:tr>
        <w:trPr>
          <w:trHeight w:val="216"/>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Effect of dilutive securities: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5480" w:type="dxa"/>
            <w:vAlign w:val="bottom"/>
          </w:tcPr>
          <w:p>
            <w:pPr>
              <w:ind w:left="340"/>
              <w:spacing w:after="0"/>
              <w:rPr>
                <w:sz w:val="20"/>
                <w:szCs w:val="20"/>
                <w:color w:val="auto"/>
              </w:rPr>
            </w:pPr>
            <w:r>
              <w:rPr>
                <w:rFonts w:ascii="Arial" w:cs="Arial" w:eastAsia="Arial" w:hAnsi="Arial"/>
                <w:sz w:val="18"/>
                <w:szCs w:val="18"/>
                <w:color w:val="auto"/>
              </w:rPr>
              <w:t>Share-based payment awards</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539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659</w:t>
            </w:r>
          </w:p>
        </w:tc>
        <w:tc>
          <w:tcPr>
            <w:tcW w:w="100" w:type="dxa"/>
            <w:vAlign w:val="bottom"/>
          </w:tcPr>
          <w:p>
            <w:pPr>
              <w:spacing w:after="0"/>
              <w:rPr>
                <w:sz w:val="19"/>
                <w:szCs w:val="19"/>
                <w:color w:val="auto"/>
              </w:rPr>
            </w:pPr>
          </w:p>
        </w:tc>
      </w:tr>
      <w:tr>
        <w:trPr>
          <w:trHeight w:val="216"/>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Potentially dilutive common shares</w:t>
            </w:r>
          </w:p>
        </w:tc>
        <w:tc>
          <w:tcPr>
            <w:tcW w:w="4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00" w:type="dxa"/>
            <w:vAlign w:val="bottom"/>
            <w:shd w:val="clear" w:color="auto" w:fill="CCEEFF"/>
          </w:tcPr>
          <w:p>
            <w:pPr>
              <w:spacing w:after="0"/>
              <w:rPr>
                <w:sz w:val="18"/>
                <w:szCs w:val="18"/>
                <w:color w:val="auto"/>
              </w:rPr>
            </w:pPr>
          </w:p>
        </w:tc>
      </w:tr>
      <w:tr>
        <w:trPr>
          <w:trHeight w:val="223"/>
        </w:trPr>
        <w:tc>
          <w:tcPr>
            <w:tcW w:w="5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7"/>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6"/>
              </w:rPr>
              <w:t>Weighted-average common shares used for diluted earnings per share</w:t>
            </w:r>
          </w:p>
        </w:tc>
        <w:tc>
          <w:tcPr>
            <w:tcW w:w="4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61,507</w:t>
            </w:r>
          </w:p>
        </w:tc>
        <w:tc>
          <w:tcPr>
            <w:tcW w:w="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61,145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61,489</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61,041</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5480" w:type="dxa"/>
            <w:vAlign w:val="bottom"/>
          </w:tcPr>
          <w:p>
            <w:pPr>
              <w:spacing w:after="0"/>
              <w:rPr>
                <w:sz w:val="18"/>
                <w:szCs w:val="18"/>
                <w:color w:val="auto"/>
              </w:rPr>
            </w:pPr>
          </w:p>
        </w:tc>
        <w:tc>
          <w:tcPr>
            <w:tcW w:w="64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4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0.45</w:t>
            </w:r>
          </w:p>
        </w:tc>
        <w:tc>
          <w:tcPr>
            <w:tcW w:w="2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4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100" w:type="dxa"/>
            <w:vAlign w:val="bottom"/>
            <w:shd w:val="clear" w:color="auto" w:fill="CCEEFF"/>
          </w:tcPr>
          <w:p>
            <w:pPr>
              <w:spacing w:after="0"/>
              <w:rPr>
                <w:sz w:val="18"/>
                <w:szCs w:val="18"/>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0.65</w:t>
            </w:r>
          </w:p>
        </w:tc>
        <w:tc>
          <w:tcPr>
            <w:tcW w:w="4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0.45</w:t>
            </w:r>
          </w:p>
        </w:tc>
        <w:tc>
          <w:tcPr>
            <w:tcW w:w="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0.88</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0.83</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table below illustrates the outstanding weighted-average share-based payment awards that were excluded from the calculation of diluted earnings per share because their exercise price exceeded the average market value of the common shares for the period or, under application of the treasury stock method, they were otherwise determined to be antidilutive.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60" w:type="dxa"/>
            <w:vAlign w:val="bottom"/>
          </w:tcPr>
          <w:p>
            <w:pPr>
              <w:spacing w:after="0"/>
              <w:rPr>
                <w:sz w:val="20"/>
                <w:szCs w:val="20"/>
                <w:color w:val="auto"/>
              </w:rPr>
            </w:pPr>
          </w:p>
        </w:tc>
        <w:tc>
          <w:tcPr>
            <w:tcW w:w="2180" w:type="dxa"/>
            <w:vAlign w:val="bottom"/>
            <w:tcBorders>
              <w:bottom w:val="single" w:sz="8" w:color="auto"/>
            </w:tcBorders>
            <w:gridSpan w:val="4"/>
          </w:tcPr>
          <w:p>
            <w:pPr>
              <w:ind w:left="420"/>
              <w:spacing w:after="0"/>
              <w:rPr>
                <w:sz w:val="20"/>
                <w:szCs w:val="20"/>
                <w:color w:val="auto"/>
              </w:rPr>
            </w:pPr>
            <w:r>
              <w:rPr>
                <w:rFonts w:ascii="Arial" w:cs="Arial" w:eastAsia="Arial" w:hAnsi="Arial"/>
                <w:sz w:val="18"/>
                <w:szCs w:val="18"/>
                <w:b w:val="1"/>
                <w:bCs w:val="1"/>
                <w:color w:val="auto"/>
                <w:w w:val="97"/>
              </w:rPr>
              <w:t>Three Months Ended</w:t>
            </w:r>
          </w:p>
        </w:tc>
        <w:tc>
          <w:tcPr>
            <w:tcW w:w="3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8"/>
                <w:szCs w:val="18"/>
                <w:b w:val="1"/>
                <w:bCs w:val="1"/>
                <w:color w:val="auto"/>
              </w:rPr>
              <w:t>Six Months Ended</w:t>
            </w:r>
          </w:p>
        </w:tc>
        <w:tc>
          <w:tcPr>
            <w:tcW w:w="100" w:type="dxa"/>
            <w:vAlign w:val="bottom"/>
          </w:tcPr>
          <w:p>
            <w:pPr>
              <w:spacing w:after="0"/>
              <w:rPr>
                <w:sz w:val="20"/>
                <w:szCs w:val="20"/>
                <w:color w:val="auto"/>
              </w:rPr>
            </w:pPr>
          </w:p>
        </w:tc>
      </w:tr>
      <w:tr>
        <w:trPr>
          <w:trHeight w:val="198"/>
        </w:trPr>
        <w:tc>
          <w:tcPr>
            <w:tcW w:w="5960" w:type="dxa"/>
            <w:vAlign w:val="bottom"/>
          </w:tcPr>
          <w:p>
            <w:pPr>
              <w:spacing w:after="0"/>
              <w:rPr>
                <w:sz w:val="17"/>
                <w:szCs w:val="17"/>
                <w:color w:val="auto"/>
              </w:rPr>
            </w:pPr>
          </w:p>
        </w:tc>
        <w:tc>
          <w:tcPr>
            <w:tcW w:w="1360" w:type="dxa"/>
            <w:vAlign w:val="bottom"/>
            <w:gridSpan w:val="3"/>
          </w:tcPr>
          <w:p>
            <w:pPr>
              <w:jc w:val="center"/>
              <w:ind w:right="240"/>
              <w:spacing w:after="0" w:line="198" w:lineRule="exact"/>
              <w:rPr>
                <w:sz w:val="20"/>
                <w:szCs w:val="20"/>
                <w:color w:val="auto"/>
              </w:rPr>
            </w:pPr>
            <w:r>
              <w:rPr>
                <w:rFonts w:ascii="Arial" w:cs="Arial" w:eastAsia="Arial" w:hAnsi="Arial"/>
                <w:sz w:val="18"/>
                <w:szCs w:val="18"/>
                <w:b w:val="1"/>
                <w:bCs w:val="1"/>
                <w:color w:val="auto"/>
                <w:w w:val="95"/>
              </w:rPr>
              <w:t>April 30,</w:t>
            </w:r>
          </w:p>
        </w:tc>
        <w:tc>
          <w:tcPr>
            <w:tcW w:w="820" w:type="dxa"/>
            <w:vAlign w:val="bottom"/>
          </w:tcPr>
          <w:p>
            <w:pPr>
              <w:jc w:val="center"/>
              <w:ind w:left="190"/>
              <w:spacing w:after="0" w:line="198" w:lineRule="exact"/>
              <w:rPr>
                <w:sz w:val="20"/>
                <w:szCs w:val="20"/>
                <w:color w:val="auto"/>
              </w:rPr>
            </w:pPr>
            <w:r>
              <w:rPr>
                <w:rFonts w:ascii="Arial" w:cs="Arial" w:eastAsia="Arial" w:hAnsi="Arial"/>
                <w:sz w:val="18"/>
                <w:szCs w:val="18"/>
                <w:b w:val="1"/>
                <w:bCs w:val="1"/>
                <w:color w:val="auto"/>
                <w:w w:val="98"/>
              </w:rPr>
              <w:t>May 1,</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ind w:right="130"/>
              <w:spacing w:after="0" w:line="198" w:lineRule="exact"/>
              <w:rPr>
                <w:sz w:val="20"/>
                <w:szCs w:val="20"/>
                <w:color w:val="auto"/>
              </w:rPr>
            </w:pPr>
            <w:r>
              <w:rPr>
                <w:rFonts w:ascii="Arial" w:cs="Arial" w:eastAsia="Arial" w:hAnsi="Arial"/>
                <w:sz w:val="18"/>
                <w:szCs w:val="18"/>
                <w:b w:val="1"/>
                <w:bCs w:val="1"/>
                <w:color w:val="auto"/>
              </w:rPr>
              <w:t>April 30,</w:t>
            </w:r>
          </w:p>
        </w:tc>
        <w:tc>
          <w:tcPr>
            <w:tcW w:w="220" w:type="dxa"/>
            <w:vAlign w:val="bottom"/>
          </w:tcPr>
          <w:p>
            <w:pPr>
              <w:spacing w:after="0"/>
              <w:rPr>
                <w:sz w:val="17"/>
                <w:szCs w:val="17"/>
                <w:color w:val="auto"/>
              </w:rPr>
            </w:pPr>
          </w:p>
        </w:tc>
        <w:tc>
          <w:tcPr>
            <w:tcW w:w="1140" w:type="dxa"/>
            <w:vAlign w:val="bottom"/>
          </w:tcPr>
          <w:p>
            <w:pPr>
              <w:jc w:val="right"/>
              <w:ind w:right="210"/>
              <w:spacing w:after="0" w:line="198" w:lineRule="exact"/>
              <w:rPr>
                <w:sz w:val="20"/>
                <w:szCs w:val="20"/>
                <w:color w:val="auto"/>
              </w:rPr>
            </w:pPr>
            <w:r>
              <w:rPr>
                <w:rFonts w:ascii="Arial" w:cs="Arial" w:eastAsia="Arial" w:hAnsi="Arial"/>
                <w:sz w:val="18"/>
                <w:szCs w:val="18"/>
                <w:b w:val="1"/>
                <w:bCs w:val="1"/>
                <w:color w:val="auto"/>
              </w:rPr>
              <w:t>May 1,</w:t>
            </w:r>
          </w:p>
        </w:tc>
        <w:tc>
          <w:tcPr>
            <w:tcW w:w="100" w:type="dxa"/>
            <w:vAlign w:val="bottom"/>
          </w:tcPr>
          <w:p>
            <w:pPr>
              <w:spacing w:after="0"/>
              <w:rPr>
                <w:sz w:val="17"/>
                <w:szCs w:val="17"/>
                <w:color w:val="auto"/>
              </w:rPr>
            </w:pPr>
          </w:p>
        </w:tc>
      </w:tr>
      <w:tr>
        <w:trPr>
          <w:trHeight w:val="241"/>
        </w:trPr>
        <w:tc>
          <w:tcPr>
            <w:tcW w:w="67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2023</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36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23"/>
        </w:trPr>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Share-based payment awards</w:t>
            </w:r>
          </w:p>
        </w:tc>
        <w:tc>
          <w:tcPr>
            <w:tcW w:w="800" w:type="dxa"/>
            <w:vAlign w:val="bottom"/>
            <w:tcBorders>
              <w:top w:val="single" w:sz="8" w:color="auto"/>
              <w:bottom w:val="single" w:sz="8" w:color="auto"/>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267</w:t>
            </w: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427</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6760" w:type="dxa"/>
            <w:vAlign w:val="bottom"/>
            <w:gridSpan w:val="2"/>
          </w:tcPr>
          <w:p>
            <w:pPr>
              <w:spacing w:after="0"/>
              <w:rPr>
                <w:sz w:val="20"/>
                <w:szCs w:val="20"/>
                <w:color w:val="auto"/>
              </w:rPr>
            </w:pPr>
            <w:r>
              <w:rPr>
                <w:rFonts w:ascii="Arial" w:cs="Arial" w:eastAsia="Arial" w:hAnsi="Arial"/>
                <w:sz w:val="18"/>
                <w:szCs w:val="18"/>
                <w:color w:val="auto"/>
              </w:rPr>
              <w:t>Total potentially dilutive shares excluded</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267</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427</w:t>
            </w:r>
          </w:p>
        </w:tc>
        <w:tc>
          <w:tcPr>
            <w:tcW w:w="1120" w:type="dxa"/>
            <w:vAlign w:val="bottom"/>
          </w:tcPr>
          <w:p>
            <w:pPr>
              <w:jc w:val="right"/>
              <w:spacing w:after="0"/>
              <w:rPr>
                <w:sz w:val="20"/>
                <w:szCs w:val="20"/>
                <w:color w:val="auto"/>
              </w:rPr>
            </w:pPr>
            <w:r>
              <w:rPr>
                <w:rFonts w:ascii="Arial" w:cs="Arial" w:eastAsia="Arial" w:hAnsi="Arial"/>
                <w:sz w:val="18"/>
                <w:szCs w:val="18"/>
                <w:color w:val="auto"/>
              </w:rPr>
              <w:t>535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18"/>
                <w:szCs w:val="18"/>
                <w:color w:val="auto"/>
              </w:rPr>
            </w:pPr>
          </w:p>
        </w:tc>
      </w:tr>
      <w:tr>
        <w:trPr>
          <w:trHeight w:val="20"/>
        </w:trPr>
        <w:tc>
          <w:tcPr>
            <w:tcW w:w="59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COMMITMENTS AND CONTINGENCIES</w:t>
      </w:r>
    </w:p>
    <w:p>
      <w:pPr>
        <w:spacing w:after="0" w:line="229"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As of April 30, 2023, we had commitments outstanding for capital expenditures of approximately $113.1 million, primarily for purchases of high-end equipment.</w:t>
      </w:r>
    </w:p>
    <w:p>
      <w:pPr>
        <w:spacing w:after="0" w:line="170"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 xml:space="preserve">In May 2022, we were informed of a customs audit in one of our China operations. We estimated a contingency ranging from $2.2 million to $3.7 million, which included unpaid additional customs duties and related interest and penalties for the previous three years (the period under audit). In the three and six-month periods ended May 1, 2022, we recorded a contingent loss of $2.2 million, as we believed this was the most likely outcome. The $2.2 million amount was recorded with a charge to </w:t>
      </w:r>
      <w:r>
        <w:rPr>
          <w:rFonts w:ascii="Arial" w:cs="Arial" w:eastAsia="Arial" w:hAnsi="Arial"/>
          <w:sz w:val="17"/>
          <w:szCs w:val="17"/>
          <w:i w:val="1"/>
          <w:iCs w:val="1"/>
          <w:color w:val="auto"/>
        </w:rPr>
        <w:t>Cost of goods sold</w:t>
      </w:r>
      <w:r>
        <w:rPr>
          <w:rFonts w:ascii="Arial" w:cs="Arial" w:eastAsia="Arial" w:hAnsi="Arial"/>
          <w:sz w:val="17"/>
          <w:szCs w:val="17"/>
          <w:color w:val="auto"/>
        </w:rPr>
        <w:t xml:space="preserve"> in the condensed consolidated statements of income and </w:t>
      </w:r>
      <w:r>
        <w:rPr>
          <w:rFonts w:ascii="Arial" w:cs="Arial" w:eastAsia="Arial" w:hAnsi="Arial"/>
          <w:sz w:val="17"/>
          <w:szCs w:val="17"/>
          <w:i w:val="1"/>
          <w:iCs w:val="1"/>
          <w:color w:val="auto"/>
        </w:rPr>
        <w:t>Accrued liabilities</w:t>
      </w:r>
      <w:r>
        <w:rPr>
          <w:rFonts w:ascii="Arial" w:cs="Arial" w:eastAsia="Arial" w:hAnsi="Arial"/>
          <w:sz w:val="17"/>
          <w:szCs w:val="17"/>
          <w:color w:val="auto"/>
        </w:rPr>
        <w:t xml:space="preserve"> in the condensed consolidated balance sheets. In November 2022, upon settlement of the audit, we reversed $1.0 million of the accrual.</w:t>
      </w:r>
    </w:p>
    <w:p>
      <w:pPr>
        <w:spacing w:after="0" w:line="176" w:lineRule="exact"/>
        <w:rPr>
          <w:sz w:val="20"/>
          <w:szCs w:val="20"/>
          <w:color w:val="auto"/>
        </w:rPr>
      </w:pPr>
    </w:p>
    <w:p>
      <w:pPr>
        <w:ind w:right="840" w:firstLine="324"/>
        <w:spacing w:after="0" w:line="277" w:lineRule="auto"/>
        <w:rPr>
          <w:sz w:val="20"/>
          <w:szCs w:val="20"/>
          <w:color w:val="auto"/>
        </w:rPr>
      </w:pPr>
      <w:r>
        <w:rPr>
          <w:rFonts w:ascii="Arial" w:cs="Arial" w:eastAsia="Arial" w:hAnsi="Arial"/>
          <w:sz w:val="18"/>
          <w:szCs w:val="18"/>
          <w:color w:val="auto"/>
        </w:rPr>
        <w:t>We are subject to various other claims that arise in the ordinary course of business. We believe that our potential liability under such claims, individually or in the aggregate, will not have a material effect on our consolidated financial statements.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CHANGES IN ACCUMULATED OTHER COMPREHENSIVE (LOSS) INCOME BY COMPONENT</w:t>
      </w:r>
    </w:p>
    <w:p>
      <w:pPr>
        <w:spacing w:after="0" w:line="20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tables set forth the changes in our accumulated other comprehensive (loss) income by component (net of tax of $0) for the three and six-month periods ended April 30, 2023, and May 1, 2022.</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Arial" w:cs="Arial" w:eastAsia="Arial" w:hAnsi="Arial"/>
          <w:sz w:val="14"/>
          <w:szCs w:val="14"/>
          <w:i w:val="1"/>
          <w:iCs w:val="1"/>
          <w:color w:val="0000EE"/>
        </w:rPr>
        <w:t>Table of Contents</w:t>
      </w:r>
    </w:p>
    <w:tbl>
      <w:tblPr>
        <w:tblLayout w:type="fixed"/>
        <w:tblInd w:w="0" w:type="dxa"/>
        <w:tblCellMar>
          <w:top w:w="0" w:type="dxa"/>
          <w:left w:w="0" w:type="dxa"/>
          <w:bottom w:w="0" w:type="dxa"/>
          <w:right w:w="0" w:type="dxa"/>
        </w:tblCellMar>
      </w:tblPr>
      <w:tr>
        <w:trPr>
          <w:trHeight w:val="216"/>
        </w:trPr>
        <w:tc>
          <w:tcPr>
            <w:tcW w:w="1020" w:type="dxa"/>
            <w:vAlign w:val="bottom"/>
            <w:tcBorders>
              <w:top w:val="single" w:sz="8" w:color="0000EE"/>
            </w:tcBorders>
          </w:tcPr>
          <w:p>
            <w:pPr>
              <w:spacing w:after="0"/>
              <w:rPr>
                <w:sz w:val="18"/>
                <w:szCs w:val="18"/>
                <w:color w:val="auto"/>
              </w:rPr>
            </w:pPr>
          </w:p>
        </w:tc>
        <w:tc>
          <w:tcPr>
            <w:tcW w:w="5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0" w:type="dxa"/>
            <w:vAlign w:val="bottom"/>
            <w:gridSpan w:val="10"/>
          </w:tcPr>
          <w:p>
            <w:pPr>
              <w:jc w:val="center"/>
              <w:ind w:right="240"/>
              <w:spacing w:after="0"/>
              <w:rPr>
                <w:sz w:val="20"/>
                <w:szCs w:val="20"/>
                <w:color w:val="auto"/>
              </w:rPr>
            </w:pPr>
            <w:r>
              <w:rPr>
                <w:rFonts w:ascii="Arial" w:cs="Arial" w:eastAsia="Arial" w:hAnsi="Arial"/>
                <w:sz w:val="18"/>
                <w:szCs w:val="18"/>
                <w:b w:val="1"/>
                <w:bCs w:val="1"/>
                <w:color w:val="auto"/>
                <w:w w:val="92"/>
              </w:rPr>
              <w:t>Three Months Ended April 30, 2023</w:t>
            </w:r>
          </w:p>
        </w:tc>
      </w:tr>
      <w:tr>
        <w:trPr>
          <w:trHeight w:val="198"/>
        </w:trPr>
        <w:tc>
          <w:tcPr>
            <w:tcW w:w="102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20" w:type="dxa"/>
            <w:vAlign w:val="bottom"/>
            <w:tcBorders>
              <w:top w:val="single" w:sz="8" w:color="auto"/>
            </w:tcBorders>
            <w:gridSpan w:val="3"/>
          </w:tcPr>
          <w:p>
            <w:pPr>
              <w:spacing w:after="0" w:line="198" w:lineRule="exact"/>
              <w:rPr>
                <w:sz w:val="20"/>
                <w:szCs w:val="20"/>
                <w:color w:val="auto"/>
              </w:rPr>
            </w:pPr>
            <w:r>
              <w:rPr>
                <w:rFonts w:ascii="Arial" w:cs="Arial" w:eastAsia="Arial" w:hAnsi="Arial"/>
                <w:sz w:val="18"/>
                <w:szCs w:val="18"/>
                <w:b w:val="1"/>
                <w:bCs w:val="1"/>
                <w:color w:val="auto"/>
                <w:w w:val="99"/>
              </w:rPr>
              <w:t>Foreign Currency</w:t>
            </w: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0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Translation</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102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Adjustments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Other</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7"/>
              </w:rPr>
              <w:t>Total</w:t>
            </w:r>
          </w:p>
        </w:tc>
        <w:tc>
          <w:tcPr>
            <w:tcW w:w="100" w:type="dxa"/>
            <w:vAlign w:val="bottom"/>
          </w:tcPr>
          <w:p>
            <w:pPr>
              <w:spacing w:after="0"/>
              <w:rPr>
                <w:sz w:val="20"/>
                <w:szCs w:val="20"/>
                <w:color w:val="auto"/>
              </w:rPr>
            </w:pPr>
          </w:p>
        </w:tc>
      </w:tr>
      <w:tr>
        <w:trPr>
          <w:trHeight w:val="216"/>
        </w:trPr>
        <w:tc>
          <w:tcPr>
            <w:tcW w:w="10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138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400" w:type="dxa"/>
            <w:vAlign w:val="bottom"/>
            <w:gridSpan w:val="2"/>
          </w:tcPr>
          <w:p>
            <w:pPr>
              <w:spacing w:after="0"/>
              <w:rPr>
                <w:sz w:val="18"/>
                <w:szCs w:val="18"/>
                <w:color w:val="auto"/>
              </w:rPr>
            </w:pPr>
          </w:p>
        </w:tc>
        <w:tc>
          <w:tcPr>
            <w:tcW w:w="900" w:type="dxa"/>
            <w:vAlign w:val="bottom"/>
            <w:gridSpan w:val="2"/>
          </w:tcPr>
          <w:p>
            <w:pPr>
              <w:spacing w:after="0"/>
              <w:rPr>
                <w:sz w:val="18"/>
                <w:szCs w:val="18"/>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January 29, 2023</w:t>
            </w:r>
          </w:p>
        </w:tc>
        <w:tc>
          <w:tcPr>
            <w:tcW w:w="8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(23,737)</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(683)</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(24,420)</w:t>
            </w:r>
          </w:p>
        </w:tc>
      </w:tr>
      <w:tr>
        <w:trPr>
          <w:trHeight w:val="216"/>
        </w:trPr>
        <w:tc>
          <w:tcPr>
            <w:tcW w:w="6440" w:type="dxa"/>
            <w:vAlign w:val="bottom"/>
            <w:gridSpan w:val="2"/>
          </w:tcPr>
          <w:p>
            <w:pPr>
              <w:spacing w:after="0"/>
              <w:rPr>
                <w:sz w:val="20"/>
                <w:szCs w:val="20"/>
                <w:color w:val="auto"/>
              </w:rPr>
            </w:pPr>
            <w:r>
              <w:rPr>
                <w:rFonts w:ascii="Arial" w:cs="Arial" w:eastAsia="Arial" w:hAnsi="Arial"/>
                <w:sz w:val="18"/>
                <w:szCs w:val="18"/>
                <w:color w:val="auto"/>
              </w:rPr>
              <w:t>Other comprehensive (loss) income</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(39,813)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(39,747)</w:t>
            </w:r>
          </w:p>
        </w:tc>
      </w:tr>
      <w:tr>
        <w:trPr>
          <w:trHeight w:val="223"/>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Other comprehensive (loss) income attributable to noncontrolling interests</w:t>
            </w: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(4,760)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(4,662)</w:t>
            </w:r>
          </w:p>
        </w:tc>
      </w:tr>
      <w:tr>
        <w:trPr>
          <w:trHeight w:val="216"/>
        </w:trPr>
        <w:tc>
          <w:tcPr>
            <w:tcW w:w="1020" w:type="dxa"/>
            <w:vAlign w:val="bottom"/>
            <w:tcBorders>
              <w:top w:val="single" w:sz="8" w:color="CCEEFF"/>
            </w:tcBorders>
          </w:tcPr>
          <w:p>
            <w:pPr>
              <w:spacing w:after="0"/>
              <w:rPr>
                <w:sz w:val="18"/>
                <w:szCs w:val="18"/>
                <w:color w:val="auto"/>
              </w:rPr>
            </w:pPr>
          </w:p>
        </w:tc>
        <w:tc>
          <w:tcPr>
            <w:tcW w:w="54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April 30, 2023</w:t>
            </w: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(58,790)</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(715)</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(59,505)</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54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33"/>
        </w:trPr>
        <w:tc>
          <w:tcPr>
            <w:tcW w:w="10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0" w:type="dxa"/>
            <w:vAlign w:val="bottom"/>
            <w:gridSpan w:val="10"/>
          </w:tcPr>
          <w:p>
            <w:pPr>
              <w:jc w:val="center"/>
              <w:ind w:right="260"/>
              <w:spacing w:after="0"/>
              <w:rPr>
                <w:sz w:val="20"/>
                <w:szCs w:val="20"/>
                <w:color w:val="auto"/>
              </w:rPr>
            </w:pPr>
            <w:r>
              <w:rPr>
                <w:rFonts w:ascii="Arial" w:cs="Arial" w:eastAsia="Arial" w:hAnsi="Arial"/>
                <w:sz w:val="18"/>
                <w:szCs w:val="18"/>
                <w:b w:val="1"/>
                <w:bCs w:val="1"/>
                <w:color w:val="auto"/>
                <w:w w:val="92"/>
              </w:rPr>
              <w:t>Three Months Ended May 1, 2022</w:t>
            </w:r>
          </w:p>
        </w:tc>
      </w:tr>
      <w:tr>
        <w:trPr>
          <w:trHeight w:val="198"/>
        </w:trPr>
        <w:tc>
          <w:tcPr>
            <w:tcW w:w="102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20" w:type="dxa"/>
            <w:vAlign w:val="bottom"/>
            <w:tcBorders>
              <w:top w:val="single" w:sz="8" w:color="auto"/>
            </w:tcBorders>
            <w:gridSpan w:val="3"/>
          </w:tcPr>
          <w:p>
            <w:pPr>
              <w:spacing w:after="0" w:line="198" w:lineRule="exact"/>
              <w:rPr>
                <w:sz w:val="20"/>
                <w:szCs w:val="20"/>
                <w:color w:val="auto"/>
              </w:rPr>
            </w:pPr>
            <w:r>
              <w:rPr>
                <w:rFonts w:ascii="Arial" w:cs="Arial" w:eastAsia="Arial" w:hAnsi="Arial"/>
                <w:sz w:val="18"/>
                <w:szCs w:val="18"/>
                <w:b w:val="1"/>
                <w:bCs w:val="1"/>
                <w:color w:val="auto"/>
                <w:w w:val="99"/>
              </w:rPr>
              <w:t>Foreign Currency</w:t>
            </w: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0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Translation</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102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Adjustments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Other</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7"/>
              </w:rPr>
              <w:t>Total</w:t>
            </w:r>
          </w:p>
        </w:tc>
        <w:tc>
          <w:tcPr>
            <w:tcW w:w="100" w:type="dxa"/>
            <w:vAlign w:val="bottom"/>
          </w:tcPr>
          <w:p>
            <w:pPr>
              <w:spacing w:after="0"/>
              <w:rPr>
                <w:sz w:val="20"/>
                <w:szCs w:val="20"/>
                <w:color w:val="auto"/>
              </w:rPr>
            </w:pPr>
          </w:p>
        </w:tc>
      </w:tr>
      <w:tr>
        <w:trPr>
          <w:trHeight w:val="216"/>
        </w:trPr>
        <w:tc>
          <w:tcPr>
            <w:tcW w:w="10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400" w:type="dxa"/>
            <w:vAlign w:val="bottom"/>
            <w:gridSpan w:val="2"/>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January 30, 2022</w:t>
            </w:r>
          </w:p>
        </w:tc>
        <w:tc>
          <w:tcPr>
            <w:tcW w:w="8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11,451</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(886)</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10,565</w:t>
            </w:r>
          </w:p>
        </w:tc>
        <w:tc>
          <w:tcPr>
            <w:tcW w:w="100" w:type="dxa"/>
            <w:vAlign w:val="bottom"/>
            <w:shd w:val="clear" w:color="auto" w:fill="CCEEFF"/>
          </w:tcPr>
          <w:p>
            <w:pPr>
              <w:spacing w:after="0"/>
              <w:rPr>
                <w:sz w:val="18"/>
                <w:szCs w:val="18"/>
                <w:color w:val="auto"/>
              </w:rPr>
            </w:pPr>
          </w:p>
        </w:tc>
      </w:tr>
      <w:tr>
        <w:trPr>
          <w:trHeight w:val="216"/>
        </w:trPr>
        <w:tc>
          <w:tcPr>
            <w:tcW w:w="6440" w:type="dxa"/>
            <w:vAlign w:val="bottom"/>
            <w:gridSpan w:val="2"/>
          </w:tcPr>
          <w:p>
            <w:pPr>
              <w:spacing w:after="0"/>
              <w:rPr>
                <w:sz w:val="20"/>
                <w:szCs w:val="20"/>
                <w:color w:val="auto"/>
              </w:rPr>
            </w:pPr>
            <w:r>
              <w:rPr>
                <w:rFonts w:ascii="Arial" w:cs="Arial" w:eastAsia="Arial" w:hAnsi="Arial"/>
                <w:sz w:val="18"/>
                <w:szCs w:val="18"/>
                <w:color w:val="auto"/>
              </w:rPr>
              <w:t>Other comprehensive (loss) income</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(44,118)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129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(43,989)</w:t>
            </w:r>
          </w:p>
        </w:tc>
      </w:tr>
      <w:tr>
        <w:trPr>
          <w:trHeight w:val="223"/>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Other comprehensive (loss) income attributable to noncontrolling interests</w:t>
            </w: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(10,570)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(10,505)</w:t>
            </w:r>
          </w:p>
        </w:tc>
      </w:tr>
      <w:tr>
        <w:trPr>
          <w:trHeight w:val="216"/>
        </w:trPr>
        <w:tc>
          <w:tcPr>
            <w:tcW w:w="1020" w:type="dxa"/>
            <w:vAlign w:val="bottom"/>
            <w:tcBorders>
              <w:top w:val="single" w:sz="8" w:color="CCEEFF"/>
            </w:tcBorders>
          </w:tcPr>
          <w:p>
            <w:pPr>
              <w:spacing w:after="0"/>
              <w:rPr>
                <w:sz w:val="18"/>
                <w:szCs w:val="18"/>
                <w:color w:val="auto"/>
              </w:rPr>
            </w:pPr>
          </w:p>
        </w:tc>
        <w:tc>
          <w:tcPr>
            <w:tcW w:w="54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May 1, 2022</w:t>
            </w: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(22,097)</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(822)</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(22,919)</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54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33"/>
        </w:trPr>
        <w:tc>
          <w:tcPr>
            <w:tcW w:w="10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0" w:type="dxa"/>
            <w:vAlign w:val="bottom"/>
            <w:gridSpan w:val="10"/>
          </w:tcPr>
          <w:p>
            <w:pPr>
              <w:jc w:val="center"/>
              <w:ind w:right="260"/>
              <w:spacing w:after="0"/>
              <w:rPr>
                <w:sz w:val="20"/>
                <w:szCs w:val="20"/>
                <w:color w:val="auto"/>
              </w:rPr>
            </w:pPr>
            <w:r>
              <w:rPr>
                <w:rFonts w:ascii="Arial" w:cs="Arial" w:eastAsia="Arial" w:hAnsi="Arial"/>
                <w:sz w:val="18"/>
                <w:szCs w:val="18"/>
                <w:b w:val="1"/>
                <w:bCs w:val="1"/>
                <w:color w:val="auto"/>
                <w:w w:val="91"/>
              </w:rPr>
              <w:t>Six Months Ended April 30, 2023</w:t>
            </w:r>
          </w:p>
        </w:tc>
      </w:tr>
      <w:tr>
        <w:trPr>
          <w:trHeight w:val="198"/>
        </w:trPr>
        <w:tc>
          <w:tcPr>
            <w:tcW w:w="102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20" w:type="dxa"/>
            <w:vAlign w:val="bottom"/>
            <w:tcBorders>
              <w:top w:val="single" w:sz="8" w:color="auto"/>
            </w:tcBorders>
            <w:gridSpan w:val="3"/>
          </w:tcPr>
          <w:p>
            <w:pPr>
              <w:spacing w:after="0" w:line="198" w:lineRule="exact"/>
              <w:rPr>
                <w:sz w:val="20"/>
                <w:szCs w:val="20"/>
                <w:color w:val="auto"/>
              </w:rPr>
            </w:pPr>
            <w:r>
              <w:rPr>
                <w:rFonts w:ascii="Arial" w:cs="Arial" w:eastAsia="Arial" w:hAnsi="Arial"/>
                <w:sz w:val="18"/>
                <w:szCs w:val="18"/>
                <w:b w:val="1"/>
                <w:bCs w:val="1"/>
                <w:color w:val="auto"/>
                <w:w w:val="99"/>
              </w:rPr>
              <w:t>Foreign Currency</w:t>
            </w: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0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Translation</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102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Adjustments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Other</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7"/>
              </w:rPr>
              <w:t>Total</w:t>
            </w:r>
          </w:p>
        </w:tc>
        <w:tc>
          <w:tcPr>
            <w:tcW w:w="100" w:type="dxa"/>
            <w:vAlign w:val="bottom"/>
          </w:tcPr>
          <w:p>
            <w:pPr>
              <w:spacing w:after="0"/>
              <w:rPr>
                <w:sz w:val="20"/>
                <w:szCs w:val="20"/>
                <w:color w:val="auto"/>
              </w:rPr>
            </w:pPr>
          </w:p>
        </w:tc>
      </w:tr>
      <w:tr>
        <w:trPr>
          <w:trHeight w:val="216"/>
        </w:trPr>
        <w:tc>
          <w:tcPr>
            <w:tcW w:w="10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138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400" w:type="dxa"/>
            <w:vAlign w:val="bottom"/>
            <w:gridSpan w:val="2"/>
          </w:tcPr>
          <w:p>
            <w:pPr>
              <w:spacing w:after="0"/>
              <w:rPr>
                <w:sz w:val="18"/>
                <w:szCs w:val="18"/>
                <w:color w:val="auto"/>
              </w:rPr>
            </w:pPr>
          </w:p>
        </w:tc>
        <w:tc>
          <w:tcPr>
            <w:tcW w:w="900" w:type="dxa"/>
            <w:vAlign w:val="bottom"/>
            <w:gridSpan w:val="2"/>
          </w:tcPr>
          <w:p>
            <w:pPr>
              <w:spacing w:after="0"/>
              <w:rPr>
                <w:sz w:val="18"/>
                <w:szCs w:val="18"/>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October 31, 2022</w:t>
            </w:r>
          </w:p>
        </w:tc>
        <w:tc>
          <w:tcPr>
            <w:tcW w:w="8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(97,790)</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(666)</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(98,456)</w:t>
            </w:r>
          </w:p>
        </w:tc>
      </w:tr>
      <w:tr>
        <w:trPr>
          <w:trHeight w:val="216"/>
        </w:trPr>
        <w:tc>
          <w:tcPr>
            <w:tcW w:w="6440" w:type="dxa"/>
            <w:vAlign w:val="bottom"/>
            <w:gridSpan w:val="2"/>
          </w:tcPr>
          <w:p>
            <w:pPr>
              <w:spacing w:after="0"/>
              <w:rPr>
                <w:sz w:val="20"/>
                <w:szCs w:val="20"/>
                <w:color w:val="auto"/>
              </w:rPr>
            </w:pPr>
            <w:r>
              <w:rPr>
                <w:rFonts w:ascii="Arial" w:cs="Arial" w:eastAsia="Arial" w:hAnsi="Arial"/>
                <w:sz w:val="18"/>
                <w:szCs w:val="18"/>
                <w:color w:val="auto"/>
              </w:rPr>
              <w:t>Other comprehensive income</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50,707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50,718</w:t>
            </w:r>
          </w:p>
        </w:tc>
        <w:tc>
          <w:tcPr>
            <w:tcW w:w="100" w:type="dxa"/>
            <w:vAlign w:val="bottom"/>
          </w:tcPr>
          <w:p>
            <w:pPr>
              <w:spacing w:after="0"/>
              <w:rPr>
                <w:sz w:val="18"/>
                <w:szCs w:val="18"/>
                <w:color w:val="auto"/>
              </w:rPr>
            </w:pPr>
          </w:p>
        </w:tc>
      </w:tr>
      <w:tr>
        <w:trPr>
          <w:trHeight w:val="223"/>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Other comprehensive income attributable to noncontrolling interests</w:t>
            </w: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11,707</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11,767</w:t>
            </w:r>
          </w:p>
        </w:tc>
        <w:tc>
          <w:tcPr>
            <w:tcW w:w="100" w:type="dxa"/>
            <w:vAlign w:val="bottom"/>
            <w:shd w:val="clear" w:color="auto" w:fill="CCEEFF"/>
          </w:tcPr>
          <w:p>
            <w:pPr>
              <w:spacing w:after="0"/>
              <w:rPr>
                <w:sz w:val="19"/>
                <w:szCs w:val="19"/>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54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April 30, 2023</w:t>
            </w: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(58,790)</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(715)</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(59,505)</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54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33"/>
        </w:trPr>
        <w:tc>
          <w:tcPr>
            <w:tcW w:w="10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8"/>
          </w:tcPr>
          <w:p>
            <w:pPr>
              <w:jc w:val="center"/>
              <w:ind w:left="570"/>
              <w:spacing w:after="0"/>
              <w:rPr>
                <w:sz w:val="20"/>
                <w:szCs w:val="20"/>
                <w:color w:val="auto"/>
              </w:rPr>
            </w:pPr>
            <w:r>
              <w:rPr>
                <w:rFonts w:ascii="Arial" w:cs="Arial" w:eastAsia="Arial" w:hAnsi="Arial"/>
                <w:sz w:val="18"/>
                <w:szCs w:val="18"/>
                <w:b w:val="1"/>
                <w:bCs w:val="1"/>
                <w:color w:val="auto"/>
                <w:w w:val="91"/>
              </w:rPr>
              <w:t>Six Months Ended May 1, 2022</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102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2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w w:val="99"/>
              </w:rPr>
              <w:t>Foreign Currency</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0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Translation</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102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Adjustments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Other</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7"/>
              </w:rPr>
              <w:t>Total</w:t>
            </w:r>
          </w:p>
        </w:tc>
        <w:tc>
          <w:tcPr>
            <w:tcW w:w="100" w:type="dxa"/>
            <w:vAlign w:val="bottom"/>
          </w:tcPr>
          <w:p>
            <w:pPr>
              <w:spacing w:after="0"/>
              <w:rPr>
                <w:sz w:val="20"/>
                <w:szCs w:val="20"/>
                <w:color w:val="auto"/>
              </w:rPr>
            </w:pPr>
          </w:p>
        </w:tc>
      </w:tr>
      <w:tr>
        <w:trPr>
          <w:trHeight w:val="216"/>
        </w:trPr>
        <w:tc>
          <w:tcPr>
            <w:tcW w:w="10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400" w:type="dxa"/>
            <w:vAlign w:val="bottom"/>
            <w:gridSpan w:val="2"/>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October 31, 2021</w:t>
            </w:r>
          </w:p>
        </w:tc>
        <w:tc>
          <w:tcPr>
            <w:tcW w:w="8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21,476</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(905)</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20,571</w:t>
            </w:r>
          </w:p>
        </w:tc>
        <w:tc>
          <w:tcPr>
            <w:tcW w:w="100" w:type="dxa"/>
            <w:vAlign w:val="bottom"/>
            <w:shd w:val="clear" w:color="auto" w:fill="CCEEFF"/>
          </w:tcPr>
          <w:p>
            <w:pPr>
              <w:spacing w:after="0"/>
              <w:rPr>
                <w:sz w:val="18"/>
                <w:szCs w:val="18"/>
                <w:color w:val="auto"/>
              </w:rPr>
            </w:pPr>
          </w:p>
        </w:tc>
      </w:tr>
      <w:tr>
        <w:trPr>
          <w:trHeight w:val="216"/>
        </w:trPr>
        <w:tc>
          <w:tcPr>
            <w:tcW w:w="6440" w:type="dxa"/>
            <w:vAlign w:val="bottom"/>
            <w:gridSpan w:val="2"/>
          </w:tcPr>
          <w:p>
            <w:pPr>
              <w:spacing w:after="0"/>
              <w:rPr>
                <w:sz w:val="20"/>
                <w:szCs w:val="20"/>
                <w:color w:val="auto"/>
              </w:rPr>
            </w:pPr>
            <w:r>
              <w:rPr>
                <w:rFonts w:ascii="Arial" w:cs="Arial" w:eastAsia="Arial" w:hAnsi="Arial"/>
                <w:sz w:val="18"/>
                <w:szCs w:val="18"/>
                <w:color w:val="auto"/>
              </w:rPr>
              <w:t>Other comprehensive (loss) income</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(53,949)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166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(53,783)</w:t>
            </w:r>
          </w:p>
        </w:tc>
      </w:tr>
      <w:tr>
        <w:trPr>
          <w:trHeight w:val="223"/>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Other comprehensive (loss) income attributable to noncontrolling interests</w:t>
            </w: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(10,376)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(10,293)</w:t>
            </w:r>
          </w:p>
        </w:tc>
      </w:tr>
      <w:tr>
        <w:trPr>
          <w:trHeight w:val="216"/>
        </w:trPr>
        <w:tc>
          <w:tcPr>
            <w:tcW w:w="1020" w:type="dxa"/>
            <w:vAlign w:val="bottom"/>
            <w:tcBorders>
              <w:top w:val="single" w:sz="8" w:color="CCEEFF"/>
            </w:tcBorders>
          </w:tcPr>
          <w:p>
            <w:pPr>
              <w:spacing w:after="0"/>
              <w:rPr>
                <w:sz w:val="18"/>
                <w:szCs w:val="18"/>
                <w:color w:val="auto"/>
              </w:rPr>
            </w:pPr>
          </w:p>
        </w:tc>
        <w:tc>
          <w:tcPr>
            <w:tcW w:w="54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May 1, 2022</w:t>
            </w:r>
          </w:p>
        </w:tc>
        <w:tc>
          <w:tcPr>
            <w:tcW w:w="8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(22,097)</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(822)</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(22,919)</w:t>
            </w:r>
          </w:p>
        </w:tc>
      </w:tr>
      <w:tr>
        <w:trPr>
          <w:trHeight w:val="548"/>
        </w:trPr>
        <w:tc>
          <w:tcPr>
            <w:tcW w:w="6440" w:type="dxa"/>
            <w:vAlign w:val="bottom"/>
            <w:tcBorders>
              <w:top w:val="single" w:sz="8" w:color="CCEEFF"/>
            </w:tcBorders>
            <w:gridSpan w:val="2"/>
          </w:tcPr>
          <w:p>
            <w:pPr>
              <w:ind w:left="5560"/>
              <w:spacing w:after="0"/>
              <w:rPr>
                <w:sz w:val="20"/>
                <w:szCs w:val="20"/>
                <w:color w:val="auto"/>
              </w:rPr>
            </w:pPr>
            <w:r>
              <w:rPr>
                <w:rFonts w:ascii="Arial" w:cs="Arial" w:eastAsia="Arial" w:hAnsi="Arial"/>
                <w:sz w:val="14"/>
                <w:szCs w:val="14"/>
                <w:color w:val="auto"/>
              </w:rPr>
              <w:t>24</w:t>
            </w:r>
          </w:p>
        </w:tc>
        <w:tc>
          <w:tcPr>
            <w:tcW w:w="66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6"/>
        </w:trPr>
        <w:tc>
          <w:tcPr>
            <w:tcW w:w="1020" w:type="dxa"/>
            <w:vAlign w:val="bottom"/>
            <w:tcBorders>
              <w:bottom w:val="single" w:sz="8" w:color="auto"/>
            </w:tcBorders>
          </w:tcPr>
          <w:p>
            <w:pPr>
              <w:spacing w:after="0"/>
              <w:rPr>
                <w:sz w:val="4"/>
                <w:szCs w:val="4"/>
                <w:color w:val="auto"/>
              </w:rPr>
            </w:pPr>
          </w:p>
        </w:tc>
        <w:tc>
          <w:tcPr>
            <w:tcW w:w="54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13" w:right="339" w:bottom="1440" w:gutter="0" w:footer="0" w:header="0"/>
        </w:sectPr>
      </w:pPr>
    </w:p>
    <w:bookmarkStart w:id="25" w:name="page26"/>
    <w:bookmarkEnd w:id="25"/>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FAIR VALUE MEASUREMENTS</w:t>
      </w:r>
    </w:p>
    <w:p>
      <w:pPr>
        <w:spacing w:after="0" w:line="209"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The accounting framework for determining fair value includes a hierarchy for ranking the quality and reliability of the information used to measure fair value, which enables the reader of the financial statements to assess the inputs used to develop those measurements. The fair value hierarchy consists of three tiers as follows: Level 1, defined as quoted market prices (unadjusted) in active markets for identical securities; Level 2, defined as inputs other than Level 1 that are observable, either directly or indirectly; and Level 3, defined as unobservable inputs that are not corroborated by market data.</w:t>
      </w:r>
    </w:p>
    <w:p>
      <w:pPr>
        <w:spacing w:after="0" w:line="157"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 fair values of our cash and certain cash equivalents (Level 1 measurements), accounts receivable, accounts payable, and certain other current assets and current liabilities (Level 2 measurements) approximate their carrying values due to their short-term maturities. The fair values of our Short-term investments are Level 1 measurements. (Please refer to “Investments” within Note 2 for additional fair value information on our Short-term investments.) The fair values of certain cash equivalents are Level 2 measurements that are provided by independent third-party pricing services or other independent entities, which may use matrix pricing, valuation models, or other methods which utilize observable market data. The fair values of our variable-rate debt instruments are Level 2 measurements and approximate their carrying values due to the variable nature of their underlying interest rates. Other than our Short-term investments, we did not have any assets or liabilities measured at fair value, on a recurring or a nonrecurring basis, at April 30, 2023, or October 31, 2022.</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SHARE REPURCHASE PROGRAMS</w:t>
      </w:r>
    </w:p>
    <w:p>
      <w:pPr>
        <w:spacing w:after="0" w:line="209"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In September 2020, the Company’s board of directors authorized the repurchase of up to $100 million of its common stock, pursuant to a repurchase plan under Rule 10b5-1 of the Securities Act. We commenced repurchasing shares under this authorization on September 16, 2020. All of the shares repurchased under this authorization prior to January 30, 2022, have been retired prior to that date. As of April 30, 2023, $31.7 million was available under this authorization for the purchase of additional shares. The table below presents information on this repurchase program for the three and six-month periods ended April 30, 2023, and May 1, 2022.</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20" w:type="dxa"/>
            <w:vAlign w:val="bottom"/>
          </w:tcPr>
          <w:p>
            <w:pPr>
              <w:spacing w:after="0"/>
              <w:rPr>
                <w:sz w:val="20"/>
                <w:szCs w:val="20"/>
                <w:color w:val="auto"/>
              </w:rPr>
            </w:pPr>
          </w:p>
        </w:tc>
        <w:tc>
          <w:tcPr>
            <w:tcW w:w="236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5"/>
          </w:tcPr>
          <w:p>
            <w:pPr>
              <w:jc w:val="right"/>
              <w:ind w:right="370"/>
              <w:spacing w:after="0"/>
              <w:rPr>
                <w:sz w:val="20"/>
                <w:szCs w:val="20"/>
                <w:color w:val="auto"/>
              </w:rPr>
            </w:pPr>
            <w:r>
              <w:rPr>
                <w:rFonts w:ascii="Arial" w:cs="Arial" w:eastAsia="Arial" w:hAnsi="Arial"/>
                <w:sz w:val="18"/>
                <w:szCs w:val="18"/>
                <w:b w:val="1"/>
                <w:bCs w:val="1"/>
                <w:color w:val="auto"/>
              </w:rPr>
              <w:t>Six Months Ended</w:t>
            </w:r>
          </w:p>
        </w:tc>
        <w:tc>
          <w:tcPr>
            <w:tcW w:w="100" w:type="dxa"/>
            <w:vAlign w:val="bottom"/>
          </w:tcPr>
          <w:p>
            <w:pPr>
              <w:spacing w:after="0"/>
              <w:rPr>
                <w:sz w:val="20"/>
                <w:szCs w:val="20"/>
                <w:color w:val="auto"/>
              </w:rPr>
            </w:pPr>
          </w:p>
        </w:tc>
      </w:tr>
      <w:tr>
        <w:trPr>
          <w:trHeight w:val="198"/>
        </w:trPr>
        <w:tc>
          <w:tcPr>
            <w:tcW w:w="5820" w:type="dxa"/>
            <w:vAlign w:val="bottom"/>
          </w:tcPr>
          <w:p>
            <w:pPr>
              <w:spacing w:after="0"/>
              <w:rPr>
                <w:sz w:val="17"/>
                <w:szCs w:val="17"/>
                <w:color w:val="auto"/>
              </w:rPr>
            </w:pPr>
          </w:p>
        </w:tc>
        <w:tc>
          <w:tcPr>
            <w:tcW w:w="1060" w:type="dxa"/>
            <w:vAlign w:val="bottom"/>
          </w:tcPr>
          <w:p>
            <w:pPr>
              <w:jc w:val="right"/>
              <w:ind w:right="10"/>
              <w:spacing w:after="0" w:line="198" w:lineRule="exact"/>
              <w:rPr>
                <w:sz w:val="20"/>
                <w:szCs w:val="20"/>
                <w:color w:val="auto"/>
              </w:rPr>
            </w:pPr>
            <w:r>
              <w:rPr>
                <w:rFonts w:ascii="Arial" w:cs="Arial" w:eastAsia="Arial" w:hAnsi="Arial"/>
                <w:sz w:val="18"/>
                <w:szCs w:val="18"/>
                <w:b w:val="1"/>
                <w:bCs w:val="1"/>
                <w:color w:val="auto"/>
              </w:rPr>
              <w:t>April 30,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50"/>
              <w:spacing w:after="0" w:line="198" w:lineRule="exact"/>
              <w:rPr>
                <w:sz w:val="20"/>
                <w:szCs w:val="20"/>
                <w:color w:val="auto"/>
              </w:rPr>
            </w:pPr>
            <w:r>
              <w:rPr>
                <w:rFonts w:ascii="Arial" w:cs="Arial" w:eastAsia="Arial" w:hAnsi="Arial"/>
                <w:sz w:val="18"/>
                <w:szCs w:val="18"/>
                <w:b w:val="1"/>
                <w:bCs w:val="1"/>
                <w:color w:val="auto"/>
              </w:rPr>
              <w:t>May 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center"/>
              <w:ind w:right="280"/>
              <w:spacing w:after="0" w:line="198" w:lineRule="exact"/>
              <w:rPr>
                <w:sz w:val="20"/>
                <w:szCs w:val="20"/>
                <w:color w:val="auto"/>
              </w:rPr>
            </w:pPr>
            <w:r>
              <w:rPr>
                <w:rFonts w:ascii="Arial" w:cs="Arial" w:eastAsia="Arial" w:hAnsi="Arial"/>
                <w:sz w:val="18"/>
                <w:szCs w:val="18"/>
                <w:b w:val="1"/>
                <w:bCs w:val="1"/>
                <w:color w:val="auto"/>
                <w:w w:val="95"/>
              </w:rPr>
              <w:t>April 30,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210"/>
              <w:spacing w:after="0" w:line="198" w:lineRule="exact"/>
              <w:rPr>
                <w:sz w:val="20"/>
                <w:szCs w:val="20"/>
                <w:color w:val="auto"/>
              </w:rPr>
            </w:pPr>
            <w:r>
              <w:rPr>
                <w:rFonts w:ascii="Arial" w:cs="Arial" w:eastAsia="Arial" w:hAnsi="Arial"/>
                <w:sz w:val="18"/>
                <w:szCs w:val="18"/>
                <w:b w:val="1"/>
                <w:bCs w:val="1"/>
                <w:color w:val="auto"/>
              </w:rPr>
              <w:t>May 1,</w:t>
            </w:r>
          </w:p>
        </w:tc>
        <w:tc>
          <w:tcPr>
            <w:tcW w:w="100" w:type="dxa"/>
            <w:vAlign w:val="bottom"/>
          </w:tcPr>
          <w:p>
            <w:pPr>
              <w:spacing w:after="0"/>
              <w:rPr>
                <w:sz w:val="17"/>
                <w:szCs w:val="17"/>
                <w:color w:val="auto"/>
              </w:rPr>
            </w:pPr>
          </w:p>
        </w:tc>
      </w:tr>
      <w:tr>
        <w:trPr>
          <w:trHeight w:val="241"/>
        </w:trPr>
        <w:tc>
          <w:tcPr>
            <w:tcW w:w="5820" w:type="dxa"/>
            <w:vAlign w:val="bottom"/>
          </w:tcPr>
          <w:p>
            <w:pPr>
              <w:spacing w:after="0"/>
              <w:rPr>
                <w:sz w:val="20"/>
                <w:szCs w:val="20"/>
                <w:color w:val="auto"/>
              </w:rPr>
            </w:pP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2023</w:t>
            </w:r>
          </w:p>
        </w:tc>
        <w:tc>
          <w:tcPr>
            <w:tcW w:w="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6"/>
        </w:trPr>
        <w:tc>
          <w:tcPr>
            <w:tcW w:w="5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Number of shares repurchased</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Cost of shares repurchased</w:t>
            </w:r>
          </w:p>
        </w:tc>
        <w:tc>
          <w:tcPr>
            <w:tcW w:w="1060" w:type="dxa"/>
            <w:vAlign w:val="bottom"/>
          </w:tcPr>
          <w:p>
            <w:pPr>
              <w:jc w:val="right"/>
              <w:ind w:right="77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2,522</w:t>
            </w:r>
          </w:p>
        </w:tc>
        <w:tc>
          <w:tcPr>
            <w:tcW w:w="100" w:type="dxa"/>
            <w:vAlign w:val="bottom"/>
          </w:tcPr>
          <w:p>
            <w:pPr>
              <w:spacing w:after="0"/>
              <w:rPr>
                <w:sz w:val="18"/>
                <w:szCs w:val="18"/>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Average price paid per share</w:t>
            </w:r>
          </w:p>
        </w:tc>
        <w:tc>
          <w:tcPr>
            <w:tcW w:w="10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100" w:type="dxa"/>
            <w:vAlign w:val="bottom"/>
            <w:shd w:val="clear" w:color="auto" w:fill="CCEEFF"/>
          </w:tcPr>
          <w:p>
            <w:pPr>
              <w:spacing w:after="0"/>
              <w:rPr>
                <w:sz w:val="18"/>
                <w:szCs w:val="18"/>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RECENT ACCOUNTING PRONOUNCEMENTS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Standards Updates to be Adopted</w:t>
      </w:r>
    </w:p>
    <w:p>
      <w:pPr>
        <w:spacing w:after="0" w:line="225"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In November 2021, the FASB issued ASU 2021-10, “Government Assistance (Topic 832): Disclosures by Business Entities about Government Assistance”, to increase the transparency of government assistance including the disclosure of the types of assistance an entity receives, an entity’s method of accounting for government assistance, and the effect of the assistance on an entity’s financial statements. The guidance in this Update will be effective for Photronics in its fiscal year 2023 Form 10-K, with early application of the amendments allowed. The amendments are to be applied prospectively to all transactions within the scope of the amendments that are reflected in financial statements at the date of initial application and new transactions that are entered into after the date of initial application or, retrospectively to those transactions. We are currently evaluating the effect the adoption of this ASU may have on our disclosures.</w:t>
      </w:r>
    </w:p>
    <w:p>
      <w:pPr>
        <w:spacing w:after="0" w:line="195" w:lineRule="exact"/>
        <w:rPr>
          <w:sz w:val="20"/>
          <w:szCs w:val="20"/>
          <w:color w:val="auto"/>
        </w:rPr>
      </w:pPr>
    </w:p>
    <w:p>
      <w:pPr>
        <w:ind w:right="140" w:firstLine="324"/>
        <w:spacing w:after="0" w:line="293" w:lineRule="auto"/>
        <w:rPr>
          <w:sz w:val="20"/>
          <w:szCs w:val="20"/>
          <w:color w:val="auto"/>
        </w:rPr>
      </w:pPr>
      <w:r>
        <w:rPr>
          <w:rFonts w:ascii="Arial" w:cs="Arial" w:eastAsia="Arial" w:hAnsi="Arial"/>
          <w:sz w:val="16"/>
          <w:szCs w:val="16"/>
          <w:color w:val="auto"/>
        </w:rPr>
        <w:t>In March 2020, the FASB issued ASU 2020-04, “Reference Rate Reform (Topic 848): Facilitation of the Effects of Reference Rate Reform on Financial Reporting”, which provides optional expedients and exceptions to applying the guidance on contract modifications, hedge accounting, and other transactions, to simplify the accounting for transitioning from LIBOR, and other interbank offered rates expected to be discontinued, to alternative reference rates. The guidance in this Update was effective upon its issuance; if elected, it was to be applied prospectively from December 31, 2022. In December 2022, the FASB issued ASU 2022-06 “Deferral of the Sunset Date of Topic 848” which extended the time that the optional expedients and exceptions may be adopted to December 31, 2024. We do not expect the impact of this ASU to be material to our consolidated financial statements.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7"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0" w:firstLine="243"/>
        <w:spacing w:after="0" w:line="301" w:lineRule="auto"/>
        <w:rPr>
          <w:sz w:val="20"/>
          <w:szCs w:val="20"/>
          <w:color w:val="auto"/>
        </w:rPr>
      </w:pPr>
      <w:r>
        <w:rPr>
          <w:rFonts w:ascii="Arial" w:cs="Arial" w:eastAsia="Arial" w:hAnsi="Arial"/>
          <w:sz w:val="16"/>
          <w:szCs w:val="16"/>
          <w:color w:val="auto"/>
        </w:rPr>
        <w:t>Management's discussion and analysis (“MD&amp;A”) of the Company's financial condition and results of operations should be read in conjunction with its condensed consolidated financial statements and related notes. Various sections of this MD&amp;A contain forward-looking statements, all of which are presented based on current expectations, which may be adversely affected by uncertainties and risk factors (presented throughout this filing and in the Company's Form 10-K for fiscal year 2022), that may cause actual results to materially differ from these expectations. See “Forward-Looking Statements”.</w:t>
      </w:r>
    </w:p>
    <w:p>
      <w:pPr>
        <w:spacing w:after="0" w:line="157" w:lineRule="exact"/>
        <w:rPr>
          <w:sz w:val="20"/>
          <w:szCs w:val="20"/>
          <w:color w:val="auto"/>
        </w:rPr>
      </w:pPr>
    </w:p>
    <w:p>
      <w:pPr>
        <w:ind w:right="100" w:firstLine="243"/>
        <w:spacing w:after="0" w:line="268" w:lineRule="auto"/>
        <w:rPr>
          <w:sz w:val="20"/>
          <w:szCs w:val="20"/>
          <w:color w:val="auto"/>
        </w:rPr>
      </w:pPr>
      <w:r>
        <w:rPr>
          <w:rFonts w:ascii="Arial" w:cs="Arial" w:eastAsia="Arial" w:hAnsi="Arial"/>
          <w:sz w:val="17"/>
          <w:szCs w:val="17"/>
          <w:color w:val="auto"/>
        </w:rPr>
        <w:t>We sell substantially all of our photomasks to semiconductor designers and manufacturers, and manufacturers of FPDs. Photomask technology is also being applied to the fabrication of other higher-performance electronic products such as photonics, microelectronic mechanical systems, and certain nanotechnology applications. Our selling cycle is tightly interwoven with the development and release of new semiconductor and display designs and applications, particularly as they relate to the semiconductor industry's migration to more advanced product innovation, design methodologies, and fabrication processes. The demand for photomasks primarily depends on design activity rather than sales volumes from products manufactured using photomask technologies. Consequently, an increase in semiconductor or display sales does not necessarily result in a corresponding increase in photomask sales. However, the reduced use of customized ICs, reductions in design complexity, other changes in the technology or methods of manufacturing or designing semiconductors, or a slowdown in the introduction of new semiconductor or display designs could reduce demand for photomasks ‒ even if the demand for semiconductors and displays increases. Advances in semiconductor, display, and photomask design and production methods that shift the burden of achieving device performance away from lithography could also reduce the demand for photomasks. Historically, the microelectronics industry has been volatile, experiencing periodic downturns and slowdowns in design activity. These negative trends have been characterized by, among other things, diminished product demand, excess production capacity, and accelerated erosion of selling prices, with a concomitant effect on revenue and profitability.</w:t>
      </w:r>
    </w:p>
    <w:p>
      <w:pPr>
        <w:spacing w:after="0" w:line="186" w:lineRule="exact"/>
        <w:rPr>
          <w:sz w:val="20"/>
          <w:szCs w:val="20"/>
          <w:color w:val="auto"/>
        </w:rPr>
      </w:pPr>
    </w:p>
    <w:p>
      <w:pPr>
        <w:ind w:firstLine="243"/>
        <w:spacing w:after="0" w:line="259" w:lineRule="auto"/>
        <w:rPr>
          <w:sz w:val="20"/>
          <w:szCs w:val="20"/>
          <w:color w:val="auto"/>
        </w:rPr>
      </w:pPr>
      <w:r>
        <w:rPr>
          <w:rFonts w:ascii="Arial" w:cs="Arial" w:eastAsia="Arial" w:hAnsi="Arial"/>
          <w:sz w:val="18"/>
          <w:szCs w:val="18"/>
          <w:color w:val="auto"/>
        </w:rPr>
        <w:t>We are typically required to fulfill customer orders within a short period of time, sometimes within twenty-four hours. This results in a minimal level of backlog, typically two to three weeks of backlog for FPD photomasks and one to two weeks for IC photomasks. However, the demand for some IC photomasks has expanded beyond the industry’s capacity to supply them within the traditional time period; thus, for some products, the backlog can expand to as long as two to three months.</w:t>
      </w:r>
    </w:p>
    <w:p>
      <w:pPr>
        <w:spacing w:after="0" w:line="187" w:lineRule="exact"/>
        <w:rPr>
          <w:sz w:val="20"/>
          <w:szCs w:val="20"/>
          <w:color w:val="auto"/>
        </w:rPr>
      </w:pPr>
    </w:p>
    <w:p>
      <w:pPr>
        <w:ind w:firstLine="243"/>
        <w:spacing w:after="0" w:line="293" w:lineRule="auto"/>
        <w:rPr>
          <w:sz w:val="20"/>
          <w:szCs w:val="20"/>
          <w:color w:val="auto"/>
        </w:rPr>
      </w:pPr>
      <w:r>
        <w:rPr>
          <w:rFonts w:ascii="Arial" w:cs="Arial" w:eastAsia="Arial" w:hAnsi="Arial"/>
          <w:sz w:val="16"/>
          <w:szCs w:val="16"/>
          <w:color w:val="auto"/>
        </w:rPr>
        <w:t>The global semiconductor and FPD industries are driven by end markets which have been closely tied to consumer-driven applications of high-performance devices, including, but not limited to, mobile display devices, mobile communications, and computing solutions. While we cannot predict the timing of the industry's transition to volume production of next-generation technology nodes, or the timing of up and down-cycles with precise accuracy, we believe that such transitions and cycles will continue into the future, beneficially and adversely affecting our business, financial condition, and operating results as they occur. We believe our ability to remain successful in these environments is dependent upon the achievement of our goals of being a service and technology leader and efficient solutions supplier, which we believe should enable us to continually reinvest in our global infrastructure.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the COVID-19 Pandemic</w:t>
      </w:r>
    </w:p>
    <w:p>
      <w:pPr>
        <w:spacing w:after="0" w:line="229" w:lineRule="exact"/>
        <w:rPr>
          <w:sz w:val="20"/>
          <w:szCs w:val="20"/>
          <w:color w:val="auto"/>
        </w:rPr>
      </w:pPr>
    </w:p>
    <w:p>
      <w:pPr>
        <w:ind w:right="40" w:firstLine="243"/>
        <w:spacing w:after="0" w:line="279" w:lineRule="auto"/>
        <w:rPr>
          <w:sz w:val="20"/>
          <w:szCs w:val="20"/>
          <w:color w:val="auto"/>
        </w:rPr>
      </w:pPr>
      <w:r>
        <w:rPr>
          <w:rFonts w:ascii="Arial" w:cs="Arial" w:eastAsia="Arial" w:hAnsi="Arial"/>
          <w:sz w:val="17"/>
          <w:szCs w:val="17"/>
          <w:color w:val="auto"/>
        </w:rPr>
        <w:t>All of our facilities have continued to operate throughout the COVID-19 pandemic. However, since shortly after it was first identified near the end of calendar year 2019, the pandemic has had an impact on our business in a number of ways including customer shutdowns, which led to delays in new photomask design releases, and travel restrictions, which delayed tool installations and servicing. To date, we have not experienced significant raw material shortages; however, supply-chain disruptions could potentially delay or prevent us from fulfilling customer orders.</w:t>
      </w:r>
    </w:p>
    <w:p>
      <w:pPr>
        <w:spacing w:after="0" w:line="171" w:lineRule="exact"/>
        <w:rPr>
          <w:sz w:val="20"/>
          <w:szCs w:val="20"/>
          <w:color w:val="auto"/>
        </w:rPr>
      </w:pPr>
    </w:p>
    <w:p>
      <w:pPr>
        <w:ind w:right="80" w:firstLine="243"/>
        <w:spacing w:after="0" w:line="277" w:lineRule="auto"/>
        <w:rPr>
          <w:sz w:val="20"/>
          <w:szCs w:val="20"/>
          <w:color w:val="auto"/>
        </w:rPr>
      </w:pPr>
      <w:r>
        <w:rPr>
          <w:rFonts w:ascii="Arial" w:cs="Arial" w:eastAsia="Arial" w:hAnsi="Arial"/>
          <w:sz w:val="18"/>
          <w:szCs w:val="18"/>
          <w:color w:val="auto"/>
        </w:rPr>
        <w:t>At certain facilities, employees not required to be on-site to maintain production have worked remotely at various times ‒ either at our discretion or due to government mandates. The implementation of these measures has not materially affected our operations.</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April 30, 2023</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following table presents selected operating information expressed as a percentage of revenue. The columns may not foot due to rounding.</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78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90"/>
              </w:rPr>
              <w:t>Three Months Ended</w:t>
            </w: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20" w:type="dxa"/>
            <w:vAlign w:val="bottom"/>
            <w:gridSpan w:val="4"/>
          </w:tcPr>
          <w:p>
            <w:pPr>
              <w:jc w:val="right"/>
              <w:ind w:right="680"/>
              <w:spacing w:after="0"/>
              <w:rPr>
                <w:sz w:val="20"/>
                <w:szCs w:val="20"/>
                <w:color w:val="auto"/>
              </w:rPr>
            </w:pPr>
            <w:r>
              <w:rPr>
                <w:rFonts w:ascii="Arial" w:cs="Arial" w:eastAsia="Arial" w:hAnsi="Arial"/>
                <w:sz w:val="18"/>
                <w:szCs w:val="18"/>
                <w:b w:val="1"/>
                <w:bCs w:val="1"/>
                <w:color w:val="auto"/>
              </w:rPr>
              <w:t>Six Months Ended</w:t>
            </w:r>
          </w:p>
        </w:tc>
      </w:tr>
      <w:tr>
        <w:trPr>
          <w:trHeight w:val="198"/>
        </w:trPr>
        <w:tc>
          <w:tcPr>
            <w:tcW w:w="4500" w:type="dxa"/>
            <w:vAlign w:val="bottom"/>
          </w:tcPr>
          <w:p>
            <w:pPr>
              <w:spacing w:after="0"/>
              <w:rPr>
                <w:sz w:val="17"/>
                <w:szCs w:val="17"/>
                <w:color w:val="auto"/>
              </w:rPr>
            </w:pPr>
          </w:p>
        </w:tc>
        <w:tc>
          <w:tcPr>
            <w:tcW w:w="1380" w:type="dxa"/>
            <w:vAlign w:val="bottom"/>
            <w:tcBorders>
              <w:top w:val="single" w:sz="8" w:color="auto"/>
            </w:tcBorders>
            <w:gridSpan w:val="2"/>
          </w:tcPr>
          <w:p>
            <w:pPr>
              <w:jc w:val="right"/>
              <w:ind w:right="390"/>
              <w:spacing w:after="0" w:line="198" w:lineRule="exact"/>
              <w:rPr>
                <w:sz w:val="20"/>
                <w:szCs w:val="20"/>
                <w:color w:val="auto"/>
              </w:rPr>
            </w:pPr>
            <w:r>
              <w:rPr>
                <w:rFonts w:ascii="Arial" w:cs="Arial" w:eastAsia="Arial" w:hAnsi="Arial"/>
                <w:sz w:val="18"/>
                <w:szCs w:val="18"/>
                <w:b w:val="1"/>
                <w:bCs w:val="1"/>
                <w:color w:val="auto"/>
              </w:rPr>
              <w:t>April 30,</w:t>
            </w:r>
          </w:p>
        </w:tc>
        <w:tc>
          <w:tcPr>
            <w:tcW w:w="1520" w:type="dxa"/>
            <w:vAlign w:val="bottom"/>
            <w:tcBorders>
              <w:top w:val="single" w:sz="8" w:color="auto"/>
            </w:tcBorders>
            <w:gridSpan w:val="3"/>
          </w:tcPr>
          <w:p>
            <w:pPr>
              <w:jc w:val="center"/>
              <w:ind w:right="420"/>
              <w:spacing w:after="0" w:line="198" w:lineRule="exact"/>
              <w:rPr>
                <w:sz w:val="20"/>
                <w:szCs w:val="20"/>
                <w:color w:val="auto"/>
              </w:rPr>
            </w:pPr>
            <w:r>
              <w:rPr>
                <w:rFonts w:ascii="Arial" w:cs="Arial" w:eastAsia="Arial" w:hAnsi="Arial"/>
                <w:sz w:val="18"/>
                <w:szCs w:val="18"/>
                <w:b w:val="1"/>
                <w:bCs w:val="1"/>
                <w:color w:val="auto"/>
                <w:w w:val="90"/>
              </w:rPr>
              <w:t>January 29,</w:t>
            </w:r>
          </w:p>
        </w:tc>
        <w:tc>
          <w:tcPr>
            <w:tcW w:w="960" w:type="dxa"/>
            <w:vAlign w:val="bottom"/>
            <w:tcBorders>
              <w:top w:val="single" w:sz="8" w:color="auto"/>
            </w:tcBorders>
          </w:tcPr>
          <w:p>
            <w:pPr>
              <w:jc w:val="right"/>
              <w:ind w:right="210"/>
              <w:spacing w:after="0" w:line="198" w:lineRule="exact"/>
              <w:rPr>
                <w:sz w:val="20"/>
                <w:szCs w:val="20"/>
                <w:color w:val="auto"/>
              </w:rPr>
            </w:pPr>
            <w:r>
              <w:rPr>
                <w:rFonts w:ascii="Arial" w:cs="Arial" w:eastAsia="Arial" w:hAnsi="Arial"/>
                <w:sz w:val="18"/>
                <w:szCs w:val="18"/>
                <w:b w:val="1"/>
                <w:bCs w:val="1"/>
                <w:color w:val="auto"/>
              </w:rPr>
              <w:t>May 1,</w:t>
            </w:r>
          </w:p>
        </w:tc>
        <w:tc>
          <w:tcPr>
            <w:tcW w:w="260" w:type="dxa"/>
            <w:vAlign w:val="bottom"/>
          </w:tcPr>
          <w:p>
            <w:pPr>
              <w:spacing w:after="0"/>
              <w:rPr>
                <w:sz w:val="17"/>
                <w:szCs w:val="17"/>
                <w:color w:val="auto"/>
              </w:rPr>
            </w:pPr>
          </w:p>
        </w:tc>
        <w:tc>
          <w:tcPr>
            <w:tcW w:w="1360" w:type="dxa"/>
            <w:vAlign w:val="bottom"/>
            <w:tcBorders>
              <w:top w:val="single" w:sz="8" w:color="auto"/>
            </w:tcBorders>
            <w:gridSpan w:val="2"/>
          </w:tcPr>
          <w:p>
            <w:pPr>
              <w:jc w:val="right"/>
              <w:ind w:right="480"/>
              <w:spacing w:after="0" w:line="198" w:lineRule="exact"/>
              <w:rPr>
                <w:sz w:val="20"/>
                <w:szCs w:val="20"/>
                <w:color w:val="auto"/>
              </w:rPr>
            </w:pPr>
            <w:r>
              <w:rPr>
                <w:rFonts w:ascii="Arial" w:cs="Arial" w:eastAsia="Arial" w:hAnsi="Arial"/>
                <w:sz w:val="18"/>
                <w:szCs w:val="18"/>
                <w:b w:val="1"/>
                <w:bCs w:val="1"/>
                <w:color w:val="auto"/>
              </w:rPr>
              <w:t>April 30,</w:t>
            </w:r>
          </w:p>
        </w:tc>
        <w:tc>
          <w:tcPr>
            <w:tcW w:w="1120" w:type="dxa"/>
            <w:vAlign w:val="bottom"/>
            <w:tcBorders>
              <w:top w:val="single" w:sz="8" w:color="auto"/>
            </w:tcBorders>
          </w:tcPr>
          <w:p>
            <w:pPr>
              <w:jc w:val="right"/>
              <w:ind w:right="210"/>
              <w:spacing w:after="0" w:line="198" w:lineRule="exact"/>
              <w:rPr>
                <w:sz w:val="20"/>
                <w:szCs w:val="20"/>
                <w:color w:val="auto"/>
              </w:rPr>
            </w:pPr>
            <w:r>
              <w:rPr>
                <w:rFonts w:ascii="Arial" w:cs="Arial" w:eastAsia="Arial" w:hAnsi="Arial"/>
                <w:sz w:val="18"/>
                <w:szCs w:val="18"/>
                <w:b w:val="1"/>
                <w:bCs w:val="1"/>
                <w:color w:val="auto"/>
              </w:rPr>
              <w:t>May 1,</w:t>
            </w:r>
          </w:p>
        </w:tc>
        <w:tc>
          <w:tcPr>
            <w:tcW w:w="140" w:type="dxa"/>
            <w:vAlign w:val="bottom"/>
          </w:tcPr>
          <w:p>
            <w:pPr>
              <w:spacing w:after="0"/>
              <w:rPr>
                <w:sz w:val="17"/>
                <w:szCs w:val="17"/>
                <w:color w:val="auto"/>
              </w:rPr>
            </w:pPr>
          </w:p>
        </w:tc>
      </w:tr>
      <w:tr>
        <w:trPr>
          <w:trHeight w:val="241"/>
        </w:trPr>
        <w:tc>
          <w:tcPr>
            <w:tcW w:w="450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2023</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100.0%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23"/>
        </w:trPr>
        <w:tc>
          <w:tcPr>
            <w:tcW w:w="4500" w:type="dxa"/>
            <w:vAlign w:val="bottom"/>
          </w:tcPr>
          <w:p>
            <w:pPr>
              <w:spacing w:after="0"/>
              <w:rPr>
                <w:sz w:val="20"/>
                <w:szCs w:val="20"/>
                <w:color w:val="auto"/>
              </w:rPr>
            </w:pPr>
            <w:r>
              <w:rPr>
                <w:rFonts w:ascii="Arial" w:cs="Arial" w:eastAsia="Arial" w:hAnsi="Arial"/>
                <w:sz w:val="18"/>
                <w:szCs w:val="18"/>
                <w:color w:val="auto"/>
              </w:rPr>
              <w:t>Cost of goods sold</w:t>
            </w:r>
          </w:p>
        </w:tc>
        <w:tc>
          <w:tcPr>
            <w:tcW w:w="1120" w:type="dxa"/>
            <w:vAlign w:val="bottom"/>
          </w:tcPr>
          <w:p>
            <w:pPr>
              <w:jc w:val="right"/>
              <w:spacing w:after="0"/>
              <w:rPr>
                <w:sz w:val="20"/>
                <w:szCs w:val="20"/>
                <w:color w:val="auto"/>
              </w:rPr>
            </w:pPr>
            <w:r>
              <w:rPr>
                <w:rFonts w:ascii="Arial" w:cs="Arial" w:eastAsia="Arial" w:hAnsi="Arial"/>
                <w:sz w:val="18"/>
                <w:szCs w:val="18"/>
                <w:color w:val="auto"/>
              </w:rPr>
              <w:t>61.4</w:t>
            </w:r>
          </w:p>
        </w:tc>
        <w:tc>
          <w:tcPr>
            <w:tcW w:w="260" w:type="dxa"/>
            <w:vAlign w:val="bottom"/>
          </w:tcPr>
          <w:p>
            <w:pPr>
              <w:spacing w:after="0"/>
              <w:rPr>
                <w:sz w:val="19"/>
                <w:szCs w:val="19"/>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64.0</w:t>
            </w:r>
          </w:p>
        </w:tc>
        <w:tc>
          <w:tcPr>
            <w:tcW w:w="16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65.7</w:t>
            </w:r>
          </w:p>
        </w:tc>
        <w:tc>
          <w:tcPr>
            <w:tcW w:w="1100" w:type="dxa"/>
            <w:vAlign w:val="bottom"/>
          </w:tcPr>
          <w:p>
            <w:pPr>
              <w:jc w:val="right"/>
              <w:spacing w:after="0"/>
              <w:rPr>
                <w:sz w:val="20"/>
                <w:szCs w:val="20"/>
                <w:color w:val="auto"/>
              </w:rPr>
            </w:pPr>
            <w:r>
              <w:rPr>
                <w:rFonts w:ascii="Arial" w:cs="Arial" w:eastAsia="Arial" w:hAnsi="Arial"/>
                <w:sz w:val="18"/>
                <w:szCs w:val="18"/>
                <w:color w:val="auto"/>
              </w:rPr>
              <w:t>62.7</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67.0</w:t>
            </w:r>
          </w:p>
        </w:tc>
        <w:tc>
          <w:tcPr>
            <w:tcW w:w="140" w:type="dxa"/>
            <w:vAlign w:val="bottom"/>
          </w:tcPr>
          <w:p>
            <w:pPr>
              <w:spacing w:after="0"/>
              <w:rPr>
                <w:sz w:val="19"/>
                <w:szCs w:val="19"/>
                <w:color w:val="auto"/>
              </w:rPr>
            </w:pPr>
          </w:p>
        </w:tc>
      </w:tr>
      <w:tr>
        <w:trPr>
          <w:trHeight w:val="216"/>
        </w:trPr>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26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26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4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50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1120" w:type="dxa"/>
            <w:vAlign w:val="bottom"/>
          </w:tcPr>
          <w:p>
            <w:pPr>
              <w:jc w:val="right"/>
              <w:spacing w:after="0"/>
              <w:rPr>
                <w:sz w:val="20"/>
                <w:szCs w:val="20"/>
                <w:color w:val="auto"/>
              </w:rPr>
            </w:pPr>
            <w:r>
              <w:rPr>
                <w:rFonts w:ascii="Arial" w:cs="Arial" w:eastAsia="Arial" w:hAnsi="Arial"/>
                <w:sz w:val="18"/>
                <w:szCs w:val="18"/>
                <w:color w:val="auto"/>
              </w:rPr>
              <w:t>7.8</w:t>
            </w:r>
          </w:p>
        </w:tc>
        <w:tc>
          <w:tcPr>
            <w:tcW w:w="26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8.0</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8.1</w:t>
            </w:r>
          </w:p>
        </w:tc>
        <w:tc>
          <w:tcPr>
            <w:tcW w:w="1100" w:type="dxa"/>
            <w:vAlign w:val="bottom"/>
          </w:tcPr>
          <w:p>
            <w:pPr>
              <w:jc w:val="right"/>
              <w:spacing w:after="0"/>
              <w:rPr>
                <w:sz w:val="20"/>
                <w:szCs w:val="20"/>
                <w:color w:val="auto"/>
              </w:rPr>
            </w:pPr>
            <w:r>
              <w:rPr>
                <w:rFonts w:ascii="Arial" w:cs="Arial" w:eastAsia="Arial" w:hAnsi="Arial"/>
                <w:sz w:val="18"/>
                <w:szCs w:val="18"/>
                <w:color w:val="auto"/>
              </w:rPr>
              <w:t>7.9</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w:t>
            </w:r>
          </w:p>
        </w:tc>
        <w:tc>
          <w:tcPr>
            <w:tcW w:w="140" w:type="dxa"/>
            <w:vAlign w:val="bottom"/>
          </w:tcPr>
          <w:p>
            <w:pPr>
              <w:spacing w:after="0"/>
              <w:rPr>
                <w:sz w:val="18"/>
                <w:szCs w:val="18"/>
                <w:color w:val="auto"/>
              </w:rPr>
            </w:pPr>
          </w:p>
        </w:tc>
      </w:tr>
      <w:tr>
        <w:trPr>
          <w:trHeight w:val="216"/>
        </w:trPr>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8"/>
                <w:szCs w:val="18"/>
                <w:color w:val="auto"/>
              </w:rPr>
            </w:pPr>
          </w:p>
        </w:tc>
      </w:tr>
      <w:tr>
        <w:trPr>
          <w:trHeight w:val="27"/>
        </w:trPr>
        <w:tc>
          <w:tcPr>
            <w:tcW w:w="45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4500" w:type="dxa"/>
            <w:vAlign w:val="bottom"/>
          </w:tcPr>
          <w:p>
            <w:pPr>
              <w:ind w:left="180"/>
              <w:spacing w:after="0"/>
              <w:rPr>
                <w:sz w:val="20"/>
                <w:szCs w:val="20"/>
                <w:color w:val="auto"/>
              </w:rPr>
            </w:pPr>
            <w:r>
              <w:rPr>
                <w:rFonts w:ascii="Arial" w:cs="Arial" w:eastAsia="Arial" w:hAnsi="Arial"/>
                <w:sz w:val="18"/>
                <w:szCs w:val="18"/>
                <w:color w:val="auto"/>
              </w:rPr>
              <w:t>Operating income</w:t>
            </w:r>
          </w:p>
        </w:tc>
        <w:tc>
          <w:tcPr>
            <w:tcW w:w="1120" w:type="dxa"/>
            <w:vAlign w:val="bottom"/>
          </w:tcPr>
          <w:p>
            <w:pPr>
              <w:jc w:val="right"/>
              <w:spacing w:after="0"/>
              <w:rPr>
                <w:sz w:val="20"/>
                <w:szCs w:val="20"/>
                <w:color w:val="auto"/>
              </w:rPr>
            </w:pPr>
            <w:r>
              <w:rPr>
                <w:rFonts w:ascii="Arial" w:cs="Arial" w:eastAsia="Arial" w:hAnsi="Arial"/>
                <w:sz w:val="18"/>
                <w:szCs w:val="18"/>
                <w:color w:val="auto"/>
              </w:rPr>
              <w:t>29.2</w:t>
            </w:r>
          </w:p>
        </w:tc>
        <w:tc>
          <w:tcPr>
            <w:tcW w:w="26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26.5</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24.2</w:t>
            </w:r>
          </w:p>
        </w:tc>
        <w:tc>
          <w:tcPr>
            <w:tcW w:w="1100" w:type="dxa"/>
            <w:vAlign w:val="bottom"/>
          </w:tcPr>
          <w:p>
            <w:pPr>
              <w:jc w:val="right"/>
              <w:spacing w:after="0"/>
              <w:rPr>
                <w:sz w:val="20"/>
                <w:szCs w:val="20"/>
                <w:color w:val="auto"/>
              </w:rPr>
            </w:pPr>
            <w:r>
              <w:rPr>
                <w:rFonts w:ascii="Arial" w:cs="Arial" w:eastAsia="Arial" w:hAnsi="Arial"/>
                <w:sz w:val="18"/>
                <w:szCs w:val="18"/>
                <w:color w:val="auto"/>
              </w:rPr>
              <w:t>27.9</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22.2</w:t>
            </w:r>
          </w:p>
        </w:tc>
        <w:tc>
          <w:tcPr>
            <w:tcW w:w="14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3"/>
        </w:trPr>
        <w:tc>
          <w:tcPr>
            <w:tcW w:w="4500" w:type="dxa"/>
            <w:vAlign w:val="bottom"/>
          </w:tcPr>
          <w:p>
            <w:pPr>
              <w:spacing w:after="0"/>
              <w:rPr>
                <w:sz w:val="20"/>
                <w:szCs w:val="20"/>
                <w:color w:val="auto"/>
              </w:rPr>
            </w:pPr>
            <w:r>
              <w:rPr>
                <w:rFonts w:ascii="Arial" w:cs="Arial" w:eastAsia="Arial" w:hAnsi="Arial"/>
                <w:sz w:val="18"/>
                <w:szCs w:val="18"/>
                <w:color w:val="auto"/>
              </w:rPr>
              <w:t>Other operating expense, net</w:t>
            </w:r>
          </w:p>
        </w:tc>
        <w:tc>
          <w:tcPr>
            <w:tcW w:w="1120" w:type="dxa"/>
            <w:vAlign w:val="bottom"/>
          </w:tcPr>
          <w:p>
            <w:pPr>
              <w:jc w:val="right"/>
              <w:spacing w:after="0"/>
              <w:rPr>
                <w:sz w:val="20"/>
                <w:szCs w:val="20"/>
                <w:color w:val="auto"/>
              </w:rPr>
            </w:pPr>
            <w:r>
              <w:rPr>
                <w:rFonts w:ascii="Arial" w:cs="Arial" w:eastAsia="Arial" w:hAnsi="Arial"/>
                <w:sz w:val="18"/>
                <w:szCs w:val="18"/>
                <w:color w:val="auto"/>
              </w:rPr>
              <w:t>5.9</w:t>
            </w:r>
          </w:p>
        </w:tc>
        <w:tc>
          <w:tcPr>
            <w:tcW w:w="2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(6.8)</w:t>
            </w:r>
          </w:p>
        </w:tc>
        <w:tc>
          <w:tcPr>
            <w:tcW w:w="16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3.9</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(0.2)</w:t>
            </w:r>
          </w:p>
        </w:tc>
        <w:tc>
          <w:tcPr>
            <w:tcW w:w="1120" w:type="dxa"/>
            <w:vAlign w:val="bottom"/>
          </w:tcPr>
          <w:p>
            <w:pPr>
              <w:jc w:val="right"/>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9"/>
                <w:szCs w:val="19"/>
                <w:color w:val="auto"/>
              </w:rPr>
            </w:pPr>
          </w:p>
        </w:tc>
      </w:tr>
      <w:tr>
        <w:trPr>
          <w:trHeight w:val="216"/>
        </w:trPr>
        <w:tc>
          <w:tcPr>
            <w:tcW w:w="450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Income before income tax provision</w:t>
            </w:r>
          </w:p>
        </w:tc>
        <w:tc>
          <w:tcPr>
            <w:tcW w:w="1120" w:type="dxa"/>
            <w:vAlign w:val="bottom"/>
          </w:tcPr>
          <w:p>
            <w:pPr>
              <w:jc w:val="right"/>
              <w:spacing w:after="0"/>
              <w:rPr>
                <w:sz w:val="20"/>
                <w:szCs w:val="20"/>
                <w:color w:val="auto"/>
              </w:rPr>
            </w:pPr>
            <w:r>
              <w:rPr>
                <w:rFonts w:ascii="Arial" w:cs="Arial" w:eastAsia="Arial" w:hAnsi="Arial"/>
                <w:sz w:val="18"/>
                <w:szCs w:val="18"/>
                <w:color w:val="auto"/>
              </w:rPr>
              <w:t>35.2</w:t>
            </w:r>
          </w:p>
        </w:tc>
        <w:tc>
          <w:tcPr>
            <w:tcW w:w="26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19.7</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28.1</w:t>
            </w:r>
          </w:p>
        </w:tc>
        <w:tc>
          <w:tcPr>
            <w:tcW w:w="1100" w:type="dxa"/>
            <w:vAlign w:val="bottom"/>
          </w:tcPr>
          <w:p>
            <w:pPr>
              <w:jc w:val="right"/>
              <w:spacing w:after="0"/>
              <w:rPr>
                <w:sz w:val="20"/>
                <w:szCs w:val="20"/>
                <w:color w:val="auto"/>
              </w:rPr>
            </w:pPr>
            <w:r>
              <w:rPr>
                <w:rFonts w:ascii="Arial" w:cs="Arial" w:eastAsia="Arial" w:hAnsi="Arial"/>
                <w:sz w:val="18"/>
                <w:szCs w:val="18"/>
                <w:color w:val="auto"/>
              </w:rPr>
              <w:t>27.7</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25.4</w:t>
            </w:r>
          </w:p>
        </w:tc>
        <w:tc>
          <w:tcPr>
            <w:tcW w:w="14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Income tax provision</w:t>
            </w:r>
          </w:p>
        </w:tc>
        <w:tc>
          <w:tcPr>
            <w:tcW w:w="1120" w:type="dxa"/>
            <w:vAlign w:val="bottom"/>
          </w:tcPr>
          <w:p>
            <w:pPr>
              <w:jc w:val="right"/>
              <w:spacing w:after="0"/>
              <w:rPr>
                <w:sz w:val="20"/>
                <w:szCs w:val="20"/>
                <w:color w:val="auto"/>
              </w:rPr>
            </w:pPr>
            <w:r>
              <w:rPr>
                <w:rFonts w:ascii="Arial" w:cs="Arial" w:eastAsia="Arial" w:hAnsi="Arial"/>
                <w:sz w:val="18"/>
                <w:szCs w:val="18"/>
                <w:color w:val="auto"/>
              </w:rPr>
              <w:t>9.3</w:t>
            </w:r>
          </w:p>
        </w:tc>
        <w:tc>
          <w:tcPr>
            <w:tcW w:w="26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7.0</w:t>
            </w:r>
          </w:p>
        </w:tc>
        <w:tc>
          <w:tcPr>
            <w:tcW w:w="1100" w:type="dxa"/>
            <w:vAlign w:val="bottom"/>
          </w:tcPr>
          <w:p>
            <w:pPr>
              <w:jc w:val="right"/>
              <w:spacing w:after="0"/>
              <w:rPr>
                <w:sz w:val="20"/>
                <w:szCs w:val="20"/>
                <w:color w:val="auto"/>
              </w:rPr>
            </w:pPr>
            <w:r>
              <w:rPr>
                <w:rFonts w:ascii="Arial" w:cs="Arial" w:eastAsia="Arial" w:hAnsi="Arial"/>
                <w:sz w:val="18"/>
                <w:szCs w:val="18"/>
                <w:color w:val="auto"/>
              </w:rPr>
              <w:t>7.7</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w:t>
            </w:r>
          </w:p>
        </w:tc>
        <w:tc>
          <w:tcPr>
            <w:tcW w:w="140" w:type="dxa"/>
            <w:vAlign w:val="bottom"/>
          </w:tcPr>
          <w:p>
            <w:pPr>
              <w:spacing w:after="0"/>
              <w:rPr>
                <w:sz w:val="18"/>
                <w:szCs w:val="18"/>
                <w:color w:val="auto"/>
              </w:rPr>
            </w:pPr>
          </w:p>
        </w:tc>
      </w:tr>
      <w:tr>
        <w:trPr>
          <w:trHeight w:val="223"/>
        </w:trPr>
        <w:tc>
          <w:tcPr>
            <w:tcW w:w="45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Net income</w:t>
            </w:r>
          </w:p>
        </w:tc>
        <w:tc>
          <w:tcPr>
            <w:tcW w:w="1120" w:type="dxa"/>
            <w:vAlign w:val="bottom"/>
          </w:tcPr>
          <w:p>
            <w:pPr>
              <w:jc w:val="right"/>
              <w:spacing w:after="0"/>
              <w:rPr>
                <w:sz w:val="20"/>
                <w:szCs w:val="20"/>
                <w:color w:val="auto"/>
              </w:rPr>
            </w:pPr>
            <w:r>
              <w:rPr>
                <w:rFonts w:ascii="Arial" w:cs="Arial" w:eastAsia="Arial" w:hAnsi="Arial"/>
                <w:sz w:val="18"/>
                <w:szCs w:val="18"/>
                <w:color w:val="auto"/>
              </w:rPr>
              <w:t>25.8</w:t>
            </w:r>
          </w:p>
        </w:tc>
        <w:tc>
          <w:tcPr>
            <w:tcW w:w="26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13.7</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21.0</w:t>
            </w:r>
          </w:p>
        </w:tc>
        <w:tc>
          <w:tcPr>
            <w:tcW w:w="1100" w:type="dxa"/>
            <w:vAlign w:val="bottom"/>
          </w:tcPr>
          <w:p>
            <w:pPr>
              <w:jc w:val="right"/>
              <w:spacing w:after="0"/>
              <w:rPr>
                <w:sz w:val="20"/>
                <w:szCs w:val="20"/>
                <w:color w:val="auto"/>
              </w:rPr>
            </w:pPr>
            <w:r>
              <w:rPr>
                <w:rFonts w:ascii="Arial" w:cs="Arial" w:eastAsia="Arial" w:hAnsi="Arial"/>
                <w:sz w:val="18"/>
                <w:szCs w:val="18"/>
                <w:color w:val="auto"/>
              </w:rPr>
              <w:t>20.0</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19.0</w:t>
            </w:r>
          </w:p>
        </w:tc>
        <w:tc>
          <w:tcPr>
            <w:tcW w:w="14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3"/>
        </w:trPr>
        <w:tc>
          <w:tcPr>
            <w:tcW w:w="450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120" w:type="dxa"/>
            <w:vAlign w:val="bottom"/>
          </w:tcPr>
          <w:p>
            <w:pPr>
              <w:jc w:val="right"/>
              <w:spacing w:after="0"/>
              <w:rPr>
                <w:sz w:val="20"/>
                <w:szCs w:val="20"/>
                <w:color w:val="auto"/>
              </w:rPr>
            </w:pPr>
            <w:r>
              <w:rPr>
                <w:rFonts w:ascii="Arial" w:cs="Arial" w:eastAsia="Arial" w:hAnsi="Arial"/>
                <w:sz w:val="18"/>
                <w:szCs w:val="18"/>
                <w:color w:val="auto"/>
              </w:rPr>
              <w:t>8.4</w:t>
            </w:r>
          </w:p>
        </w:tc>
        <w:tc>
          <w:tcPr>
            <w:tcW w:w="260" w:type="dxa"/>
            <w:vAlign w:val="bottom"/>
          </w:tcPr>
          <w:p>
            <w:pPr>
              <w:spacing w:after="0"/>
              <w:rPr>
                <w:sz w:val="19"/>
                <w:szCs w:val="19"/>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7.1</w:t>
            </w:r>
          </w:p>
        </w:tc>
        <w:tc>
          <w:tcPr>
            <w:tcW w:w="16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7.6</w:t>
            </w:r>
          </w:p>
        </w:tc>
        <w:tc>
          <w:tcPr>
            <w:tcW w:w="1100" w:type="dxa"/>
            <w:vAlign w:val="bottom"/>
          </w:tcPr>
          <w:p>
            <w:pPr>
              <w:jc w:val="right"/>
              <w:spacing w:after="0"/>
              <w:rPr>
                <w:sz w:val="20"/>
                <w:szCs w:val="20"/>
                <w:color w:val="auto"/>
              </w:rPr>
            </w:pPr>
            <w:r>
              <w:rPr>
                <w:rFonts w:ascii="Arial" w:cs="Arial" w:eastAsia="Arial" w:hAnsi="Arial"/>
                <w:sz w:val="18"/>
                <w:szCs w:val="18"/>
                <w:color w:val="auto"/>
              </w:rPr>
              <w:t>7.8</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w:t>
            </w:r>
          </w:p>
        </w:tc>
        <w:tc>
          <w:tcPr>
            <w:tcW w:w="140" w:type="dxa"/>
            <w:vAlign w:val="bottom"/>
          </w:tcPr>
          <w:p>
            <w:pPr>
              <w:spacing w:after="0"/>
              <w:rPr>
                <w:sz w:val="19"/>
                <w:szCs w:val="19"/>
                <w:color w:val="auto"/>
              </w:rPr>
            </w:pPr>
          </w:p>
        </w:tc>
      </w:tr>
      <w:tr>
        <w:trPr>
          <w:trHeight w:val="216"/>
        </w:trPr>
        <w:tc>
          <w:tcPr>
            <w:tcW w:w="450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Net income attributable to Photronics, Inc. shareholders</w:t>
            </w:r>
          </w:p>
        </w:tc>
        <w:tc>
          <w:tcPr>
            <w:tcW w:w="1380" w:type="dxa"/>
            <w:vAlign w:val="bottom"/>
            <w:gridSpan w:val="2"/>
          </w:tcPr>
          <w:p>
            <w:pPr>
              <w:jc w:val="right"/>
              <w:ind w:right="30"/>
              <w:spacing w:after="0"/>
              <w:rPr>
                <w:sz w:val="20"/>
                <w:szCs w:val="20"/>
                <w:color w:val="auto"/>
              </w:rPr>
            </w:pPr>
            <w:r>
              <w:rPr>
                <w:rFonts w:ascii="Arial" w:cs="Arial" w:eastAsia="Arial" w:hAnsi="Arial"/>
                <w:sz w:val="18"/>
                <w:szCs w:val="18"/>
                <w:color w:val="auto"/>
              </w:rPr>
              <w:t>17.4%</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13.4%</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12.2%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12.8%</w:t>
            </w:r>
          </w:p>
        </w:tc>
      </w:tr>
      <w:tr>
        <w:trPr>
          <w:trHeight w:val="27"/>
        </w:trPr>
        <w:tc>
          <w:tcPr>
            <w:tcW w:w="45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Note: All tabular comparisons included in the following discussion, unless otherwise indicated, are for the three months ended April 30, 2023 (Q2</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FY23), January 29, 2023 (Q1 FY23), and May 1, 2022 (Q2 FY22), and for the six months ended April 30, 2023 (YTD FY23) and May 1, 2022 (YTD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FY22), in millions of dollars. The columns may not foot due to rounding.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ind w:right="80" w:firstLine="288"/>
        <w:spacing w:after="0" w:line="263" w:lineRule="auto"/>
        <w:rPr>
          <w:sz w:val="20"/>
          <w:szCs w:val="20"/>
          <w:color w:val="auto"/>
        </w:rPr>
      </w:pPr>
      <w:r>
        <w:rPr>
          <w:rFonts w:ascii="Arial" w:cs="Arial" w:eastAsia="Arial" w:hAnsi="Arial"/>
          <w:sz w:val="18"/>
          <w:szCs w:val="18"/>
          <w:color w:val="auto"/>
        </w:rPr>
        <w:t>Our quarterly revenues can be affected by the seasonal purchasing practices of our customers. As a result, demand for our products is typically reduced during the first quarter of our fiscal year by the North American, European, and Asian holiday periods, as some of our customers reduce their development and, consequently, their buying activities during those periods.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tables present changes in disaggregated revenue in Q2 FY23 and YTD FY23 from revenue in prior reporting periods.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Quarterly Changes in Revenue by Product Type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7"/>
              </w:rPr>
              <w:t>Q2 FY23</w:t>
            </w: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compared</w:t>
            </w: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gridSpan w:val="4"/>
          </w:tcPr>
          <w:p>
            <w:pPr>
              <w:jc w:val="right"/>
              <w:ind w:right="560"/>
              <w:spacing w:after="0"/>
              <w:rPr>
                <w:sz w:val="20"/>
                <w:szCs w:val="20"/>
                <w:color w:val="auto"/>
              </w:rPr>
            </w:pPr>
            <w:r>
              <w:rPr>
                <w:rFonts w:ascii="Arial" w:cs="Arial" w:eastAsia="Arial" w:hAnsi="Arial"/>
                <w:sz w:val="18"/>
                <w:szCs w:val="18"/>
                <w:b w:val="1"/>
                <w:bCs w:val="1"/>
                <w:color w:val="auto"/>
                <w:w w:val="99"/>
              </w:rPr>
              <w:t>Q2 FY23 compared</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with Q2</w:t>
            </w: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4"/>
          </w:tcPr>
          <w:p>
            <w:pPr>
              <w:jc w:val="right"/>
              <w:ind w:right="380"/>
              <w:spacing w:after="0"/>
              <w:rPr>
                <w:sz w:val="20"/>
                <w:szCs w:val="20"/>
                <w:color w:val="auto"/>
              </w:rPr>
            </w:pPr>
            <w:r>
              <w:rPr>
                <w:rFonts w:ascii="Arial" w:cs="Arial" w:eastAsia="Arial" w:hAnsi="Arial"/>
                <w:sz w:val="18"/>
                <w:szCs w:val="18"/>
                <w:b w:val="1"/>
                <w:bCs w:val="1"/>
                <w:color w:val="auto"/>
                <w:w w:val="97"/>
              </w:rPr>
              <w:t>YTD FY23 compared</w:t>
            </w:r>
          </w:p>
        </w:tc>
      </w:tr>
      <w:tr>
        <w:trPr>
          <w:trHeight w:val="241"/>
        </w:trPr>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gridSpan w:val="4"/>
          </w:tcPr>
          <w:p>
            <w:pPr>
              <w:jc w:val="right"/>
              <w:ind w:right="760"/>
              <w:spacing w:after="0"/>
              <w:rPr>
                <w:sz w:val="20"/>
                <w:szCs w:val="20"/>
                <w:color w:val="auto"/>
              </w:rPr>
            </w:pPr>
            <w:r>
              <w:rPr>
                <w:rFonts w:ascii="Arial" w:cs="Arial" w:eastAsia="Arial" w:hAnsi="Arial"/>
                <w:sz w:val="18"/>
                <w:szCs w:val="18"/>
                <w:b w:val="1"/>
                <w:bCs w:val="1"/>
                <w:color w:val="auto"/>
              </w:rPr>
              <w:t>with Q1 FY23</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7"/>
              </w:rPr>
              <w:t>FY22</w:t>
            </w: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gridSpan w:val="4"/>
          </w:tcPr>
          <w:p>
            <w:pPr>
              <w:jc w:val="right"/>
              <w:ind w:right="600"/>
              <w:spacing w:after="0"/>
              <w:rPr>
                <w:sz w:val="20"/>
                <w:szCs w:val="20"/>
                <w:color w:val="auto"/>
              </w:rPr>
            </w:pPr>
            <w:r>
              <w:rPr>
                <w:rFonts w:ascii="Arial" w:cs="Arial" w:eastAsia="Arial" w:hAnsi="Arial"/>
                <w:sz w:val="18"/>
                <w:szCs w:val="18"/>
                <w:b w:val="1"/>
                <w:bCs w:val="1"/>
                <w:color w:val="auto"/>
              </w:rPr>
              <w:t>with YTD FY22</w:t>
            </w:r>
          </w:p>
        </w:tc>
      </w:tr>
      <w:tr>
        <w:trPr>
          <w:trHeight w:val="198"/>
        </w:trPr>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8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rPr>
              <w:t>Revenue in</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gridSpan w:val="2"/>
          </w:tcPr>
          <w:p>
            <w:pPr>
              <w:jc w:val="right"/>
              <w:ind w:right="340"/>
              <w:spacing w:after="0" w:line="198" w:lineRule="exact"/>
              <w:rPr>
                <w:sz w:val="20"/>
                <w:szCs w:val="20"/>
                <w:color w:val="auto"/>
              </w:rPr>
            </w:pPr>
            <w:r>
              <w:rPr>
                <w:rFonts w:ascii="Arial" w:cs="Arial" w:eastAsia="Arial" w:hAnsi="Arial"/>
                <w:sz w:val="18"/>
                <w:szCs w:val="18"/>
                <w:b w:val="1"/>
                <w:bCs w:val="1"/>
                <w:color w:val="auto"/>
                <w:w w:val="90"/>
              </w:rPr>
              <w:t>Increase</w:t>
            </w:r>
          </w:p>
        </w:tc>
        <w:tc>
          <w:tcPr>
            <w:tcW w:w="880" w:type="dxa"/>
            <w:vAlign w:val="bottom"/>
            <w:tcBorders>
              <w:top w:val="single" w:sz="8" w:color="auto"/>
            </w:tcBorders>
          </w:tcPr>
          <w:p>
            <w:pPr>
              <w:ind w:left="140"/>
              <w:spacing w:after="0" w:line="198" w:lineRule="exact"/>
              <w:rPr>
                <w:sz w:val="20"/>
                <w:szCs w:val="20"/>
                <w:color w:val="auto"/>
              </w:rPr>
            </w:pPr>
            <w:r>
              <w:rPr>
                <w:rFonts w:ascii="Arial" w:cs="Arial" w:eastAsia="Arial" w:hAnsi="Arial"/>
                <w:sz w:val="18"/>
                <w:szCs w:val="18"/>
                <w:b w:val="1"/>
                <w:bCs w:val="1"/>
                <w:color w:val="auto"/>
              </w:rPr>
              <w:t>Percent</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360"/>
              <w:spacing w:after="0" w:line="198" w:lineRule="exact"/>
              <w:rPr>
                <w:sz w:val="20"/>
                <w:szCs w:val="20"/>
                <w:color w:val="auto"/>
              </w:rPr>
            </w:pPr>
            <w:r>
              <w:rPr>
                <w:rFonts w:ascii="Arial" w:cs="Arial" w:eastAsia="Arial" w:hAnsi="Arial"/>
                <w:sz w:val="18"/>
                <w:szCs w:val="18"/>
                <w:b w:val="1"/>
                <w:bCs w:val="1"/>
                <w:color w:val="auto"/>
                <w:w w:val="87"/>
              </w:rPr>
              <w:t>Increase</w:t>
            </w:r>
          </w:p>
        </w:tc>
        <w:tc>
          <w:tcPr>
            <w:tcW w:w="88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7"/>
              </w:rPr>
              <w:t>Percent</w:t>
            </w:r>
          </w:p>
        </w:tc>
        <w:tc>
          <w:tcPr>
            <w:tcW w:w="300" w:type="dxa"/>
            <w:vAlign w:val="bottom"/>
          </w:tcPr>
          <w:p>
            <w:pPr>
              <w:spacing w:after="0"/>
              <w:rPr>
                <w:sz w:val="17"/>
                <w:szCs w:val="17"/>
                <w:color w:val="auto"/>
              </w:rPr>
            </w:pPr>
          </w:p>
        </w:tc>
        <w:tc>
          <w:tcPr>
            <w:tcW w:w="1000" w:type="dxa"/>
            <w:vAlign w:val="bottom"/>
            <w:gridSpan w:val="3"/>
          </w:tcPr>
          <w:p>
            <w:pPr>
              <w:ind w:left="20"/>
              <w:spacing w:after="0" w:line="198" w:lineRule="exact"/>
              <w:rPr>
                <w:sz w:val="20"/>
                <w:szCs w:val="20"/>
                <w:color w:val="auto"/>
              </w:rPr>
            </w:pPr>
            <w:r>
              <w:rPr>
                <w:rFonts w:ascii="Arial" w:cs="Arial" w:eastAsia="Arial" w:hAnsi="Arial"/>
                <w:sz w:val="18"/>
                <w:szCs w:val="18"/>
                <w:b w:val="1"/>
                <w:bCs w:val="1"/>
                <w:color w:val="auto"/>
                <w:w w:val="99"/>
              </w:rPr>
              <w:t>Revenue in</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gridSpan w:val="2"/>
          </w:tcPr>
          <w:p>
            <w:pPr>
              <w:jc w:val="right"/>
              <w:ind w:right="340"/>
              <w:spacing w:after="0" w:line="198" w:lineRule="exact"/>
              <w:rPr>
                <w:sz w:val="20"/>
                <w:szCs w:val="20"/>
                <w:color w:val="auto"/>
              </w:rPr>
            </w:pPr>
            <w:r>
              <w:rPr>
                <w:rFonts w:ascii="Arial" w:cs="Arial" w:eastAsia="Arial" w:hAnsi="Arial"/>
                <w:sz w:val="18"/>
                <w:szCs w:val="18"/>
                <w:b w:val="1"/>
                <w:bCs w:val="1"/>
                <w:color w:val="auto"/>
                <w:w w:val="90"/>
              </w:rPr>
              <w:t>Increase</w:t>
            </w:r>
          </w:p>
        </w:tc>
        <w:tc>
          <w:tcPr>
            <w:tcW w:w="860" w:type="dxa"/>
            <w:vAlign w:val="bottom"/>
            <w:tcBorders>
              <w:top w:val="single" w:sz="8" w:color="auto"/>
            </w:tcBorders>
          </w:tcPr>
          <w:p>
            <w:pPr>
              <w:ind w:left="140"/>
              <w:spacing w:after="0" w:line="198" w:lineRule="exact"/>
              <w:rPr>
                <w:sz w:val="20"/>
                <w:szCs w:val="20"/>
                <w:color w:val="auto"/>
              </w:rPr>
            </w:pPr>
            <w:r>
              <w:rPr>
                <w:rFonts w:ascii="Arial" w:cs="Arial" w:eastAsia="Arial" w:hAnsi="Arial"/>
                <w:sz w:val="18"/>
                <w:szCs w:val="18"/>
                <w:b w:val="1"/>
                <w:bCs w:val="1"/>
                <w:color w:val="auto"/>
              </w:rPr>
              <w:t>Percent</w:t>
            </w:r>
          </w:p>
        </w:tc>
        <w:tc>
          <w:tcPr>
            <w:tcW w:w="220" w:type="dxa"/>
            <w:vAlign w:val="bottom"/>
          </w:tcPr>
          <w:p>
            <w:pPr>
              <w:spacing w:after="0"/>
              <w:rPr>
                <w:sz w:val="17"/>
                <w:szCs w:val="17"/>
                <w:color w:val="auto"/>
              </w:rPr>
            </w:pPr>
          </w:p>
        </w:tc>
      </w:tr>
      <w:tr>
        <w:trPr>
          <w:trHeight w:val="241"/>
        </w:trPr>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Q2 FY23</w:t>
            </w:r>
          </w:p>
        </w:tc>
        <w:tc>
          <w:tcPr>
            <w:tcW w:w="11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1"/>
              </w:rPr>
              <w:t>(Decrease)</w:t>
            </w:r>
          </w:p>
        </w:tc>
        <w:tc>
          <w:tcPr>
            <w:tcW w:w="1180" w:type="dxa"/>
            <w:vAlign w:val="bottom"/>
            <w:gridSpan w:val="2"/>
          </w:tcPr>
          <w:p>
            <w:pPr>
              <w:ind w:left="140"/>
              <w:spacing w:after="0"/>
              <w:rPr>
                <w:sz w:val="20"/>
                <w:szCs w:val="20"/>
                <w:color w:val="auto"/>
              </w:rPr>
            </w:pPr>
            <w:r>
              <w:rPr>
                <w:rFonts w:ascii="Arial" w:cs="Arial" w:eastAsia="Arial" w:hAnsi="Arial"/>
                <w:sz w:val="18"/>
                <w:szCs w:val="18"/>
                <w:b w:val="1"/>
                <w:bCs w:val="1"/>
                <w:color w:val="auto"/>
              </w:rPr>
              <w:t>Change</w:t>
            </w:r>
          </w:p>
        </w:tc>
        <w:tc>
          <w:tcPr>
            <w:tcW w:w="114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1"/>
              </w:rPr>
              <w:t>(Decrease)</w:t>
            </w: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Change</w:t>
            </w:r>
          </w:p>
        </w:tc>
        <w:tc>
          <w:tcPr>
            <w:tcW w:w="1000" w:type="dxa"/>
            <w:vAlign w:val="bottom"/>
            <w:gridSpan w:val="3"/>
          </w:tcPr>
          <w:p>
            <w:pPr>
              <w:ind w:left="20"/>
              <w:spacing w:after="0"/>
              <w:rPr>
                <w:sz w:val="20"/>
                <w:szCs w:val="20"/>
                <w:color w:val="auto"/>
              </w:rPr>
            </w:pPr>
            <w:r>
              <w:rPr>
                <w:rFonts w:ascii="Arial" w:cs="Arial" w:eastAsia="Arial" w:hAnsi="Arial"/>
                <w:sz w:val="18"/>
                <w:szCs w:val="18"/>
                <w:b w:val="1"/>
                <w:bCs w:val="1"/>
                <w:color w:val="auto"/>
              </w:rPr>
              <w:t>YTD FY23</w:t>
            </w:r>
          </w:p>
        </w:tc>
        <w:tc>
          <w:tcPr>
            <w:tcW w:w="100" w:type="dxa"/>
            <w:vAlign w:val="bottom"/>
          </w:tcPr>
          <w:p>
            <w:pPr>
              <w:spacing w:after="0"/>
              <w:rPr>
                <w:sz w:val="20"/>
                <w:szCs w:val="20"/>
                <w:color w:val="auto"/>
              </w:rPr>
            </w:pPr>
          </w:p>
        </w:tc>
        <w:tc>
          <w:tcPr>
            <w:tcW w:w="11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1"/>
              </w:rPr>
              <w:t>(Decrease)</w:t>
            </w:r>
          </w:p>
        </w:tc>
        <w:tc>
          <w:tcPr>
            <w:tcW w:w="1080" w:type="dxa"/>
            <w:vAlign w:val="bottom"/>
            <w:gridSpan w:val="2"/>
          </w:tcPr>
          <w:p>
            <w:pPr>
              <w:ind w:left="140"/>
              <w:spacing w:after="0"/>
              <w:rPr>
                <w:sz w:val="20"/>
                <w:szCs w:val="20"/>
                <w:color w:val="auto"/>
              </w:rPr>
            </w:pPr>
            <w:r>
              <w:rPr>
                <w:rFonts w:ascii="Arial" w:cs="Arial" w:eastAsia="Arial" w:hAnsi="Arial"/>
                <w:sz w:val="18"/>
                <w:szCs w:val="18"/>
                <w:b w:val="1"/>
                <w:bCs w:val="1"/>
                <w:color w:val="auto"/>
              </w:rPr>
              <w:t>Change</w:t>
            </w:r>
          </w:p>
        </w:tc>
      </w:tr>
      <w:tr>
        <w:trPr>
          <w:trHeight w:val="176"/>
        </w:trPr>
        <w:tc>
          <w:tcPr>
            <w:tcW w:w="2240" w:type="dxa"/>
            <w:vAlign w:val="bottom"/>
            <w:gridSpan w:val="3"/>
          </w:tcPr>
          <w:p>
            <w:pPr>
              <w:spacing w:after="0" w:line="176" w:lineRule="exact"/>
              <w:rPr>
                <w:sz w:val="20"/>
                <w:szCs w:val="20"/>
                <w:color w:val="auto"/>
              </w:rPr>
            </w:pPr>
            <w:r>
              <w:rPr>
                <w:rFonts w:ascii="Arial" w:cs="Arial" w:eastAsia="Arial" w:hAnsi="Arial"/>
                <w:sz w:val="18"/>
                <w:szCs w:val="18"/>
                <w:color w:val="auto"/>
              </w:rPr>
              <w:t>IC</w:t>
            </w:r>
          </w:p>
        </w:tc>
        <w:tc>
          <w:tcPr>
            <w:tcW w:w="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20"/>
        </w:trPr>
        <w:tc>
          <w:tcPr>
            <w:tcW w:w="1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6"/>
        </w:trPr>
        <w:tc>
          <w:tcPr>
            <w:tcW w:w="22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High-end*</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2240" w:type="dxa"/>
            <w:vAlign w:val="bottom"/>
            <w:gridSpan w:val="3"/>
          </w:tcPr>
          <w:p>
            <w:pPr>
              <w:ind w:left="180"/>
              <w:spacing w:after="0"/>
              <w:rPr>
                <w:sz w:val="20"/>
                <w:szCs w:val="20"/>
                <w:color w:val="auto"/>
              </w:rPr>
            </w:pPr>
            <w:r>
              <w:rPr>
                <w:rFonts w:ascii="Arial" w:cs="Arial" w:eastAsia="Arial" w:hAnsi="Arial"/>
                <w:sz w:val="18"/>
                <w:szCs w:val="18"/>
                <w:color w:val="auto"/>
              </w:rPr>
              <w:t>Mainstream</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123.1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14.5</w:t>
            </w:r>
          </w:p>
        </w:tc>
        <w:tc>
          <w:tcPr>
            <w:tcW w:w="2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28.7</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30.4%</w:t>
            </w:r>
          </w:p>
        </w:tc>
        <w:tc>
          <w:tcPr>
            <w:tcW w:w="3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231.7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54.4</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30.7%</w:t>
            </w: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spacing w:after="0"/>
              <w:rPr>
                <w:sz w:val="19"/>
                <w:szCs w:val="19"/>
                <w:color w:val="auto"/>
              </w:rPr>
            </w:pPr>
          </w:p>
        </w:tc>
      </w:tr>
      <w:tr>
        <w:trPr>
          <w:trHeight w:val="216"/>
        </w:trPr>
        <w:tc>
          <w:tcPr>
            <w:tcW w:w="2240" w:type="dxa"/>
            <w:vAlign w:val="bottom"/>
            <w:gridSpan w:val="3"/>
          </w:tcPr>
          <w:p>
            <w:pPr>
              <w:ind w:left="180"/>
              <w:spacing w:after="0"/>
              <w:rPr>
                <w:sz w:val="20"/>
                <w:szCs w:val="20"/>
                <w:color w:val="auto"/>
              </w:rPr>
            </w:pPr>
            <w:r>
              <w:rPr>
                <w:rFonts w:ascii="Arial" w:cs="Arial" w:eastAsia="Arial" w:hAnsi="Arial"/>
                <w:sz w:val="18"/>
                <w:szCs w:val="18"/>
                <w:color w:val="auto"/>
              </w:rPr>
              <w:t>Total IC</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167.0</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21.3</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14.6%</w:t>
            </w:r>
          </w:p>
        </w:tc>
        <w:tc>
          <w:tcPr>
            <w:tcW w:w="3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323.6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48.1</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17.4%</w:t>
            </w: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r>
      <w:tr>
        <w:trPr>
          <w:trHeight w:val="176"/>
        </w:trPr>
        <w:tc>
          <w:tcPr>
            <w:tcW w:w="2240" w:type="dxa"/>
            <w:vAlign w:val="bottom"/>
            <w:gridSpan w:val="3"/>
          </w:tcPr>
          <w:p>
            <w:pPr>
              <w:spacing w:after="0" w:line="176" w:lineRule="exact"/>
              <w:rPr>
                <w:sz w:val="20"/>
                <w:szCs w:val="20"/>
                <w:color w:val="auto"/>
              </w:rPr>
            </w:pPr>
            <w:r>
              <w:rPr>
                <w:rFonts w:ascii="Arial" w:cs="Arial" w:eastAsia="Arial" w:hAnsi="Arial"/>
                <w:sz w:val="18"/>
                <w:szCs w:val="18"/>
                <w:color w:val="auto"/>
              </w:rPr>
              <w:t>FPD</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0"/>
        </w:trPr>
        <w:tc>
          <w:tcPr>
            <w:tcW w:w="1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6"/>
        </w:trPr>
        <w:tc>
          <w:tcPr>
            <w:tcW w:w="22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High-end*</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r>
      <w:tr>
        <w:trPr>
          <w:trHeight w:val="216"/>
        </w:trPr>
        <w:tc>
          <w:tcPr>
            <w:tcW w:w="2240" w:type="dxa"/>
            <w:vAlign w:val="bottom"/>
            <w:gridSpan w:val="3"/>
          </w:tcPr>
          <w:p>
            <w:pPr>
              <w:ind w:left="180"/>
              <w:spacing w:after="0"/>
              <w:rPr>
                <w:sz w:val="20"/>
                <w:szCs w:val="20"/>
                <w:color w:val="auto"/>
              </w:rPr>
            </w:pPr>
            <w:r>
              <w:rPr>
                <w:rFonts w:ascii="Arial" w:cs="Arial" w:eastAsia="Arial" w:hAnsi="Arial"/>
                <w:sz w:val="18"/>
                <w:szCs w:val="18"/>
                <w:color w:val="auto"/>
              </w:rPr>
              <w:t>Mainstream</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(14.3)%</w:t>
            </w:r>
          </w:p>
        </w:tc>
        <w:tc>
          <w:tcPr>
            <w:tcW w:w="3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(6.7)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(25.9)%</w:t>
            </w: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spacing w:after="0"/>
              <w:rPr>
                <w:sz w:val="19"/>
                <w:szCs w:val="19"/>
                <w:color w:val="auto"/>
              </w:rPr>
            </w:pPr>
          </w:p>
        </w:tc>
      </w:tr>
      <w:tr>
        <w:trPr>
          <w:trHeight w:val="216"/>
        </w:trPr>
        <w:tc>
          <w:tcPr>
            <w:tcW w:w="2240" w:type="dxa"/>
            <w:vAlign w:val="bottom"/>
            <w:gridSpan w:val="3"/>
          </w:tcPr>
          <w:p>
            <w:pPr>
              <w:ind w:left="180"/>
              <w:spacing w:after="0"/>
              <w:rPr>
                <w:sz w:val="20"/>
                <w:szCs w:val="20"/>
                <w:color w:val="auto"/>
              </w:rPr>
            </w:pPr>
            <w:r>
              <w:rPr>
                <w:rFonts w:ascii="Arial" w:cs="Arial" w:eastAsia="Arial" w:hAnsi="Arial"/>
                <w:sz w:val="18"/>
                <w:szCs w:val="18"/>
                <w:color w:val="auto"/>
              </w:rPr>
              <w:t>Total FPD</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62.3</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14.2%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6.0%</w:t>
            </w:r>
          </w:p>
        </w:tc>
        <w:tc>
          <w:tcPr>
            <w:tcW w:w="3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116.8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spacing w:after="0"/>
              <w:rPr>
                <w:sz w:val="19"/>
                <w:szCs w:val="19"/>
                <w:color w:val="auto"/>
              </w:rPr>
            </w:pPr>
          </w:p>
        </w:tc>
      </w:tr>
      <w:tr>
        <w:trPr>
          <w:trHeight w:val="216"/>
        </w:trPr>
        <w:tc>
          <w:tcPr>
            <w:tcW w:w="2240" w:type="dxa"/>
            <w:vAlign w:val="bottom"/>
            <w:gridSpan w:val="3"/>
          </w:tcPr>
          <w:p>
            <w:pPr>
              <w:spacing w:after="0"/>
              <w:rPr>
                <w:sz w:val="20"/>
                <w:szCs w:val="20"/>
                <w:color w:val="auto"/>
              </w:rPr>
            </w:pPr>
            <w:r>
              <w:rPr>
                <w:rFonts w:ascii="Arial" w:cs="Arial" w:eastAsia="Arial" w:hAnsi="Arial"/>
                <w:sz w:val="18"/>
                <w:szCs w:val="18"/>
                <w:color w:val="auto"/>
              </w:rPr>
              <w:t>Total Revenue</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229.3</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18.2</w:t>
            </w:r>
          </w:p>
        </w:tc>
        <w:tc>
          <w:tcPr>
            <w:tcW w:w="2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8.6%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24.8</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12.1%</w:t>
            </w:r>
          </w:p>
        </w:tc>
        <w:tc>
          <w:tcPr>
            <w:tcW w:w="3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440.4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46.1</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11.7%</w:t>
            </w:r>
          </w:p>
        </w:tc>
      </w:tr>
      <w:tr>
        <w:trPr>
          <w:trHeight w:val="27"/>
        </w:trPr>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High-end photomasks typically have higher average selling prices (ASPs) than mainstream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Quarterly Changes in Revenue by Geographic Origin**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20" w:type="dxa"/>
            <w:vAlign w:val="bottom"/>
            <w:gridSpan w:val="7"/>
            <w:vMerge w:val="restart"/>
          </w:tcPr>
          <w:p>
            <w:pPr>
              <w:jc w:val="center"/>
              <w:ind w:right="280"/>
              <w:spacing w:after="0"/>
              <w:rPr>
                <w:sz w:val="20"/>
                <w:szCs w:val="20"/>
                <w:color w:val="auto"/>
              </w:rPr>
            </w:pPr>
            <w:r>
              <w:rPr>
                <w:rFonts w:ascii="Arial" w:cs="Arial" w:eastAsia="Arial" w:hAnsi="Arial"/>
                <w:sz w:val="18"/>
                <w:szCs w:val="18"/>
                <w:b w:val="1"/>
                <w:bCs w:val="1"/>
                <w:color w:val="auto"/>
                <w:w w:val="93"/>
              </w:rPr>
              <w:t>Q2 FY23 compared with Q1 FY23</w:t>
            </w:r>
          </w:p>
        </w:tc>
        <w:tc>
          <w:tcPr>
            <w:tcW w:w="60" w:type="dxa"/>
            <w:vAlign w:val="bottom"/>
          </w:tcPr>
          <w:p>
            <w:pPr>
              <w:spacing w:after="0"/>
              <w:rPr>
                <w:sz w:val="18"/>
                <w:szCs w:val="18"/>
                <w:color w:val="auto"/>
              </w:rPr>
            </w:pPr>
          </w:p>
        </w:tc>
        <w:tc>
          <w:tcPr>
            <w:tcW w:w="2320" w:type="dxa"/>
            <w:vAlign w:val="bottom"/>
            <w:gridSpan w:val="5"/>
          </w:tcPr>
          <w:p>
            <w:pPr>
              <w:ind w:left="60"/>
              <w:spacing w:after="0"/>
              <w:rPr>
                <w:sz w:val="20"/>
                <w:szCs w:val="20"/>
                <w:color w:val="auto"/>
              </w:rPr>
            </w:pPr>
            <w:r>
              <w:rPr>
                <w:rFonts w:ascii="Arial" w:cs="Arial" w:eastAsia="Arial" w:hAnsi="Arial"/>
                <w:sz w:val="18"/>
                <w:szCs w:val="18"/>
                <w:b w:val="1"/>
                <w:bCs w:val="1"/>
                <w:color w:val="auto"/>
              </w:rPr>
              <w:t>Q2 FY23 compared with</w:t>
            </w:r>
          </w:p>
        </w:tc>
        <w:tc>
          <w:tcPr>
            <w:tcW w:w="280" w:type="dxa"/>
            <w:vAlign w:val="bottom"/>
          </w:tcPr>
          <w:p>
            <w:pPr>
              <w:spacing w:after="0"/>
              <w:rPr>
                <w:sz w:val="18"/>
                <w:szCs w:val="18"/>
                <w:color w:val="auto"/>
              </w:rPr>
            </w:pPr>
          </w:p>
        </w:tc>
        <w:tc>
          <w:tcPr>
            <w:tcW w:w="3040" w:type="dxa"/>
            <w:vAlign w:val="bottom"/>
            <w:gridSpan w:val="7"/>
            <w:vMerge w:val="restart"/>
          </w:tcPr>
          <w:p>
            <w:pPr>
              <w:jc w:val="center"/>
              <w:ind w:right="500"/>
              <w:spacing w:after="0"/>
              <w:rPr>
                <w:sz w:val="20"/>
                <w:szCs w:val="20"/>
                <w:color w:val="auto"/>
              </w:rPr>
            </w:pPr>
            <w:r>
              <w:rPr>
                <w:rFonts w:ascii="Arial" w:cs="Arial" w:eastAsia="Arial" w:hAnsi="Arial"/>
                <w:sz w:val="18"/>
                <w:szCs w:val="18"/>
                <w:b w:val="1"/>
                <w:bCs w:val="1"/>
                <w:color w:val="auto"/>
                <w:w w:val="97"/>
              </w:rPr>
              <w:t>YTD FY23 from YTD22</w:t>
            </w:r>
          </w:p>
        </w:tc>
        <w:tc>
          <w:tcPr>
            <w:tcW w:w="0" w:type="dxa"/>
            <w:vAlign w:val="bottom"/>
          </w:tcPr>
          <w:p>
            <w:pPr>
              <w:spacing w:after="0"/>
              <w:rPr>
                <w:sz w:val="1"/>
                <w:szCs w:val="1"/>
                <w:color w:val="auto"/>
              </w:rPr>
            </w:pPr>
          </w:p>
        </w:tc>
      </w:tr>
      <w:tr>
        <w:trPr>
          <w:trHeight w:val="126"/>
        </w:trPr>
        <w:tc>
          <w:tcPr>
            <w:tcW w:w="2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20" w:type="dxa"/>
            <w:vAlign w:val="bottom"/>
            <w:gridSpan w:val="7"/>
            <w:vMerge w:val="continue"/>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20" w:type="dxa"/>
            <w:vAlign w:val="bottom"/>
            <w:gridSpan w:val="4"/>
            <w:vMerge w:val="restart"/>
          </w:tcPr>
          <w:p>
            <w:pPr>
              <w:jc w:val="right"/>
              <w:ind w:right="980"/>
              <w:spacing w:after="0"/>
              <w:rPr>
                <w:sz w:val="20"/>
                <w:szCs w:val="20"/>
                <w:color w:val="auto"/>
              </w:rPr>
            </w:pPr>
            <w:r>
              <w:rPr>
                <w:rFonts w:ascii="Arial" w:cs="Arial" w:eastAsia="Arial" w:hAnsi="Arial"/>
                <w:sz w:val="18"/>
                <w:szCs w:val="18"/>
                <w:b w:val="1"/>
                <w:bCs w:val="1"/>
                <w:color w:val="auto"/>
              </w:rPr>
              <w:t>Q2 FY22</w:t>
            </w:r>
          </w:p>
        </w:tc>
        <w:tc>
          <w:tcPr>
            <w:tcW w:w="280" w:type="dxa"/>
            <w:vAlign w:val="bottom"/>
          </w:tcPr>
          <w:p>
            <w:pPr>
              <w:spacing w:after="0"/>
              <w:rPr>
                <w:sz w:val="10"/>
                <w:szCs w:val="10"/>
                <w:color w:val="auto"/>
              </w:rPr>
            </w:pPr>
          </w:p>
        </w:tc>
        <w:tc>
          <w:tcPr>
            <w:tcW w:w="30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20" w:type="dxa"/>
            <w:vAlign w:val="bottom"/>
            <w:gridSpan w:val="4"/>
            <w:vMerge w:val="continue"/>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2240" w:type="dxa"/>
            <w:vAlign w:val="bottom"/>
          </w:tcPr>
          <w:p>
            <w:pPr>
              <w:spacing w:after="0"/>
              <w:rPr>
                <w:sz w:val="17"/>
                <w:szCs w:val="17"/>
                <w:color w:val="auto"/>
              </w:rPr>
            </w:pPr>
          </w:p>
        </w:tc>
        <w:tc>
          <w:tcPr>
            <w:tcW w:w="1080" w:type="dxa"/>
            <w:vAlign w:val="bottom"/>
            <w:tcBorders>
              <w:top w:val="single" w:sz="8" w:color="auto"/>
            </w:tcBorders>
            <w:gridSpan w:val="3"/>
          </w:tcPr>
          <w:p>
            <w:pPr>
              <w:spacing w:after="0" w:line="198" w:lineRule="exact"/>
              <w:rPr>
                <w:sz w:val="20"/>
                <w:szCs w:val="20"/>
                <w:color w:val="auto"/>
              </w:rPr>
            </w:pPr>
            <w:r>
              <w:rPr>
                <w:rFonts w:ascii="Arial" w:cs="Arial" w:eastAsia="Arial" w:hAnsi="Arial"/>
                <w:sz w:val="18"/>
                <w:szCs w:val="18"/>
                <w:b w:val="1"/>
                <w:bCs w:val="1"/>
                <w:color w:val="auto"/>
              </w:rPr>
              <w:t>Revenue in</w:t>
            </w: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gridSpan w:val="2"/>
          </w:tcPr>
          <w:p>
            <w:pPr>
              <w:jc w:val="center"/>
              <w:ind w:right="280"/>
              <w:spacing w:after="0" w:line="198" w:lineRule="exact"/>
              <w:rPr>
                <w:sz w:val="20"/>
                <w:szCs w:val="20"/>
                <w:color w:val="auto"/>
              </w:rPr>
            </w:pPr>
            <w:r>
              <w:rPr>
                <w:rFonts w:ascii="Arial" w:cs="Arial" w:eastAsia="Arial" w:hAnsi="Arial"/>
                <w:sz w:val="18"/>
                <w:szCs w:val="18"/>
                <w:b w:val="1"/>
                <w:bCs w:val="1"/>
                <w:color w:val="auto"/>
                <w:w w:val="90"/>
              </w:rPr>
              <w:t>Increase</w:t>
            </w:r>
          </w:p>
        </w:tc>
        <w:tc>
          <w:tcPr>
            <w:tcW w:w="920" w:type="dxa"/>
            <w:vAlign w:val="bottom"/>
            <w:tcBorders>
              <w:top w:val="single" w:sz="8" w:color="auto"/>
            </w:tcBorders>
          </w:tcPr>
          <w:p>
            <w:pPr>
              <w:ind w:left="180"/>
              <w:spacing w:after="0" w:line="198" w:lineRule="exact"/>
              <w:rPr>
                <w:sz w:val="20"/>
                <w:szCs w:val="20"/>
                <w:color w:val="auto"/>
              </w:rPr>
            </w:pPr>
            <w:r>
              <w:rPr>
                <w:rFonts w:ascii="Arial" w:cs="Arial" w:eastAsia="Arial" w:hAnsi="Arial"/>
                <w:sz w:val="18"/>
                <w:szCs w:val="18"/>
                <w:b w:val="1"/>
                <w:bCs w:val="1"/>
                <w:color w:val="auto"/>
              </w:rPr>
              <w:t>Percent</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gridSpan w:val="2"/>
          </w:tcPr>
          <w:p>
            <w:pPr>
              <w:jc w:val="right"/>
              <w:ind w:right="340"/>
              <w:spacing w:after="0" w:line="198" w:lineRule="exact"/>
              <w:rPr>
                <w:sz w:val="20"/>
                <w:szCs w:val="20"/>
                <w:color w:val="auto"/>
              </w:rPr>
            </w:pPr>
            <w:r>
              <w:rPr>
                <w:rFonts w:ascii="Arial" w:cs="Arial" w:eastAsia="Arial" w:hAnsi="Arial"/>
                <w:sz w:val="18"/>
                <w:szCs w:val="18"/>
                <w:b w:val="1"/>
                <w:bCs w:val="1"/>
                <w:color w:val="auto"/>
                <w:w w:val="90"/>
              </w:rPr>
              <w:t>Increase</w:t>
            </w:r>
          </w:p>
        </w:tc>
        <w:tc>
          <w:tcPr>
            <w:tcW w:w="880" w:type="dxa"/>
            <w:vAlign w:val="bottom"/>
            <w:tcBorders>
              <w:top w:val="single" w:sz="8" w:color="auto"/>
            </w:tcBorders>
          </w:tcPr>
          <w:p>
            <w:pPr>
              <w:ind w:left="160"/>
              <w:spacing w:after="0" w:line="198" w:lineRule="exact"/>
              <w:rPr>
                <w:sz w:val="20"/>
                <w:szCs w:val="20"/>
                <w:color w:val="auto"/>
              </w:rPr>
            </w:pPr>
            <w:r>
              <w:rPr>
                <w:rFonts w:ascii="Arial" w:cs="Arial" w:eastAsia="Arial" w:hAnsi="Arial"/>
                <w:sz w:val="18"/>
                <w:szCs w:val="18"/>
                <w:b w:val="1"/>
                <w:bCs w:val="1"/>
                <w:color w:val="auto"/>
              </w:rPr>
              <w:t>Percent</w:t>
            </w:r>
          </w:p>
        </w:tc>
        <w:tc>
          <w:tcPr>
            <w:tcW w:w="320" w:type="dxa"/>
            <w:vAlign w:val="bottom"/>
          </w:tcPr>
          <w:p>
            <w:pPr>
              <w:spacing w:after="0"/>
              <w:rPr>
                <w:sz w:val="17"/>
                <w:szCs w:val="17"/>
                <w:color w:val="auto"/>
              </w:rPr>
            </w:pPr>
          </w:p>
        </w:tc>
        <w:tc>
          <w:tcPr>
            <w:tcW w:w="880" w:type="dxa"/>
            <w:vAlign w:val="bottom"/>
            <w:tcBorders>
              <w:top w:val="single" w:sz="8" w:color="auto"/>
            </w:tcBorders>
            <w:gridSpan w:val="2"/>
          </w:tcPr>
          <w:p>
            <w:pPr>
              <w:ind w:left="20"/>
              <w:spacing w:after="0" w:line="198" w:lineRule="exact"/>
              <w:rPr>
                <w:sz w:val="20"/>
                <w:szCs w:val="20"/>
                <w:color w:val="auto"/>
              </w:rPr>
            </w:pPr>
            <w:r>
              <w:rPr>
                <w:rFonts w:ascii="Arial" w:cs="Arial" w:eastAsia="Arial" w:hAnsi="Arial"/>
                <w:sz w:val="18"/>
                <w:szCs w:val="18"/>
                <w:b w:val="1"/>
                <w:bCs w:val="1"/>
                <w:color w:val="auto"/>
                <w:w w:val="87"/>
              </w:rPr>
              <w:t>Revenue in</w:t>
            </w: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87"/>
              </w:rPr>
              <w:t>Increase</w:t>
            </w:r>
          </w:p>
        </w:tc>
        <w:tc>
          <w:tcPr>
            <w:tcW w:w="880" w:type="dxa"/>
            <w:vAlign w:val="bottom"/>
            <w:tcBorders>
              <w:top w:val="single" w:sz="8" w:color="auto"/>
            </w:tcBorders>
          </w:tcPr>
          <w:p>
            <w:pPr>
              <w:ind w:left="160"/>
              <w:spacing w:after="0" w:line="198" w:lineRule="exact"/>
              <w:rPr>
                <w:sz w:val="20"/>
                <w:szCs w:val="20"/>
                <w:color w:val="auto"/>
              </w:rPr>
            </w:pPr>
            <w:r>
              <w:rPr>
                <w:rFonts w:ascii="Arial" w:cs="Arial" w:eastAsia="Arial" w:hAnsi="Arial"/>
                <w:sz w:val="18"/>
                <w:szCs w:val="18"/>
                <w:b w:val="1"/>
                <w:bCs w:val="1"/>
                <w:color w:val="auto"/>
              </w:rPr>
              <w:t>Percent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2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Q2 FY23</w:t>
            </w:r>
          </w:p>
        </w:tc>
        <w:tc>
          <w:tcPr>
            <w:tcW w:w="110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8"/>
                <w:szCs w:val="18"/>
                <w:b w:val="1"/>
                <w:bCs w:val="1"/>
                <w:color w:val="auto"/>
                <w:w w:val="89"/>
              </w:rPr>
              <w:t>(Decrease)</w:t>
            </w: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Change</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(Decrease)</w:t>
            </w:r>
          </w:p>
        </w:tc>
        <w:tc>
          <w:tcPr>
            <w:tcW w:w="88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Change</w:t>
            </w:r>
          </w:p>
        </w:tc>
        <w:tc>
          <w:tcPr>
            <w:tcW w:w="320" w:type="dxa"/>
            <w:vAlign w:val="bottom"/>
          </w:tcPr>
          <w:p>
            <w:pPr>
              <w:spacing w:after="0"/>
              <w:rPr>
                <w:sz w:val="20"/>
                <w:szCs w:val="20"/>
                <w:color w:val="auto"/>
              </w:rPr>
            </w:pPr>
          </w:p>
        </w:tc>
        <w:tc>
          <w:tcPr>
            <w:tcW w:w="8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9"/>
              </w:rPr>
              <w:t>YTD FY23</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8"/>
                <w:szCs w:val="18"/>
                <w:b w:val="1"/>
                <w:bCs w:val="1"/>
                <w:color w:val="auto"/>
                <w:w w:val="86"/>
              </w:rPr>
              <w:t>(Decrease)</w:t>
            </w:r>
          </w:p>
        </w:tc>
        <w:tc>
          <w:tcPr>
            <w:tcW w:w="88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Change</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Taiwan</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15.2%</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18.3</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China</w:t>
            </w:r>
          </w:p>
        </w:tc>
        <w:tc>
          <w:tcPr>
            <w:tcW w:w="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65.2</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6.3</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10.7%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11.5</w:t>
            </w:r>
          </w:p>
        </w:tc>
        <w:tc>
          <w:tcPr>
            <w:tcW w:w="2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21.5%</w:t>
            </w: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124.1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24.5</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Korea</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41.4</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United States</w:t>
            </w:r>
          </w:p>
        </w:tc>
        <w:tc>
          <w:tcPr>
            <w:tcW w:w="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32.5</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2.6</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8.7%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7.1%</w:t>
            </w: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62.4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4.9</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0.8</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3"/>
        </w:trPr>
        <w:tc>
          <w:tcPr>
            <w:tcW w:w="2240" w:type="dxa"/>
            <w:vAlign w:val="bottom"/>
          </w:tcPr>
          <w:p>
            <w:pPr>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0.1</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16.8%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40.4%</w:t>
            </w: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0.1</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23"/>
        </w:trPr>
        <w:tc>
          <w:tcPr>
            <w:tcW w:w="22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229.3</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2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w:t>
            </w: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440.4</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2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This table disaggregates revenue by the location in which it was earned.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 in Q2 FY23 was $229.3 million, representing an increase of 8.6% compared with Q1 FY23 and 12.1% from Q2 FY22.</w:t>
      </w:r>
    </w:p>
    <w:p>
      <w:pPr>
        <w:spacing w:after="0" w:line="225" w:lineRule="exact"/>
        <w:rPr>
          <w:sz w:val="20"/>
          <w:szCs w:val="20"/>
          <w:color w:val="auto"/>
        </w:rPr>
      </w:pPr>
    </w:p>
    <w:p>
      <w:pPr>
        <w:ind w:right="120" w:firstLine="243"/>
        <w:spacing w:after="0" w:line="311" w:lineRule="auto"/>
        <w:rPr>
          <w:sz w:val="20"/>
          <w:szCs w:val="20"/>
          <w:color w:val="auto"/>
        </w:rPr>
      </w:pPr>
      <w:r>
        <w:rPr>
          <w:rFonts w:ascii="Arial" w:cs="Arial" w:eastAsia="Arial" w:hAnsi="Arial"/>
          <w:sz w:val="16"/>
          <w:szCs w:val="16"/>
          <w:color w:val="auto"/>
        </w:rPr>
        <w:t>IC photomask revenue increased 6.7% and 14.6% in Q2 FY23, compared with Q1 FY23 and Q2 FY22, respectively. These increases were driven by continued strong demand in Asia, and increased pricing, resulting from robust design activity for mainstream products used for computer chips used in the production of consumer goods, products considered part of the “internet-of-things”, 5G wireless technology applications, and cryptocurrency mining.</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right="60" w:firstLine="243"/>
        <w:spacing w:after="0" w:line="301" w:lineRule="auto"/>
        <w:rPr>
          <w:sz w:val="20"/>
          <w:szCs w:val="20"/>
          <w:color w:val="auto"/>
        </w:rPr>
      </w:pPr>
      <w:r>
        <w:rPr>
          <w:rFonts w:ascii="Arial" w:cs="Arial" w:eastAsia="Arial" w:hAnsi="Arial"/>
          <w:sz w:val="16"/>
          <w:szCs w:val="16"/>
          <w:color w:val="auto"/>
        </w:rPr>
        <w:t>The increase from Q1 FY23 was driven by mainstream growth which more than offset some high-end softness. This strong demand continues to strain the photomask industry’s mainstream tool capacity, despite some industry capacity expansions, thereby providing the conditions that support a favorable pricing environment. This has enabled us to maintain increased selling prices, though expediting premiums that customers pay to accelerate deliveries have decreased. The increase from Q2 FY22, is driven by continued strong growth in Asia and the U.S. for mainstream products, and increased pricing.</w:t>
      </w:r>
    </w:p>
    <w:p>
      <w:pPr>
        <w:spacing w:after="0" w:line="157" w:lineRule="exact"/>
        <w:rPr>
          <w:sz w:val="20"/>
          <w:szCs w:val="20"/>
          <w:color w:val="auto"/>
        </w:rPr>
      </w:pPr>
    </w:p>
    <w:p>
      <w:pPr>
        <w:ind w:right="140" w:firstLine="243"/>
        <w:spacing w:after="0" w:line="255" w:lineRule="auto"/>
        <w:rPr>
          <w:sz w:val="20"/>
          <w:szCs w:val="20"/>
          <w:color w:val="auto"/>
        </w:rPr>
      </w:pPr>
      <w:r>
        <w:rPr>
          <w:rFonts w:ascii="Arial" w:cs="Arial" w:eastAsia="Arial" w:hAnsi="Arial"/>
          <w:sz w:val="18"/>
          <w:szCs w:val="18"/>
          <w:color w:val="auto"/>
        </w:rPr>
        <w:t>FPD revenue increased 14.2% and 6.0% in Q2 FY23, compared with Q1 FY23 and Q2 FY22, respectively. The increase from Q1 FY23 was driven by strong high-end demand, as AMOLED panels used in advanced mobile displays continue to fuel healthy demand for high-end masks. Mainstream also grew during the quarter as a result of increased write capacity and improved mainstream demand from LCD panels. The increase from Q2 FY22, is due to increased high-end demand, driven by continued growth in AMOLED panels, more than offset some weakness in mainstream. We continue to believe that strong demand for AMOLED photomasks used in mobile devices will continue, as expected technology advances drives increasing overall demand for higher-value masks.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60" w:type="dxa"/>
            <w:vAlign w:val="bottom"/>
          </w:tcPr>
          <w:p>
            <w:pPr>
              <w:spacing w:after="0"/>
              <w:rPr>
                <w:sz w:val="20"/>
                <w:szCs w:val="20"/>
                <w:color w:val="auto"/>
              </w:rPr>
            </w:pPr>
            <w:r>
              <w:rPr>
                <w:rFonts w:ascii="Arial" w:cs="Arial" w:eastAsia="Arial" w:hAnsi="Arial"/>
                <w:sz w:val="18"/>
                <w:szCs w:val="18"/>
                <w:b w:val="1"/>
                <w:bCs w:val="1"/>
                <w:i w:val="1"/>
                <w:iCs w:val="1"/>
                <w:color w:val="auto"/>
              </w:rPr>
              <w:t>Gross Margin</w:t>
            </w: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14"/>
        </w:trPr>
        <w:tc>
          <w:tcPr>
            <w:tcW w:w="2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gridSpan w:val="2"/>
          </w:tcPr>
          <w:p>
            <w:pPr>
              <w:ind w:left="140"/>
              <w:spacing w:after="0"/>
              <w:rPr>
                <w:sz w:val="20"/>
                <w:szCs w:val="20"/>
                <w:color w:val="auto"/>
              </w:rPr>
            </w:pPr>
            <w:r>
              <w:rPr>
                <w:rFonts w:ascii="Arial" w:cs="Arial" w:eastAsia="Arial" w:hAnsi="Arial"/>
                <w:sz w:val="18"/>
                <w:szCs w:val="18"/>
                <w:b w:val="1"/>
                <w:bCs w:val="1"/>
                <w:color w:val="auto"/>
              </w:rPr>
              <w:t>Percent</w:t>
            </w: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b w:val="1"/>
                <w:bCs w:val="1"/>
                <w:color w:val="auto"/>
              </w:rPr>
              <w:t>Percent</w:t>
            </w: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gridSpan w:val="2"/>
          </w:tcPr>
          <w:p>
            <w:pPr>
              <w:ind w:left="160"/>
              <w:spacing w:after="0"/>
              <w:rPr>
                <w:sz w:val="20"/>
                <w:szCs w:val="20"/>
                <w:color w:val="auto"/>
              </w:rPr>
            </w:pPr>
            <w:r>
              <w:rPr>
                <w:rFonts w:ascii="Arial" w:cs="Arial" w:eastAsia="Arial" w:hAnsi="Arial"/>
                <w:sz w:val="18"/>
                <w:szCs w:val="18"/>
                <w:b w:val="1"/>
                <w:bCs w:val="1"/>
                <w:color w:val="auto"/>
              </w:rPr>
              <w:t>Percent</w:t>
            </w:r>
          </w:p>
        </w:tc>
      </w:tr>
      <w:tr>
        <w:trPr>
          <w:trHeight w:val="241"/>
        </w:trPr>
        <w:tc>
          <w:tcPr>
            <w:tcW w:w="2260" w:type="dxa"/>
            <w:vAlign w:val="bottom"/>
          </w:tcPr>
          <w:p>
            <w:pPr>
              <w:spacing w:after="0"/>
              <w:rPr>
                <w:sz w:val="20"/>
                <w:szCs w:val="20"/>
                <w:color w:val="auto"/>
              </w:rPr>
            </w:pPr>
          </w:p>
        </w:tc>
        <w:tc>
          <w:tcPr>
            <w:tcW w:w="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Q2 FY23</w:t>
            </w:r>
          </w:p>
        </w:tc>
        <w:tc>
          <w:tcPr>
            <w:tcW w:w="260" w:type="dxa"/>
            <w:vAlign w:val="bottom"/>
          </w:tcPr>
          <w:p>
            <w:pPr>
              <w:spacing w:after="0"/>
              <w:rPr>
                <w:sz w:val="20"/>
                <w:szCs w:val="20"/>
                <w:color w:val="auto"/>
              </w:rPr>
            </w:pPr>
          </w:p>
        </w:tc>
        <w:tc>
          <w:tcPr>
            <w:tcW w:w="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Q1 FY23</w:t>
            </w:r>
          </w:p>
        </w:tc>
        <w:tc>
          <w:tcPr>
            <w:tcW w:w="260" w:type="dxa"/>
            <w:vAlign w:val="bottom"/>
          </w:tcPr>
          <w:p>
            <w:pPr>
              <w:spacing w:after="0"/>
              <w:rPr>
                <w:sz w:val="20"/>
                <w:szCs w:val="20"/>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Change</w:t>
            </w:r>
          </w:p>
        </w:tc>
        <w:tc>
          <w:tcPr>
            <w:tcW w:w="260" w:type="dxa"/>
            <w:vAlign w:val="bottom"/>
          </w:tcPr>
          <w:p>
            <w:pPr>
              <w:spacing w:after="0"/>
              <w:rPr>
                <w:sz w:val="20"/>
                <w:szCs w:val="20"/>
                <w:color w:val="auto"/>
              </w:rPr>
            </w:pPr>
          </w:p>
        </w:tc>
        <w:tc>
          <w:tcPr>
            <w:tcW w:w="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Q2 FY22</w:t>
            </w:r>
          </w:p>
        </w:tc>
        <w:tc>
          <w:tcPr>
            <w:tcW w:w="260" w:type="dxa"/>
            <w:vAlign w:val="bottom"/>
          </w:tcPr>
          <w:p>
            <w:pPr>
              <w:spacing w:after="0"/>
              <w:rPr>
                <w:sz w:val="20"/>
                <w:szCs w:val="20"/>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Change</w:t>
            </w:r>
          </w:p>
        </w:tc>
        <w:tc>
          <w:tcPr>
            <w:tcW w:w="26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YTD FY23</w:t>
            </w:r>
          </w:p>
        </w:tc>
        <w:tc>
          <w:tcPr>
            <w:tcW w:w="26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YTD FY22</w:t>
            </w:r>
          </w:p>
        </w:tc>
        <w:tc>
          <w:tcPr>
            <w:tcW w:w="260" w:type="dxa"/>
            <w:vAlign w:val="bottom"/>
          </w:tcPr>
          <w:p>
            <w:pPr>
              <w:spacing w:after="0"/>
              <w:rPr>
                <w:sz w:val="20"/>
                <w:szCs w:val="20"/>
                <w:color w:val="auto"/>
              </w:rPr>
            </w:pPr>
          </w:p>
        </w:tc>
        <w:tc>
          <w:tcPr>
            <w:tcW w:w="9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Change</w:t>
            </w:r>
          </w:p>
        </w:tc>
        <w:tc>
          <w:tcPr>
            <w:tcW w:w="140" w:type="dxa"/>
            <w:vAlign w:val="bottom"/>
          </w:tcPr>
          <w:p>
            <w:pPr>
              <w:spacing w:after="0"/>
              <w:rPr>
                <w:sz w:val="20"/>
                <w:szCs w:val="20"/>
                <w:color w:val="auto"/>
              </w:rPr>
            </w:pPr>
          </w:p>
        </w:tc>
      </w:tr>
      <w:tr>
        <w:trPr>
          <w:trHeight w:val="21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5"/>
              </w:rPr>
              <w:t>88.4</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5"/>
              </w:rPr>
              <w:t>76.1</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5"/>
              </w:rPr>
              <w:t>70.2</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w:t>
            </w:r>
          </w:p>
        </w:tc>
      </w:tr>
      <w:tr>
        <w:trPr>
          <w:trHeight w:val="230"/>
        </w:trPr>
        <w:tc>
          <w:tcPr>
            <w:tcW w:w="2260" w:type="dxa"/>
            <w:vAlign w:val="bottom"/>
          </w:tcPr>
          <w:p>
            <w:pPr>
              <w:spacing w:after="0"/>
              <w:rPr>
                <w:sz w:val="20"/>
                <w:szCs w:val="20"/>
                <w:color w:val="auto"/>
              </w:rPr>
            </w:pPr>
            <w:r>
              <w:rPr>
                <w:rFonts w:ascii="Arial" w:cs="Arial" w:eastAsia="Arial" w:hAnsi="Arial"/>
                <w:sz w:val="18"/>
                <w:szCs w:val="18"/>
                <w:color w:val="auto"/>
              </w:rPr>
              <w:t>Gross margin</w:t>
            </w:r>
          </w:p>
        </w:tc>
        <w:tc>
          <w:tcPr>
            <w:tcW w:w="340" w:type="dxa"/>
            <w:vAlign w:val="bottom"/>
          </w:tcPr>
          <w:p>
            <w:pPr>
              <w:spacing w:after="0"/>
              <w:rPr>
                <w:sz w:val="20"/>
                <w:szCs w:val="20"/>
                <w:color w:val="auto"/>
              </w:rPr>
            </w:pPr>
          </w:p>
        </w:tc>
        <w:tc>
          <w:tcPr>
            <w:tcW w:w="800" w:type="dxa"/>
            <w:vAlign w:val="bottom"/>
            <w:gridSpan w:val="2"/>
          </w:tcPr>
          <w:p>
            <w:pPr>
              <w:ind w:left="220"/>
              <w:spacing w:after="0"/>
              <w:rPr>
                <w:sz w:val="20"/>
                <w:szCs w:val="20"/>
                <w:color w:val="auto"/>
              </w:rPr>
            </w:pPr>
            <w:r>
              <w:rPr>
                <w:rFonts w:ascii="Arial" w:cs="Arial" w:eastAsia="Arial" w:hAnsi="Arial"/>
                <w:sz w:val="18"/>
                <w:szCs w:val="18"/>
                <w:color w:val="auto"/>
              </w:rPr>
              <w:t>38.6%</w:t>
            </w:r>
          </w:p>
        </w:tc>
        <w:tc>
          <w:tcPr>
            <w:tcW w:w="320" w:type="dxa"/>
            <w:vAlign w:val="bottom"/>
          </w:tcPr>
          <w:p>
            <w:pPr>
              <w:spacing w:after="0"/>
              <w:rPr>
                <w:sz w:val="20"/>
                <w:szCs w:val="20"/>
                <w:color w:val="auto"/>
              </w:rPr>
            </w:pPr>
          </w:p>
        </w:tc>
        <w:tc>
          <w:tcPr>
            <w:tcW w:w="820" w:type="dxa"/>
            <w:vAlign w:val="bottom"/>
            <w:gridSpan w:val="2"/>
          </w:tcPr>
          <w:p>
            <w:pPr>
              <w:ind w:left="240"/>
              <w:spacing w:after="0"/>
              <w:rPr>
                <w:sz w:val="20"/>
                <w:szCs w:val="20"/>
                <w:color w:val="auto"/>
              </w:rPr>
            </w:pPr>
            <w:r>
              <w:rPr>
                <w:rFonts w:ascii="Arial" w:cs="Arial" w:eastAsia="Arial" w:hAnsi="Arial"/>
                <w:sz w:val="18"/>
                <w:szCs w:val="18"/>
                <w:color w:val="auto"/>
              </w:rPr>
              <w:t>36.0%</w:t>
            </w: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gridSpan w:val="2"/>
          </w:tcPr>
          <w:p>
            <w:pPr>
              <w:ind w:left="220"/>
              <w:spacing w:after="0"/>
              <w:rPr>
                <w:sz w:val="20"/>
                <w:szCs w:val="20"/>
                <w:color w:val="auto"/>
              </w:rPr>
            </w:pPr>
            <w:r>
              <w:rPr>
                <w:rFonts w:ascii="Arial" w:cs="Arial" w:eastAsia="Arial" w:hAnsi="Arial"/>
                <w:sz w:val="18"/>
                <w:szCs w:val="18"/>
                <w:color w:val="auto"/>
              </w:rPr>
              <w:t>34.3%</w:t>
            </w: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37.3%</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33.0%</w:t>
            </w: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r>
    </w:tbl>
    <w:p>
      <w:pPr>
        <w:spacing w:after="0" w:line="187" w:lineRule="exact"/>
        <w:rPr>
          <w:sz w:val="20"/>
          <w:szCs w:val="20"/>
          <w:color w:val="auto"/>
        </w:rPr>
      </w:pPr>
    </w:p>
    <w:p>
      <w:pPr>
        <w:ind w:right="240" w:firstLine="243"/>
        <w:spacing w:after="0" w:line="259" w:lineRule="auto"/>
        <w:rPr>
          <w:sz w:val="20"/>
          <w:szCs w:val="20"/>
          <w:color w:val="auto"/>
        </w:rPr>
      </w:pPr>
      <w:r>
        <w:rPr>
          <w:rFonts w:ascii="Arial" w:cs="Arial" w:eastAsia="Arial" w:hAnsi="Arial"/>
          <w:sz w:val="18"/>
          <w:szCs w:val="18"/>
          <w:color w:val="auto"/>
        </w:rPr>
        <w:t>Gross margin increased by 2.6 percentage points in Q2 FY23, from Q1 FY23, primarily as a result of volume leverage, favorable pricing and product mix. Material costs increased 7.0% from the prior quarter, but decreased, as a percentage of revenue, by 36 basis points. Labor cost increased 4.1% from the prior quarter, but decreased, as a percentage of revenue, by 48 basis points. Equipment and other overhead costs increased 2.2%, but decreased 167 basis points as a percentage of revenue.</w:t>
      </w:r>
    </w:p>
    <w:p>
      <w:pPr>
        <w:spacing w:after="0" w:line="187" w:lineRule="exact"/>
        <w:rPr>
          <w:sz w:val="20"/>
          <w:szCs w:val="20"/>
          <w:color w:val="auto"/>
        </w:rPr>
      </w:pPr>
    </w:p>
    <w:p>
      <w:pPr>
        <w:ind w:right="20" w:firstLine="243"/>
        <w:spacing w:after="0" w:line="273" w:lineRule="auto"/>
        <w:rPr>
          <w:sz w:val="20"/>
          <w:szCs w:val="20"/>
          <w:color w:val="auto"/>
        </w:rPr>
      </w:pPr>
      <w:r>
        <w:rPr>
          <w:rFonts w:ascii="Arial" w:cs="Arial" w:eastAsia="Arial" w:hAnsi="Arial"/>
          <w:sz w:val="17"/>
          <w:szCs w:val="17"/>
          <w:color w:val="auto"/>
        </w:rPr>
        <w:t>Gross margin increased by 4.3 percentage points in Q2 FY23, from Q2 FY22, primarily as a result of the increase in revenue from the prior year quarter and favorable product mix. Material costs increased 3.4% from the prior year quarter, but decreased 202 basis points, as a percentage of revenue. Labor and benefits costs increased 12.8% from the prior year quarter, but remained flat as a percent of revenue, as labor increased in both the U.S. and at several Asia-based facilities, reflecting labor market conditions. Equipment and other overhead costs increased 3.3% but decreased 226 basis points, as a percentage of revenue. Increased WIP, utilities, and equipment service contract costs, partially offset by decreased importation costs were the most significant contributors to the net increase in equipment and other overhead costs.</w:t>
      </w:r>
    </w:p>
    <w:p>
      <w:pPr>
        <w:spacing w:after="0" w:line="178" w:lineRule="exact"/>
        <w:rPr>
          <w:sz w:val="20"/>
          <w:szCs w:val="20"/>
          <w:color w:val="auto"/>
        </w:rPr>
      </w:pPr>
    </w:p>
    <w:p>
      <w:pPr>
        <w:ind w:firstLine="243"/>
        <w:spacing w:after="0" w:line="273" w:lineRule="auto"/>
        <w:rPr>
          <w:sz w:val="20"/>
          <w:szCs w:val="20"/>
          <w:color w:val="auto"/>
        </w:rPr>
      </w:pPr>
      <w:r>
        <w:rPr>
          <w:rFonts w:ascii="Arial" w:cs="Arial" w:eastAsia="Arial" w:hAnsi="Arial"/>
          <w:sz w:val="17"/>
          <w:szCs w:val="17"/>
          <w:color w:val="auto"/>
        </w:rPr>
        <w:t>Gross margin increased by 4.3 percentage points in YTD FY23, from YTD FY22, primarily as a result of the increase in revenue from the prior year and favorable product mix. Material costs increased 1.2% from YTD FY22, but decreased 250 basis points, as a percentage of revenue. Labor costs increased 13.5% from YTD FY22 and increased 18 basis points as a percentage of revenue. The increase was primarily the result of increased labor cost in Asia. Equipment and other overhead costs rose 3.9%, but decreased 204 basis points, as a percentage of revenue. Increased WIP, Outsourced manufacturing, and reduced R&amp;D reclassification costs, partially offset by decreased importation costs and depreciation expense, were the most significant contributors to the net increase in equipment and other overhead costs.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ind w:right="220" w:firstLine="243"/>
        <w:spacing w:after="0" w:line="259" w:lineRule="auto"/>
        <w:rPr>
          <w:sz w:val="20"/>
          <w:szCs w:val="20"/>
          <w:color w:val="auto"/>
        </w:rPr>
      </w:pPr>
      <w:r>
        <w:rPr>
          <w:rFonts w:ascii="Arial" w:cs="Arial" w:eastAsia="Arial" w:hAnsi="Arial"/>
          <w:sz w:val="18"/>
          <w:szCs w:val="18"/>
          <w:color w:val="auto"/>
        </w:rPr>
        <w:t>Selling, general, and administrative expenses were $17.9 million in Q2 FY23, compared with $16.8 million in Q1 FY23. The increase of $1.1 million was primarily the result of increased compensation and related expenses of $0.4 million and professional fees of $0.4 million. Selling, general, and administrative expenses increased $1.3 million in Q2 FY23, from $16.6 million in Q2 FY22, primarily as a result of increased professional fees of $0.9 million.</w:t>
      </w:r>
    </w:p>
    <w:p>
      <w:pPr>
        <w:spacing w:after="0" w:line="187" w:lineRule="exact"/>
        <w:rPr>
          <w:sz w:val="20"/>
          <w:szCs w:val="20"/>
          <w:color w:val="auto"/>
        </w:rPr>
      </w:pPr>
    </w:p>
    <w:p>
      <w:pPr>
        <w:ind w:right="260" w:firstLine="243"/>
        <w:spacing w:after="0" w:line="342" w:lineRule="auto"/>
        <w:rPr>
          <w:sz w:val="20"/>
          <w:szCs w:val="20"/>
          <w:color w:val="auto"/>
        </w:rPr>
      </w:pPr>
      <w:r>
        <w:rPr>
          <w:rFonts w:ascii="Arial" w:cs="Arial" w:eastAsia="Arial" w:hAnsi="Arial"/>
          <w:sz w:val="16"/>
          <w:szCs w:val="16"/>
          <w:color w:val="auto"/>
        </w:rPr>
        <w:t>Selling, general, and administrative expenses increased $2.4 million in YTD FY23 to $34.7 million, compared with $32.3 million in YTD FY22. The increase was driven by the results of increased compensation and related expense of $1.0 million and increased professional fees of $1.0 million.</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200" w:firstLine="243"/>
        <w:spacing w:after="0" w:line="263" w:lineRule="auto"/>
        <w:rPr>
          <w:sz w:val="20"/>
          <w:szCs w:val="20"/>
          <w:color w:val="auto"/>
        </w:rPr>
      </w:pPr>
      <w:r>
        <w:rPr>
          <w:rFonts w:ascii="Arial" w:cs="Arial" w:eastAsia="Arial" w:hAnsi="Arial"/>
          <w:sz w:val="18"/>
          <w:szCs w:val="18"/>
          <w:color w:val="auto"/>
        </w:rPr>
        <w:t>Research and development expenses, which primarily consist of development and qualification efforts related to process technologies for high-end IC and FPD applications, were $3.5 million in Q2 FY23, $3.3 million in Q1 FY23, and $4.2 million in Q2 FY22. Research and development expenses increased compared to Q1 FY23 as a result of increased development activities in the U.S.</w:t>
      </w:r>
    </w:p>
    <w:p>
      <w:pPr>
        <w:spacing w:after="0" w:line="184" w:lineRule="exact"/>
        <w:rPr>
          <w:sz w:val="20"/>
          <w:szCs w:val="20"/>
          <w:color w:val="auto"/>
        </w:rPr>
      </w:pPr>
    </w:p>
    <w:p>
      <w:pPr>
        <w:ind w:right="660" w:firstLine="243"/>
        <w:spacing w:after="0" w:line="277" w:lineRule="auto"/>
        <w:rPr>
          <w:sz w:val="20"/>
          <w:szCs w:val="20"/>
          <w:color w:val="auto"/>
        </w:rPr>
      </w:pPr>
      <w:r>
        <w:rPr>
          <w:rFonts w:ascii="Arial" w:cs="Arial" w:eastAsia="Arial" w:hAnsi="Arial"/>
          <w:sz w:val="18"/>
          <w:szCs w:val="18"/>
          <w:color w:val="auto"/>
        </w:rPr>
        <w:t>Research and development expenses decreased by $3.4 million in YTD FY 23 to $6.8 million, compared with $10.1 million in YTD FY22. The decrease was driven by less development activities in the U.S., Taiwan, and China.</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Non-operating Income (Expense)</w:t>
            </w: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4620" w:type="dxa"/>
            <w:vAlign w:val="bottom"/>
          </w:tcPr>
          <w:p>
            <w:pPr>
              <w:spacing w:after="0"/>
              <w:rPr>
                <w:sz w:val="24"/>
                <w:szCs w:val="24"/>
                <w:color w:val="auto"/>
              </w:rPr>
            </w:pPr>
          </w:p>
        </w:tc>
        <w:tc>
          <w:tcPr>
            <w:tcW w:w="740" w:type="dxa"/>
            <w:vAlign w:val="bottom"/>
          </w:tcPr>
          <w:p>
            <w:pPr>
              <w:spacing w:after="0"/>
              <w:rPr>
                <w:sz w:val="20"/>
                <w:szCs w:val="20"/>
                <w:color w:val="auto"/>
              </w:rPr>
            </w:pPr>
            <w:r>
              <w:rPr>
                <w:rFonts w:ascii="Arial" w:cs="Arial" w:eastAsia="Arial" w:hAnsi="Arial"/>
                <w:sz w:val="18"/>
                <w:szCs w:val="18"/>
                <w:b w:val="1"/>
                <w:bCs w:val="1"/>
                <w:color w:val="auto"/>
                <w:w w:val="99"/>
              </w:rPr>
              <w:t>Q2 FY23</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ind w:left="80"/>
              <w:spacing w:after="0"/>
              <w:rPr>
                <w:sz w:val="20"/>
                <w:szCs w:val="20"/>
                <w:color w:val="auto"/>
              </w:rPr>
            </w:pPr>
            <w:r>
              <w:rPr>
                <w:rFonts w:ascii="Arial" w:cs="Arial" w:eastAsia="Arial" w:hAnsi="Arial"/>
                <w:sz w:val="18"/>
                <w:szCs w:val="18"/>
                <w:b w:val="1"/>
                <w:bCs w:val="1"/>
                <w:color w:val="auto"/>
                <w:w w:val="97"/>
              </w:rPr>
              <w:t>Q1 FY23</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ind w:left="80"/>
              <w:spacing w:after="0"/>
              <w:rPr>
                <w:sz w:val="20"/>
                <w:szCs w:val="20"/>
                <w:color w:val="auto"/>
              </w:rPr>
            </w:pPr>
            <w:r>
              <w:rPr>
                <w:rFonts w:ascii="Arial" w:cs="Arial" w:eastAsia="Arial" w:hAnsi="Arial"/>
                <w:sz w:val="18"/>
                <w:szCs w:val="18"/>
                <w:b w:val="1"/>
                <w:bCs w:val="1"/>
                <w:color w:val="auto"/>
              </w:rPr>
              <w:t>Q2 FY22</w:t>
            </w:r>
          </w:p>
        </w:tc>
        <w:tc>
          <w:tcPr>
            <w:tcW w:w="340" w:type="dxa"/>
            <w:vAlign w:val="bottom"/>
          </w:tcPr>
          <w:p>
            <w:pPr>
              <w:spacing w:after="0"/>
              <w:rPr>
                <w:sz w:val="24"/>
                <w:szCs w:val="24"/>
                <w:color w:val="auto"/>
              </w:rPr>
            </w:pPr>
          </w:p>
        </w:tc>
        <w:tc>
          <w:tcPr>
            <w:tcW w:w="1560" w:type="dxa"/>
            <w:vAlign w:val="bottom"/>
            <w:gridSpan w:val="4"/>
          </w:tcPr>
          <w:p>
            <w:pPr>
              <w:ind w:left="220"/>
              <w:spacing w:after="0"/>
              <w:rPr>
                <w:sz w:val="20"/>
                <w:szCs w:val="20"/>
                <w:color w:val="auto"/>
              </w:rPr>
            </w:pPr>
            <w:r>
              <w:rPr>
                <w:rFonts w:ascii="Arial" w:cs="Arial" w:eastAsia="Arial" w:hAnsi="Arial"/>
                <w:sz w:val="18"/>
                <w:szCs w:val="18"/>
                <w:b w:val="1"/>
                <w:bCs w:val="1"/>
                <w:color w:val="auto"/>
              </w:rPr>
              <w:t>YTD FY23</w:t>
            </w: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rPr>
              <w:t>YTD FY22</w:t>
            </w:r>
          </w:p>
        </w:tc>
      </w:tr>
      <w:tr>
        <w:trPr>
          <w:trHeight w:val="27"/>
        </w:trPr>
        <w:tc>
          <w:tcPr>
            <w:tcW w:w="46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transactions impact, net</w:t>
            </w: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w:t>
            </w:r>
          </w:p>
        </w:tc>
        <w:tc>
          <w:tcPr>
            <w:tcW w:w="8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(16.9)</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Interest expense, net</w:t>
            </w:r>
          </w:p>
        </w:tc>
        <w:tc>
          <w:tcPr>
            <w:tcW w:w="74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4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(0.9)</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and other income (expense), net</w:t>
            </w:r>
          </w:p>
        </w:tc>
        <w:tc>
          <w:tcPr>
            <w:tcW w:w="7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8"/>
                <w:szCs w:val="18"/>
                <w:color w:val="auto"/>
              </w:rPr>
            </w:pPr>
          </w:p>
        </w:tc>
      </w:tr>
      <w:tr>
        <w:trPr>
          <w:trHeight w:val="223"/>
        </w:trPr>
        <w:tc>
          <w:tcPr>
            <w:tcW w:w="462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Non-operating income (expense), net</w:t>
            </w: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(14.4)</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8"/>
                <w:szCs w:val="18"/>
                <w:color w:val="auto"/>
              </w:rPr>
            </w:pPr>
          </w:p>
        </w:tc>
      </w:tr>
      <w:tr>
        <w:trPr>
          <w:trHeight w:val="27"/>
        </w:trPr>
        <w:tc>
          <w:tcPr>
            <w:tcW w:w="462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60" w:firstLine="243"/>
        <w:spacing w:after="0" w:line="257" w:lineRule="auto"/>
        <w:rPr>
          <w:sz w:val="20"/>
          <w:szCs w:val="20"/>
          <w:color w:val="auto"/>
        </w:rPr>
      </w:pPr>
      <w:r>
        <w:rPr>
          <w:rFonts w:ascii="Arial" w:cs="Arial" w:eastAsia="Arial" w:hAnsi="Arial"/>
          <w:sz w:val="18"/>
          <w:szCs w:val="18"/>
          <w:color w:val="auto"/>
        </w:rPr>
        <w:t>Non-operating income (expense) increased $28.0 million to $13.6 million in Q2 FY23, compared with $(14.4) million in Q1 FY23, primarily due to foreign currency transactions impact, net, driven by favorable movements of the South Korean won and the New Taiwan dollar against the U.S. dollar exceeding an unfavorable movement of the RMB against the U.S. dollar. Non-operating income (expense) increased $5.6 million from Q2 FY22, primarily due to foreign currency transaction impact, net, driven by favorable movements of the South Korean won and RMB against the USD dollar, exceeding an unfavorable movement of the New Taiwan dollar.</w:t>
      </w:r>
    </w:p>
    <w:p>
      <w:pPr>
        <w:spacing w:after="0" w:line="188" w:lineRule="exact"/>
        <w:rPr>
          <w:sz w:val="20"/>
          <w:szCs w:val="20"/>
          <w:color w:val="auto"/>
        </w:rPr>
      </w:pPr>
    </w:p>
    <w:p>
      <w:pPr>
        <w:ind w:right="20" w:firstLine="243"/>
        <w:spacing w:after="0" w:line="277" w:lineRule="auto"/>
        <w:rPr>
          <w:sz w:val="20"/>
          <w:szCs w:val="20"/>
          <w:color w:val="auto"/>
        </w:rPr>
      </w:pPr>
      <w:r>
        <w:rPr>
          <w:rFonts w:ascii="Arial" w:cs="Arial" w:eastAsia="Arial" w:hAnsi="Arial"/>
          <w:sz w:val="18"/>
          <w:szCs w:val="18"/>
          <w:color w:val="auto"/>
        </w:rPr>
        <w:t>Interest income and other income (expense), net, increased to $3.0 million in Q2 FY23, compared with $2.6 million in Q1 FY23, and $0.2 million in Q2 FY22 driven by an increase in cash invested and higher interest rates.</w:t>
      </w:r>
    </w:p>
    <w:p>
      <w:pPr>
        <w:spacing w:after="0" w:line="170" w:lineRule="exact"/>
        <w:rPr>
          <w:sz w:val="20"/>
          <w:szCs w:val="20"/>
          <w:color w:val="auto"/>
        </w:rPr>
      </w:pPr>
    </w:p>
    <w:p>
      <w:pPr>
        <w:ind w:right="100" w:firstLine="243"/>
        <w:spacing w:after="0" w:line="263" w:lineRule="auto"/>
        <w:rPr>
          <w:sz w:val="20"/>
          <w:szCs w:val="20"/>
          <w:color w:val="auto"/>
        </w:rPr>
      </w:pPr>
      <w:r>
        <w:rPr>
          <w:rFonts w:ascii="Arial" w:cs="Arial" w:eastAsia="Arial" w:hAnsi="Arial"/>
          <w:sz w:val="18"/>
          <w:szCs w:val="18"/>
          <w:color w:val="auto"/>
        </w:rPr>
        <w:t>Non-operating income (expense) decreased $13.5 million to $(0.8) million in YTD FY23, compared with $12.7 million in YTD FY22, primarily due to foreign currency transactions impact, net, driven by unfavorable movements of the South Korean won and the New Taiwan dollar against the U.S. dollar exceeding a favorable movement of the RMB against the USD.</w:t>
      </w:r>
    </w:p>
    <w:p>
      <w:pPr>
        <w:spacing w:after="0" w:line="184" w:lineRule="exact"/>
        <w:rPr>
          <w:sz w:val="20"/>
          <w:szCs w:val="20"/>
          <w:color w:val="auto"/>
        </w:rPr>
      </w:pPr>
    </w:p>
    <w:p>
      <w:pPr>
        <w:ind w:right="220" w:firstLine="243"/>
        <w:spacing w:after="0" w:line="277" w:lineRule="auto"/>
        <w:rPr>
          <w:sz w:val="20"/>
          <w:szCs w:val="20"/>
          <w:color w:val="auto"/>
        </w:rPr>
      </w:pPr>
      <w:r>
        <w:rPr>
          <w:rFonts w:ascii="Arial" w:cs="Arial" w:eastAsia="Arial" w:hAnsi="Arial"/>
          <w:sz w:val="18"/>
          <w:szCs w:val="18"/>
          <w:color w:val="auto"/>
        </w:rPr>
        <w:t>Interest income and other income (expense), net, increased to $5.6 million in YTD FY23, compared with $0.5 million in YTD FY22, primarily due to an increase in cash invested and higher interest rates.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20" w:type="dxa"/>
            <w:vAlign w:val="bottom"/>
          </w:tcPr>
          <w:p>
            <w:pPr>
              <w:spacing w:after="0"/>
              <w:rPr>
                <w:sz w:val="20"/>
                <w:szCs w:val="20"/>
                <w:color w:val="auto"/>
              </w:rPr>
            </w:pPr>
            <w:r>
              <w:rPr>
                <w:rFonts w:ascii="Arial" w:cs="Arial" w:eastAsia="Arial" w:hAnsi="Arial"/>
                <w:sz w:val="18"/>
                <w:szCs w:val="18"/>
                <w:b w:val="1"/>
                <w:bCs w:val="1"/>
                <w:i w:val="1"/>
                <w:iCs w:val="1"/>
                <w:color w:val="auto"/>
              </w:rPr>
              <w:t>Income Tax Provision</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39"/>
        </w:trPr>
        <w:tc>
          <w:tcPr>
            <w:tcW w:w="45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Q2 FY23</w:t>
            </w:r>
          </w:p>
        </w:tc>
        <w:tc>
          <w:tcPr>
            <w:tcW w:w="2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Q1 FY23</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Q2 FY22</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YTD FY23</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YTD FY22</w:t>
            </w:r>
          </w:p>
        </w:tc>
        <w:tc>
          <w:tcPr>
            <w:tcW w:w="140" w:type="dxa"/>
            <w:vAlign w:val="bottom"/>
          </w:tcPr>
          <w:p>
            <w:pPr>
              <w:spacing w:after="0"/>
              <w:rPr>
                <w:sz w:val="24"/>
                <w:szCs w:val="24"/>
                <w:color w:val="auto"/>
              </w:rPr>
            </w:pPr>
          </w:p>
        </w:tc>
      </w:tr>
      <w:tr>
        <w:trPr>
          <w:trHeight w:val="216"/>
        </w:trPr>
        <w:tc>
          <w:tcPr>
            <w:tcW w:w="4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0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16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21.3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12.6</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14.4</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ind w:left="680"/>
              <w:spacing w:after="0"/>
              <w:rPr>
                <w:sz w:val="20"/>
                <w:szCs w:val="20"/>
                <w:color w:val="auto"/>
              </w:rPr>
            </w:pPr>
            <w:r>
              <w:rPr>
                <w:rFonts w:ascii="Arial" w:cs="Arial" w:eastAsia="Arial" w:hAnsi="Arial"/>
                <w:sz w:val="18"/>
                <w:szCs w:val="18"/>
                <w:color w:val="auto"/>
                <w:w w:val="85"/>
              </w:rPr>
              <w:t>33.9</w:t>
            </w: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ind w:left="680"/>
              <w:spacing w:after="0"/>
              <w:rPr>
                <w:sz w:val="20"/>
                <w:szCs w:val="20"/>
                <w:color w:val="auto"/>
              </w:rPr>
            </w:pPr>
            <w:r>
              <w:rPr>
                <w:rFonts w:ascii="Arial" w:cs="Arial" w:eastAsia="Arial" w:hAnsi="Arial"/>
                <w:sz w:val="18"/>
                <w:szCs w:val="18"/>
                <w:color w:val="auto"/>
                <w:w w:val="85"/>
              </w:rPr>
              <w:t>25.6</w:t>
            </w:r>
          </w:p>
        </w:tc>
        <w:tc>
          <w:tcPr>
            <w:tcW w:w="140" w:type="dxa"/>
            <w:vAlign w:val="bottom"/>
            <w:shd w:val="clear" w:color="auto" w:fill="CCEEFF"/>
          </w:tcPr>
          <w:p>
            <w:pPr>
              <w:spacing w:after="0"/>
              <w:rPr>
                <w:sz w:val="18"/>
                <w:szCs w:val="18"/>
                <w:color w:val="auto"/>
              </w:rPr>
            </w:pP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Effective income tax rate</w:t>
            </w:r>
          </w:p>
        </w:tc>
        <w:tc>
          <w:tcPr>
            <w:tcW w:w="140" w:type="dxa"/>
            <w:vAlign w:val="bottom"/>
          </w:tcPr>
          <w:p>
            <w:pPr>
              <w:spacing w:after="0"/>
              <w:rPr>
                <w:sz w:val="20"/>
                <w:szCs w:val="20"/>
                <w:color w:val="auto"/>
              </w:rPr>
            </w:pPr>
          </w:p>
        </w:tc>
        <w:tc>
          <w:tcPr>
            <w:tcW w:w="1220" w:type="dxa"/>
            <w:vAlign w:val="bottom"/>
            <w:gridSpan w:val="2"/>
          </w:tcPr>
          <w:p>
            <w:pPr>
              <w:ind w:left="640"/>
              <w:spacing w:after="0"/>
              <w:rPr>
                <w:sz w:val="20"/>
                <w:szCs w:val="20"/>
                <w:color w:val="auto"/>
              </w:rPr>
            </w:pPr>
            <w:r>
              <w:rPr>
                <w:rFonts w:ascii="Arial" w:cs="Arial" w:eastAsia="Arial" w:hAnsi="Arial"/>
                <w:sz w:val="18"/>
                <w:szCs w:val="18"/>
                <w:color w:val="auto"/>
              </w:rPr>
              <w:t>26.5%</w:t>
            </w:r>
          </w:p>
        </w:tc>
        <w:tc>
          <w:tcPr>
            <w:tcW w:w="160" w:type="dxa"/>
            <w:vAlign w:val="bottom"/>
          </w:tcPr>
          <w:p>
            <w:pPr>
              <w:spacing w:after="0"/>
              <w:rPr>
                <w:sz w:val="20"/>
                <w:szCs w:val="20"/>
                <w:color w:val="auto"/>
              </w:rPr>
            </w:pPr>
          </w:p>
        </w:tc>
        <w:tc>
          <w:tcPr>
            <w:tcW w:w="1160" w:type="dxa"/>
            <w:vAlign w:val="bottom"/>
            <w:gridSpan w:val="2"/>
          </w:tcPr>
          <w:p>
            <w:pPr>
              <w:ind w:left="640"/>
              <w:spacing w:after="0"/>
              <w:rPr>
                <w:sz w:val="20"/>
                <w:szCs w:val="20"/>
                <w:color w:val="auto"/>
              </w:rPr>
            </w:pPr>
            <w:r>
              <w:rPr>
                <w:rFonts w:ascii="Arial" w:cs="Arial" w:eastAsia="Arial" w:hAnsi="Arial"/>
                <w:sz w:val="18"/>
                <w:szCs w:val="18"/>
                <w:color w:val="auto"/>
                <w:w w:val="97"/>
              </w:rPr>
              <w:t>30.3%</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ind w:left="640"/>
              <w:spacing w:after="0"/>
              <w:rPr>
                <w:sz w:val="20"/>
                <w:szCs w:val="20"/>
                <w:color w:val="auto"/>
              </w:rPr>
            </w:pPr>
            <w:r>
              <w:rPr>
                <w:rFonts w:ascii="Arial" w:cs="Arial" w:eastAsia="Arial" w:hAnsi="Arial"/>
                <w:sz w:val="18"/>
                <w:szCs w:val="18"/>
                <w:color w:val="auto"/>
                <w:w w:val="97"/>
              </w:rPr>
              <w:t>25.1%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ind w:left="680"/>
              <w:spacing w:after="0"/>
              <w:rPr>
                <w:sz w:val="20"/>
                <w:szCs w:val="20"/>
                <w:color w:val="auto"/>
              </w:rPr>
            </w:pPr>
            <w:r>
              <w:rPr>
                <w:rFonts w:ascii="Arial" w:cs="Arial" w:eastAsia="Arial" w:hAnsi="Arial"/>
                <w:sz w:val="18"/>
                <w:szCs w:val="18"/>
                <w:color w:val="auto"/>
                <w:w w:val="97"/>
              </w:rPr>
              <w:t>27.8%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ind w:left="680"/>
              <w:spacing w:after="0"/>
              <w:rPr>
                <w:sz w:val="20"/>
                <w:szCs w:val="20"/>
                <w:color w:val="auto"/>
              </w:rPr>
            </w:pPr>
            <w:r>
              <w:rPr>
                <w:rFonts w:ascii="Arial" w:cs="Arial" w:eastAsia="Arial" w:hAnsi="Arial"/>
                <w:sz w:val="18"/>
                <w:szCs w:val="18"/>
                <w:color w:val="auto"/>
                <w:w w:val="86"/>
              </w:rPr>
              <w:t>25.5%</w:t>
            </w:r>
          </w:p>
        </w:tc>
      </w:tr>
    </w:tbl>
    <w:p>
      <w:pPr>
        <w:spacing w:after="0" w:line="187"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effective income tax rate is sensitive to the jurisdictional mix of earnings, due in part to the non-recognition of tax benefits on losses in jurisdictions with valuation allowances where the tax benefits of the losses are not available.</w:t>
      </w:r>
    </w:p>
    <w:p>
      <w:pPr>
        <w:spacing w:after="0" w:line="170" w:lineRule="exact"/>
        <w:rPr>
          <w:sz w:val="20"/>
          <w:szCs w:val="20"/>
          <w:color w:val="auto"/>
        </w:rPr>
      </w:pPr>
    </w:p>
    <w:p>
      <w:pPr>
        <w:ind w:right="340" w:firstLine="243"/>
        <w:spacing w:after="0" w:line="277" w:lineRule="auto"/>
        <w:rPr>
          <w:sz w:val="20"/>
          <w:szCs w:val="20"/>
          <w:color w:val="auto"/>
        </w:rPr>
      </w:pPr>
      <w:r>
        <w:rPr>
          <w:rFonts w:ascii="Arial" w:cs="Arial" w:eastAsia="Arial" w:hAnsi="Arial"/>
          <w:sz w:val="18"/>
          <w:szCs w:val="18"/>
          <w:color w:val="auto"/>
        </w:rPr>
        <w:t>The effective income tax rate decrease in Q2 FY23, compared with Q1 FY23, is primarily due to changes in the jurisdictional mix of earnings and a decrease in foreign taxes in Q2 FY23.</w:t>
      </w:r>
    </w:p>
    <w:p>
      <w:pPr>
        <w:spacing w:after="0" w:line="170" w:lineRule="exact"/>
        <w:rPr>
          <w:sz w:val="20"/>
          <w:szCs w:val="20"/>
          <w:color w:val="auto"/>
        </w:rPr>
      </w:pPr>
    </w:p>
    <w:p>
      <w:pPr>
        <w:ind w:right="280" w:firstLine="243"/>
        <w:spacing w:after="0" w:line="277" w:lineRule="auto"/>
        <w:rPr>
          <w:sz w:val="20"/>
          <w:szCs w:val="20"/>
          <w:color w:val="auto"/>
        </w:rPr>
      </w:pPr>
      <w:r>
        <w:rPr>
          <w:rFonts w:ascii="Arial" w:cs="Arial" w:eastAsia="Arial" w:hAnsi="Arial"/>
          <w:sz w:val="18"/>
          <w:szCs w:val="18"/>
          <w:color w:val="auto"/>
        </w:rPr>
        <w:t>The effective income tax rate increase in Q2 FY23, compared with Q2 FY22, is primarily due to changes in the jurisdictional mix of earnings and an increase in foreign taxes in Q2 FY23.</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right="20" w:firstLine="243"/>
        <w:spacing w:after="0" w:line="277" w:lineRule="auto"/>
        <w:rPr>
          <w:sz w:val="20"/>
          <w:szCs w:val="20"/>
          <w:color w:val="auto"/>
        </w:rPr>
      </w:pPr>
      <w:r>
        <w:rPr>
          <w:rFonts w:ascii="Arial" w:cs="Arial" w:eastAsia="Arial" w:hAnsi="Arial"/>
          <w:sz w:val="18"/>
          <w:szCs w:val="18"/>
          <w:color w:val="auto"/>
        </w:rPr>
        <w:t>The effective income tax rate increase in YTD FY23 compared with YTD FY22, is primarily due to changes in the jurisdictional mix of earnings and an increase in foreign taxes in Q2 FY23.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Attributable to Noncontrolling Interests</w:t>
      </w:r>
    </w:p>
    <w:p>
      <w:pPr>
        <w:spacing w:after="0" w:line="225" w:lineRule="exact"/>
        <w:rPr>
          <w:sz w:val="20"/>
          <w:szCs w:val="20"/>
          <w:color w:val="auto"/>
        </w:rPr>
      </w:pPr>
    </w:p>
    <w:p>
      <w:pPr>
        <w:ind w:right="200" w:firstLine="243"/>
        <w:spacing w:after="0" w:line="308" w:lineRule="auto"/>
        <w:rPr>
          <w:sz w:val="20"/>
          <w:szCs w:val="20"/>
          <w:color w:val="auto"/>
        </w:rPr>
      </w:pPr>
      <w:r>
        <w:rPr>
          <w:rFonts w:ascii="Arial" w:cs="Arial" w:eastAsia="Arial" w:hAnsi="Arial"/>
          <w:sz w:val="17"/>
          <w:szCs w:val="17"/>
          <w:color w:val="auto"/>
        </w:rPr>
        <w:t>Net income attributable to noncontrolling interests was $19.3 million in Q2 FY23, compared with $15.0 million in Q1 FY23, and $15.6 million in Q2 FY22. The increases from Q2 FY22 to Q2 FY23 resulted from increased net income at our Taiwan-based and China-based IC joint ventures.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0" w:firstLine="243"/>
        <w:spacing w:after="0" w:line="271" w:lineRule="auto"/>
        <w:rPr>
          <w:sz w:val="20"/>
          <w:szCs w:val="20"/>
          <w:color w:val="auto"/>
        </w:rPr>
      </w:pPr>
      <w:r>
        <w:rPr>
          <w:rFonts w:ascii="Arial" w:cs="Arial" w:eastAsia="Arial" w:hAnsi="Arial"/>
          <w:sz w:val="17"/>
          <w:szCs w:val="17"/>
          <w:i w:val="1"/>
          <w:iCs w:val="1"/>
          <w:color w:val="auto"/>
        </w:rPr>
        <w:t xml:space="preserve">Cash and cash equivalents </w:t>
      </w:r>
      <w:r>
        <w:rPr>
          <w:rFonts w:ascii="Arial" w:cs="Arial" w:eastAsia="Arial" w:hAnsi="Arial"/>
          <w:sz w:val="17"/>
          <w:szCs w:val="17"/>
          <w:color w:val="auto"/>
        </w:rPr>
        <w:t>were $367.5 million and $319.7 million as of April 30, 2023, and October 31, 2022, respectively. As of the most recent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balance sheet date, total cash and cash equivalents included $352.4 million held by foreign subsidiaries. Net Cash, a non-GAAP financial measure as defined and discussed in the </w:t>
      </w:r>
      <w:r>
        <w:rPr>
          <w:rFonts w:ascii="Arial" w:cs="Arial" w:eastAsia="Arial" w:hAnsi="Arial"/>
          <w:sz w:val="17"/>
          <w:szCs w:val="17"/>
          <w:i w:val="1"/>
          <w:iCs w:val="1"/>
          <w:color w:val="auto"/>
        </w:rPr>
        <w:t>Non-GAAP Financial Measures</w:t>
      </w:r>
      <w:r>
        <w:rPr>
          <w:rFonts w:ascii="Arial" w:cs="Arial" w:eastAsia="Arial" w:hAnsi="Arial"/>
          <w:sz w:val="17"/>
          <w:szCs w:val="17"/>
          <w:color w:val="auto"/>
        </w:rPr>
        <w:t xml:space="preserve"> section below, was $339.2 million and $277.4 million as of April 30, 2023, and October 31, 2022, respectively. Our primary sources of liquidity are our cash on hand, cash we generate from operations, and borrowing capacity we have available from financial institutions. Our corporate credit agreement has a $50 million borrowing limit, with an expansion capacity to $100 million. Although we have not accessed funds under our corporate credit facilities since 2011, it continues to afford us financial flexibility. In addition, in China, we currently have approximately $25.0 million of borrowing capacity to support local operations. See Note 6 to the condensed consolidated financial statements for additional information on our currently available financing.</w:t>
      </w:r>
    </w:p>
    <w:p>
      <w:pPr>
        <w:spacing w:after="0" w:line="178" w:lineRule="exact"/>
        <w:rPr>
          <w:sz w:val="20"/>
          <w:szCs w:val="20"/>
          <w:color w:val="auto"/>
        </w:rPr>
      </w:pPr>
    </w:p>
    <w:p>
      <w:pPr>
        <w:ind w:right="20" w:firstLine="243"/>
        <w:spacing w:after="0" w:line="290" w:lineRule="auto"/>
        <w:rPr>
          <w:sz w:val="20"/>
          <w:szCs w:val="20"/>
          <w:color w:val="auto"/>
        </w:rPr>
      </w:pPr>
      <w:r>
        <w:rPr>
          <w:rFonts w:ascii="Arial" w:cs="Arial" w:eastAsia="Arial" w:hAnsi="Arial"/>
          <w:sz w:val="16"/>
          <w:szCs w:val="16"/>
          <w:color w:val="auto"/>
        </w:rPr>
        <w:t>We continually evaluate alternatives for efficiently funding our capital expenditures and ongoing operations. These reviews may result in our engagement in a variety of investing and financing transactions, in the transfer of cash among subsidiaries, and/or the repatriation of cash to the U.S. The transfer of funds among subsidiaries could be subject to foreign withholding taxes; in certain jurisdictions, repatriation of these funds to the U.S. may subject them to U.S. state income taxes and/or local country withholding taxes. We believe that our liquidity, including available financing, is sufficient to meet our requirements through the next twelve months and thereafter for the foreseeable future. Through the utilization of our existing liquidity, cash we generate from operations, short-term investments, and (potentially) our borrowing capacity under our financing arrangements, we plan to continue to invest in our business, with our investments targeted to align with our customers’ technology road maps. We may also elect to use our cash to reduce our debt through early repayments. In addition, we stand ready to invest in mergers, acquisitions, or strategic partnerships, should a suitable opportunity arise.</w:t>
      </w:r>
    </w:p>
    <w:p>
      <w:pPr>
        <w:spacing w:after="0" w:line="165" w:lineRule="exact"/>
        <w:rPr>
          <w:sz w:val="20"/>
          <w:szCs w:val="20"/>
          <w:color w:val="auto"/>
        </w:rPr>
      </w:pPr>
    </w:p>
    <w:p>
      <w:pPr>
        <w:ind w:right="20" w:firstLine="243"/>
        <w:spacing w:after="0" w:line="273" w:lineRule="auto"/>
        <w:rPr>
          <w:sz w:val="20"/>
          <w:szCs w:val="20"/>
          <w:color w:val="auto"/>
        </w:rPr>
      </w:pPr>
      <w:r>
        <w:rPr>
          <w:rFonts w:ascii="Arial" w:cs="Arial" w:eastAsia="Arial" w:hAnsi="Arial"/>
          <w:sz w:val="17"/>
          <w:szCs w:val="17"/>
          <w:color w:val="auto"/>
        </w:rPr>
        <w:t>We estimate capital expenditures for full year FY23 will be approximately $130.0 million; these investments will be targeted towards high-end and mainstream IC capacity and efficiency, and enable us to support our customers’ near-term demands. As of April 30, 2023, we had outstanding capital commitments of approximately $113.1 million and recognized liabilities related to capital equipment purchases of approximately $15.5 million. Although payment timing could vary, primarily as a result of the timing of tool delivery, installation, and testing, we currently estimate that we will fund $94.0 million of our total $128.6 million committed and recognized obligations for capital expenditures over the next twelve months. Please refer to Note 6 to the condensed consolidated financial statements for information on our outstanding debt.</w:t>
      </w:r>
    </w:p>
    <w:p>
      <w:pPr>
        <w:spacing w:after="0" w:line="178" w:lineRule="exact"/>
        <w:rPr>
          <w:sz w:val="20"/>
          <w:szCs w:val="20"/>
          <w:color w:val="auto"/>
        </w:rPr>
      </w:pPr>
    </w:p>
    <w:p>
      <w:pPr>
        <w:ind w:firstLine="243"/>
        <w:spacing w:after="0" w:line="272" w:lineRule="auto"/>
        <w:rPr>
          <w:sz w:val="20"/>
          <w:szCs w:val="20"/>
          <w:color w:val="auto"/>
        </w:rPr>
      </w:pPr>
      <w:r>
        <w:rPr>
          <w:rFonts w:ascii="Arial" w:cs="Arial" w:eastAsia="Arial" w:hAnsi="Arial"/>
          <w:sz w:val="17"/>
          <w:szCs w:val="17"/>
          <w:color w:val="auto"/>
        </w:rPr>
        <w:t>In September 2020, the Company’s board of directors authorized the repurchase of up to $100 million of its common stock, pursuant to a repurchase plan under Rule 10b5-1 of the Securities Act. This authorization does not obligate the Company to repurchase any dollar amount or number of shares of common stock. As of April 30, 2023, our current share repurchase program had approximately $31.7 million remaining under its authorization. Depending on market conditions, we may utilize some or the entire remaining approved amount to reacquire additional shares. On August 16, 2022, the Inflation Reduction Act (“IRA”) was enacted in the U.S. Among other provisions, the IRA included a one percent excise tax on corporate share repurchases. The one percent excise tax on share repurchases applies to shares repurchased after December 31, 2022, and excludes repurchases under $1 million. We do not anticipate that the IRA will have a material effect on our liquidity.</w:t>
      </w:r>
    </w:p>
    <w:p>
      <w:pPr>
        <w:spacing w:after="0" w:line="177" w:lineRule="exact"/>
        <w:rPr>
          <w:sz w:val="20"/>
          <w:szCs w:val="20"/>
          <w:color w:val="auto"/>
        </w:rPr>
      </w:pPr>
    </w:p>
    <w:p>
      <w:pPr>
        <w:ind w:right="60" w:firstLine="243"/>
        <w:spacing w:after="0" w:line="296" w:lineRule="auto"/>
        <w:rPr>
          <w:sz w:val="20"/>
          <w:szCs w:val="20"/>
          <w:color w:val="auto"/>
        </w:rPr>
      </w:pPr>
      <w:r>
        <w:rPr>
          <w:rFonts w:ascii="Arial" w:cs="Arial" w:eastAsia="Arial" w:hAnsi="Arial"/>
          <w:sz w:val="16"/>
          <w:szCs w:val="16"/>
          <w:color w:val="auto"/>
        </w:rPr>
        <w:t>As discussed in Note 5 to the condensed consolidated financial statements, DNP, the noncontrolling interest in our China-based joint venture has, under certain circumstances, the right to put its interest in the joint venture to Photronics, or to purchase our interest in the joint venture. Under all such circumstances, the sale of DNP’s interest would be at its ownership percentage of the joint venture’s net book value, with closing to take place within three business days of obtaining required approvals and clearance. As of the date of issuance of this report, DNP had not indicated its intention to exercise this right. As of April 30, 2023, Photronics and DNP each had net investments in this joint venture of approximately $110.9 million.</w:t>
      </w: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Arial" w:cs="Arial" w:eastAsia="Arial" w:hAnsi="Arial"/>
                <w:sz w:val="14"/>
                <w:szCs w:val="14"/>
                <w:i w:val="1"/>
                <w:iCs w:val="1"/>
                <w:color w:val="0000EE"/>
                <w:w w:val="90"/>
              </w:rPr>
              <w:t>Table of Contents</w:t>
            </w:r>
          </w:p>
        </w:tc>
        <w:tc>
          <w:tcPr>
            <w:tcW w:w="7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85"/>
        </w:trPr>
        <w:tc>
          <w:tcPr>
            <w:tcW w:w="86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Cash Flows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102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9"/>
              </w:rPr>
              <w:t>YTD FY23</w:t>
            </w:r>
          </w:p>
        </w:tc>
        <w:tc>
          <w:tcPr>
            <w:tcW w:w="120" w:type="dxa"/>
            <w:vAlign w:val="bottom"/>
          </w:tcPr>
          <w:p>
            <w:pPr>
              <w:spacing w:after="0"/>
              <w:rPr>
                <w:sz w:val="24"/>
                <w:szCs w:val="24"/>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9"/>
              </w:rPr>
              <w:t>YTD FY22</w:t>
            </w:r>
          </w:p>
        </w:tc>
      </w:tr>
      <w:tr>
        <w:trPr>
          <w:trHeight w:val="223"/>
        </w:trPr>
        <w:tc>
          <w:tcPr>
            <w:tcW w:w="8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6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(62.3)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(33.6)</w:t>
            </w:r>
          </w:p>
        </w:tc>
      </w:tr>
      <w:tr>
        <w:trPr>
          <w:trHeight w:val="223"/>
        </w:trPr>
        <w:tc>
          <w:tcPr>
            <w:tcW w:w="8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ind w:right="100" w:firstLine="243"/>
        <w:spacing w:after="0" w:line="259" w:lineRule="auto"/>
        <w:rPr>
          <w:sz w:val="20"/>
          <w:szCs w:val="20"/>
          <w:color w:val="auto"/>
        </w:rPr>
      </w:pPr>
      <w:r>
        <w:rPr>
          <w:rFonts w:ascii="Arial" w:cs="Arial" w:eastAsia="Arial" w:hAnsi="Arial"/>
          <w:sz w:val="18"/>
          <w:szCs w:val="18"/>
          <w:u w:val="single" w:color="auto"/>
          <w:color w:val="auto"/>
        </w:rPr>
        <w:t>Operating Activities:</w:t>
      </w:r>
      <w:r>
        <w:rPr>
          <w:rFonts w:ascii="Arial" w:cs="Arial" w:eastAsia="Arial" w:hAnsi="Arial"/>
          <w:sz w:val="18"/>
          <w:szCs w:val="18"/>
          <w:color w:val="auto"/>
        </w:rPr>
        <w:t xml:space="preserve"> </w:t>
      </w:r>
      <w:r>
        <w:rPr>
          <w:rFonts w:ascii="Arial" w:cs="Arial" w:eastAsia="Arial" w:hAnsi="Arial"/>
          <w:sz w:val="18"/>
          <w:szCs w:val="18"/>
          <w:i w:val="1"/>
          <w:iCs w:val="1"/>
          <w:color w:val="auto"/>
        </w:rPr>
        <w:t>Net cash provided by operating activities</w:t>
      </w:r>
      <w:r>
        <w:rPr>
          <w:rFonts w:ascii="Arial" w:cs="Arial" w:eastAsia="Arial" w:hAnsi="Arial"/>
          <w:sz w:val="18"/>
          <w:szCs w:val="18"/>
          <w:color w:val="auto"/>
        </w:rPr>
        <w:t xml:space="preserve"> reflects net income adjusted for certain non-cash items, including depreciation and amortization, share-based compensation, and the impacts of cash from changes in operating assets and liabilities. Net cash provided by operating activities increased by $6.4 million in YTD FY23, compared with YTD FY22, due to increased net income partially offset by cash used from changes in working capital.</w:t>
      </w:r>
    </w:p>
    <w:p>
      <w:pPr>
        <w:spacing w:after="0" w:line="187"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 xml:space="preserve">Free Cash Flow and LTM (“Last Twelve Months”) Free Cash Flow, which are non-GAAP financial measures as discussed in the “Non-GAAP Financial Measures” section below, decreased by $16.5 million and increased by $20.7 million, respectively, compared with YTD FY22, primarily due to the increase in </w:t>
      </w:r>
      <w:r>
        <w:rPr>
          <w:rFonts w:ascii="Arial" w:cs="Arial" w:eastAsia="Arial" w:hAnsi="Arial"/>
          <w:sz w:val="17"/>
          <w:szCs w:val="17"/>
          <w:i w:val="1"/>
          <w:iCs w:val="1"/>
          <w:color w:val="auto"/>
        </w:rPr>
        <w:t>Net cash provided by operating activities</w:t>
      </w:r>
      <w:r>
        <w:rPr>
          <w:rFonts w:ascii="Arial" w:cs="Arial" w:eastAsia="Arial" w:hAnsi="Arial"/>
          <w:sz w:val="17"/>
          <w:szCs w:val="17"/>
          <w:color w:val="auto"/>
        </w:rPr>
        <w:t xml:space="preserve"> discussed above and an increase in spending on property, plant, and equipment.</w:t>
      </w:r>
    </w:p>
    <w:p>
      <w:pPr>
        <w:spacing w:after="0" w:line="165" w:lineRule="exact"/>
        <w:rPr>
          <w:sz w:val="20"/>
          <w:szCs w:val="20"/>
          <w:color w:val="auto"/>
        </w:rPr>
      </w:pPr>
    </w:p>
    <w:p>
      <w:pPr>
        <w:ind w:right="280" w:firstLine="243"/>
        <w:spacing w:after="0" w:line="263" w:lineRule="auto"/>
        <w:rPr>
          <w:sz w:val="20"/>
          <w:szCs w:val="20"/>
          <w:color w:val="auto"/>
        </w:rPr>
      </w:pPr>
      <w:r>
        <w:rPr>
          <w:rFonts w:ascii="Arial" w:cs="Arial" w:eastAsia="Arial" w:hAnsi="Arial"/>
          <w:sz w:val="18"/>
          <w:szCs w:val="18"/>
          <w:u w:val="single" w:color="auto"/>
          <w:color w:val="auto"/>
        </w:rPr>
        <w:t>Investing Activities:</w:t>
      </w:r>
      <w:r>
        <w:rPr>
          <w:rFonts w:ascii="Arial" w:cs="Arial" w:eastAsia="Arial" w:hAnsi="Arial"/>
          <w:sz w:val="18"/>
          <w:szCs w:val="18"/>
          <w:color w:val="auto"/>
        </w:rPr>
        <w:t xml:space="preserve"> </w:t>
      </w:r>
      <w:r>
        <w:rPr>
          <w:rFonts w:ascii="Arial" w:cs="Arial" w:eastAsia="Arial" w:hAnsi="Arial"/>
          <w:sz w:val="18"/>
          <w:szCs w:val="18"/>
          <w:i w:val="1"/>
          <w:iCs w:val="1"/>
          <w:color w:val="auto"/>
        </w:rPr>
        <w:t>Net cash flows used in investing activities</w:t>
      </w:r>
      <w:r>
        <w:rPr>
          <w:rFonts w:ascii="Arial" w:cs="Arial" w:eastAsia="Arial" w:hAnsi="Arial"/>
          <w:sz w:val="18"/>
          <w:szCs w:val="18"/>
          <w:color w:val="auto"/>
        </w:rPr>
        <w:t xml:space="preserve"> primarily consisted of purchases of property, plant, and equipment of $57.7 million, which increased $22.9 million and purchases of available-for-sale debt securities of $9.8 million, which increased $9.8 million in YTD FY23, compared with YTD FY22.</w:t>
      </w:r>
    </w:p>
    <w:p>
      <w:pPr>
        <w:spacing w:after="0" w:line="184" w:lineRule="exact"/>
        <w:rPr>
          <w:sz w:val="20"/>
          <w:szCs w:val="20"/>
          <w:color w:val="auto"/>
        </w:rPr>
      </w:pPr>
    </w:p>
    <w:p>
      <w:pPr>
        <w:ind w:right="240" w:firstLine="243"/>
        <w:spacing w:after="0" w:line="263" w:lineRule="auto"/>
        <w:rPr>
          <w:sz w:val="20"/>
          <w:szCs w:val="20"/>
          <w:color w:val="auto"/>
        </w:rPr>
      </w:pPr>
      <w:r>
        <w:rPr>
          <w:rFonts w:ascii="Arial" w:cs="Arial" w:eastAsia="Arial" w:hAnsi="Arial"/>
          <w:sz w:val="18"/>
          <w:szCs w:val="18"/>
          <w:u w:val="single" w:color="auto"/>
          <w:color w:val="auto"/>
        </w:rPr>
        <w:t>Financing Activities:</w:t>
      </w:r>
      <w:r>
        <w:rPr>
          <w:rFonts w:ascii="Arial" w:cs="Arial" w:eastAsia="Arial" w:hAnsi="Arial"/>
          <w:sz w:val="18"/>
          <w:szCs w:val="18"/>
          <w:color w:val="auto"/>
        </w:rPr>
        <w:t xml:space="preserve"> Net cash used in financing activities increased by $13.0 million in YTD FY23, compared with YTD FY22, primarily due to contributions from noncontrolling interests in our majority owned subsidiaries in Taiwan and China of $25.0 million in YTD FY22, which did not repeat during YTD FY23, and decreased debt repayments of $12.9 million.</w:t>
      </w:r>
    </w:p>
    <w:p>
      <w:pPr>
        <w:spacing w:after="0" w:line="184" w:lineRule="exact"/>
        <w:rPr>
          <w:sz w:val="20"/>
          <w:szCs w:val="20"/>
          <w:color w:val="auto"/>
        </w:rPr>
      </w:pPr>
    </w:p>
    <w:p>
      <w:pPr>
        <w:ind w:right="320" w:firstLine="243"/>
        <w:spacing w:after="0" w:line="342" w:lineRule="auto"/>
        <w:rPr>
          <w:sz w:val="20"/>
          <w:szCs w:val="20"/>
          <w:color w:val="auto"/>
        </w:rPr>
      </w:pPr>
      <w:r>
        <w:rPr>
          <w:rFonts w:ascii="Arial" w:cs="Arial" w:eastAsia="Arial" w:hAnsi="Arial"/>
          <w:sz w:val="16"/>
          <w:szCs w:val="16"/>
          <w:color w:val="auto"/>
        </w:rPr>
        <w:t>The increase in our cash balance from YTD FY22 was favorably impacted by the effects of exchange rate changes in the amount of $15.6 million in YTD FY23, which was in contrast to the $14.9 million unfavorable impact effect of exchange rate changes had on our cash balance in YTD FY22.</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25" w:lineRule="exact"/>
        <w:rPr>
          <w:sz w:val="20"/>
          <w:szCs w:val="20"/>
          <w:color w:val="auto"/>
        </w:rPr>
      </w:pPr>
    </w:p>
    <w:p>
      <w:pPr>
        <w:ind w:right="40" w:firstLine="243"/>
        <w:spacing w:after="0" w:line="269" w:lineRule="auto"/>
        <w:rPr>
          <w:sz w:val="20"/>
          <w:szCs w:val="20"/>
          <w:color w:val="auto"/>
        </w:rPr>
      </w:pPr>
      <w:r>
        <w:rPr>
          <w:rFonts w:ascii="Arial" w:cs="Arial" w:eastAsia="Arial" w:hAnsi="Arial"/>
          <w:sz w:val="17"/>
          <w:szCs w:val="17"/>
          <w:color w:val="auto"/>
        </w:rPr>
        <w:t>Non-GAAP Net Income attributable to Photronics, Inc. shareholders and non-GAAP earnings per share, Free Cash Flow, LTM Free Cash Flow, and Net Cash are "non-GAAP financial measures" as such term is defined by the Securities and Exchange Commission and may differ from similarly named non-GAAP financial measures used by other companies. The financial tables below reconcile Photronics, Inc. financial results under GAAP to non-GAAP financial information. We believe these non-GAAP financial measures that exclude certain items are useful for analysts and investors to evaluate our future on-going performance because they enable a more meaningful comparison of our projected performance with our historical results. These non-GAAP metrics are not intended to represent funds available for our discretionary use and are not intended to represent, or be used as a substitute for, net income attributable to Photronics, Inc. shareholders, diluted earnings per share, cash and cash equivalents, or cash flows from operations, as measured under GAAP. The items excluded from these non-GAAP metrics but included in the calculation of their closest GAAP equivalent, are significant components of the condensed consolidated statements of income, condensed consolidated balance sheets and statement of cash flows and must be considered in performing a comprehensive assessment of overall financial performance.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34" w:name="page35"/>
    <w:bookmarkEnd w:id="34"/>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xml:space="preserve">The following table reconciles </w:t>
      </w:r>
      <w:r>
        <w:rPr>
          <w:rFonts w:ascii="Arial" w:cs="Arial" w:eastAsia="Arial" w:hAnsi="Arial"/>
          <w:sz w:val="18"/>
          <w:szCs w:val="18"/>
          <w:i w:val="1"/>
          <w:iCs w:val="1"/>
          <w:color w:val="auto"/>
        </w:rPr>
        <w:t>GAAP to Non-GAAP Income</w:t>
      </w:r>
      <w:r>
        <w:rPr>
          <w:rFonts w:ascii="Arial" w:cs="Arial" w:eastAsia="Arial" w:hAnsi="Arial"/>
          <w:sz w:val="18"/>
          <w:szCs w:val="18"/>
          <w:color w:val="auto"/>
        </w:rPr>
        <w:t xml:space="preserve"> at the balance sheet dates. The columns may not foot due to rounding.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20" w:type="dxa"/>
            <w:vAlign w:val="bottom"/>
            <w:gridSpan w:val="7"/>
          </w:tcPr>
          <w:p>
            <w:pPr>
              <w:jc w:val="center"/>
              <w:ind w:left="610"/>
              <w:spacing w:after="0"/>
              <w:rPr>
                <w:sz w:val="20"/>
                <w:szCs w:val="20"/>
                <w:color w:val="auto"/>
              </w:rPr>
            </w:pPr>
            <w:r>
              <w:rPr>
                <w:rFonts w:ascii="Arial" w:cs="Arial" w:eastAsia="Arial" w:hAnsi="Arial"/>
                <w:sz w:val="18"/>
                <w:szCs w:val="18"/>
                <w:b w:val="1"/>
                <w:bCs w:val="1"/>
                <w:color w:val="auto"/>
                <w:w w:val="89"/>
              </w:rPr>
              <w:t>Three Months ended</w:t>
            </w: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8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rPr>
              <w:t>Six Months ended</w:t>
            </w:r>
          </w:p>
        </w:tc>
      </w:tr>
      <w:tr>
        <w:trPr>
          <w:trHeight w:val="198"/>
        </w:trPr>
        <w:tc>
          <w:tcPr>
            <w:tcW w:w="5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gridSpan w:val="2"/>
          </w:tcPr>
          <w:p>
            <w:pPr>
              <w:jc w:val="right"/>
              <w:ind w:right="300"/>
              <w:spacing w:after="0" w:line="198" w:lineRule="exact"/>
              <w:rPr>
                <w:sz w:val="20"/>
                <w:szCs w:val="20"/>
                <w:color w:val="auto"/>
              </w:rPr>
            </w:pPr>
            <w:r>
              <w:rPr>
                <w:rFonts w:ascii="Arial" w:cs="Arial" w:eastAsia="Arial" w:hAnsi="Arial"/>
                <w:sz w:val="18"/>
                <w:szCs w:val="18"/>
                <w:b w:val="1"/>
                <w:bCs w:val="1"/>
                <w:color w:val="auto"/>
                <w:w w:val="98"/>
              </w:rPr>
              <w:t>April 30,</w:t>
            </w:r>
          </w:p>
        </w:tc>
        <w:tc>
          <w:tcPr>
            <w:tcW w:w="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3"/>
          </w:tcPr>
          <w:p>
            <w:pPr>
              <w:jc w:val="center"/>
              <w:ind w:right="180"/>
              <w:spacing w:after="0" w:line="198" w:lineRule="exact"/>
              <w:rPr>
                <w:sz w:val="20"/>
                <w:szCs w:val="20"/>
                <w:color w:val="auto"/>
              </w:rPr>
            </w:pPr>
            <w:r>
              <w:rPr>
                <w:rFonts w:ascii="Arial" w:cs="Arial" w:eastAsia="Arial" w:hAnsi="Arial"/>
                <w:sz w:val="18"/>
                <w:szCs w:val="18"/>
                <w:b w:val="1"/>
                <w:bCs w:val="1"/>
                <w:color w:val="auto"/>
                <w:w w:val="92"/>
              </w:rPr>
              <w:t>January 29,</w:t>
            </w: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130"/>
              <w:spacing w:after="0" w:line="198" w:lineRule="exact"/>
              <w:rPr>
                <w:sz w:val="20"/>
                <w:szCs w:val="20"/>
                <w:color w:val="auto"/>
              </w:rPr>
            </w:pPr>
            <w:r>
              <w:rPr>
                <w:rFonts w:ascii="Arial" w:cs="Arial" w:eastAsia="Arial" w:hAnsi="Arial"/>
                <w:sz w:val="18"/>
                <w:szCs w:val="18"/>
                <w:b w:val="1"/>
                <w:bCs w:val="1"/>
                <w:color w:val="auto"/>
              </w:rPr>
              <w:t>May 1,</w:t>
            </w: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jc w:val="right"/>
              <w:ind w:right="360"/>
              <w:spacing w:after="0" w:line="198" w:lineRule="exact"/>
              <w:rPr>
                <w:sz w:val="20"/>
                <w:szCs w:val="20"/>
                <w:color w:val="auto"/>
              </w:rPr>
            </w:pPr>
            <w:r>
              <w:rPr>
                <w:rFonts w:ascii="Arial" w:cs="Arial" w:eastAsia="Arial" w:hAnsi="Arial"/>
                <w:sz w:val="18"/>
                <w:szCs w:val="18"/>
                <w:b w:val="1"/>
                <w:bCs w:val="1"/>
                <w:color w:val="auto"/>
                <w:w w:val="98"/>
              </w:rPr>
              <w:t>April 30,</w:t>
            </w: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150"/>
              <w:spacing w:after="0" w:line="198" w:lineRule="exact"/>
              <w:rPr>
                <w:sz w:val="20"/>
                <w:szCs w:val="20"/>
                <w:color w:val="auto"/>
              </w:rPr>
            </w:pPr>
            <w:r>
              <w:rPr>
                <w:rFonts w:ascii="Arial" w:cs="Arial" w:eastAsia="Arial" w:hAnsi="Arial"/>
                <w:sz w:val="18"/>
                <w:szCs w:val="18"/>
                <w:b w:val="1"/>
                <w:bCs w:val="1"/>
                <w:color w:val="auto"/>
              </w:rPr>
              <w:t>May 1,</w:t>
            </w:r>
          </w:p>
        </w:tc>
        <w:tc>
          <w:tcPr>
            <w:tcW w:w="100" w:type="dxa"/>
            <w:vAlign w:val="bottom"/>
          </w:tcPr>
          <w:p>
            <w:pPr>
              <w:spacing w:after="0"/>
              <w:rPr>
                <w:sz w:val="17"/>
                <w:szCs w:val="17"/>
                <w:color w:val="auto"/>
              </w:rPr>
            </w:pPr>
          </w:p>
        </w:tc>
      </w:tr>
      <w:tr>
        <w:trPr>
          <w:trHeight w:val="241"/>
        </w:trPr>
        <w:tc>
          <w:tcPr>
            <w:tcW w:w="5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2023</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2023</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432"/>
        </w:trPr>
        <w:tc>
          <w:tcPr>
            <w:tcW w:w="5240" w:type="dxa"/>
            <w:vAlign w:val="bottom"/>
          </w:tcPr>
          <w:p>
            <w:pPr>
              <w:spacing w:after="0"/>
              <w:rPr>
                <w:sz w:val="20"/>
                <w:szCs w:val="20"/>
                <w:color w:val="auto"/>
              </w:rPr>
            </w:pPr>
            <w:r>
              <w:rPr>
                <w:rFonts w:ascii="Arial" w:cs="Arial" w:eastAsia="Arial" w:hAnsi="Arial"/>
                <w:sz w:val="18"/>
                <w:szCs w:val="18"/>
                <w:b w:val="1"/>
                <w:bCs w:val="1"/>
                <w:i w:val="1"/>
                <w:iCs w:val="1"/>
                <w:color w:val="auto"/>
              </w:rPr>
              <w:t>Reconciliation of GAAP to Non-GAAP Net Income:</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GAAP 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39,929</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27,432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53,915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50,496</w:t>
            </w:r>
          </w:p>
        </w:tc>
      </w:tr>
      <w:tr>
        <w:trPr>
          <w:trHeight w:val="216"/>
        </w:trPr>
        <w:tc>
          <w:tcPr>
            <w:tcW w:w="5240" w:type="dxa"/>
            <w:vAlign w:val="bottom"/>
          </w:tcPr>
          <w:p>
            <w:pPr>
              <w:ind w:left="180"/>
              <w:spacing w:after="0"/>
              <w:rPr>
                <w:sz w:val="20"/>
                <w:szCs w:val="20"/>
                <w:color w:val="auto"/>
              </w:rPr>
            </w:pPr>
            <w:r>
              <w:rPr>
                <w:rFonts w:ascii="Arial" w:cs="Arial" w:eastAsia="Arial" w:hAnsi="Arial"/>
                <w:sz w:val="18"/>
                <w:szCs w:val="18"/>
                <w:color w:val="auto"/>
              </w:rPr>
              <w:t>FX (gain) loss</w:t>
            </w:r>
          </w:p>
        </w:tc>
        <w:tc>
          <w:tcPr>
            <w:tcW w:w="1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(10,718)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16,944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(7,844)</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6,226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(13,112)</w:t>
            </w:r>
          </w:p>
        </w:tc>
      </w:tr>
      <w:tr>
        <w:trPr>
          <w:trHeight w:val="216"/>
        </w:trPr>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Estimated tax effects of above</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(4,506)</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(1,683)</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3,284</w:t>
            </w:r>
          </w:p>
        </w:tc>
      </w:tr>
      <w:tr>
        <w:trPr>
          <w:trHeight w:val="223"/>
        </w:trPr>
        <w:tc>
          <w:tcPr>
            <w:tcW w:w="5240" w:type="dxa"/>
            <w:vAlign w:val="bottom"/>
          </w:tcPr>
          <w:p>
            <w:pPr>
              <w:ind w:left="180"/>
              <w:spacing w:after="0"/>
              <w:rPr>
                <w:sz w:val="20"/>
                <w:szCs w:val="20"/>
                <w:color w:val="auto"/>
              </w:rPr>
            </w:pPr>
            <w:r>
              <w:rPr>
                <w:rFonts w:ascii="Arial" w:cs="Arial" w:eastAsia="Arial" w:hAnsi="Arial"/>
                <w:sz w:val="18"/>
                <w:szCs w:val="18"/>
                <w:color w:val="auto"/>
              </w:rPr>
              <w:t>Estimated noncontrolling interest effects of above</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(2,060)</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1,543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(1,159)</w:t>
            </w:r>
          </w:p>
        </w:tc>
        <w:tc>
          <w:tcPr>
            <w:tcW w:w="16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1,639</w:t>
            </w:r>
          </w:p>
        </w:tc>
      </w:tr>
      <w:tr>
        <w:trPr>
          <w:trHeight w:val="257"/>
        </w:trPr>
        <w:tc>
          <w:tcPr>
            <w:tcW w:w="5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Non-GAAP Net Income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32,935</w:t>
            </w: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24,364</w:t>
            </w:r>
          </w:p>
        </w:tc>
        <w:tc>
          <w:tcPr>
            <w:tcW w:w="1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23,078</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57,299</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42,307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5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r>
      <w:tr>
        <w:trPr>
          <w:trHeight w:val="223"/>
        </w:trPr>
        <w:tc>
          <w:tcPr>
            <w:tcW w:w="52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b w:val="1"/>
                <w:bCs w:val="1"/>
                <w:color w:val="auto"/>
                <w:w w:val="90"/>
              </w:rPr>
              <w:t>Weighted-average number of common shares outstanding - Diluted</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61,507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61,470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61,145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61,489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61,041</w:t>
            </w:r>
          </w:p>
        </w:tc>
      </w:tr>
      <w:tr>
        <w:trPr>
          <w:trHeight w:val="20"/>
        </w:trPr>
        <w:tc>
          <w:tcPr>
            <w:tcW w:w="5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b w:val="1"/>
                <w:bCs w:val="1"/>
                <w:i w:val="1"/>
                <w:iCs w:val="1"/>
                <w:color w:val="auto"/>
              </w:rPr>
              <w:t>Reconciliation of GAAP to Non-GAAP EPS:</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GAAP diluted earnings per share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0.65</w:t>
            </w:r>
          </w:p>
        </w:tc>
        <w:tc>
          <w:tcPr>
            <w:tcW w:w="120" w:type="dxa"/>
            <w:vAlign w:val="bottom"/>
          </w:tcPr>
          <w:p>
            <w:pPr>
              <w:spacing w:after="0"/>
              <w:rPr>
                <w:sz w:val="18"/>
                <w:szCs w:val="18"/>
                <w:color w:val="auto"/>
              </w:rPr>
            </w:pPr>
          </w:p>
        </w:tc>
        <w:tc>
          <w:tcPr>
            <w:tcW w:w="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0.23</w:t>
            </w: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0.45</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0.88</w:t>
            </w:r>
          </w:p>
        </w:tc>
        <w:tc>
          <w:tcPr>
            <w:tcW w:w="20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0.83</w:t>
            </w:r>
          </w:p>
        </w:tc>
      </w:tr>
      <w:tr>
        <w:trPr>
          <w:trHeight w:val="223"/>
        </w:trPr>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Effects of the above adjustments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(0.11)</w:t>
            </w:r>
          </w:p>
        </w:tc>
        <w:tc>
          <w:tcPr>
            <w:tcW w:w="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(0.14)</w:t>
            </w:r>
          </w:p>
        </w:tc>
      </w:tr>
      <w:tr>
        <w:trPr>
          <w:trHeight w:val="216"/>
        </w:trPr>
        <w:tc>
          <w:tcPr>
            <w:tcW w:w="52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Non-GAAP diluted earnings per share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0.54</w:t>
            </w: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0.40</w:t>
            </w: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0.93</w:t>
            </w: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0.69</w:t>
            </w:r>
          </w:p>
        </w:tc>
        <w:tc>
          <w:tcPr>
            <w:tcW w:w="100" w:type="dxa"/>
            <w:vAlign w:val="bottom"/>
            <w:tcBorders>
              <w:top w:val="single" w:sz="8" w:color="CCEEFF"/>
            </w:tcBorders>
          </w:tcPr>
          <w:p>
            <w:pPr>
              <w:spacing w:after="0"/>
              <w:rPr>
                <w:sz w:val="18"/>
                <w:szCs w:val="18"/>
                <w:color w:val="auto"/>
              </w:rPr>
            </w:pPr>
          </w:p>
        </w:tc>
      </w:tr>
      <w:tr>
        <w:trPr>
          <w:trHeight w:val="21"/>
        </w:trPr>
        <w:tc>
          <w:tcPr>
            <w:tcW w:w="5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 xml:space="preserve">The following tables reconcile </w:t>
      </w:r>
      <w:r>
        <w:rPr>
          <w:rFonts w:ascii="Arial" w:cs="Arial" w:eastAsia="Arial" w:hAnsi="Arial"/>
          <w:sz w:val="18"/>
          <w:szCs w:val="18"/>
          <w:i w:val="1"/>
          <w:iCs w:val="1"/>
          <w:color w:val="auto"/>
        </w:rPr>
        <w:t>Net cash provided by operating activities</w:t>
      </w:r>
      <w:r>
        <w:rPr>
          <w:rFonts w:ascii="Arial" w:cs="Arial" w:eastAsia="Arial" w:hAnsi="Arial"/>
          <w:sz w:val="18"/>
          <w:szCs w:val="18"/>
          <w:color w:val="auto"/>
        </w:rPr>
        <w:t xml:space="preserve"> to Free Cash Flow for YTD FY23 and YTD FY22 and present the calculations of LTM Free Cash Flow for YTD FY23 and YTD FY22. The columns may not foot due to rounding. Prior year amounts in the non-GAAP disclosure below have been recast to eliminate government incentives to conform to current year presentation.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8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9"/>
              </w:rPr>
              <w:t>YTD FY23</w:t>
            </w:r>
          </w:p>
        </w:tc>
        <w:tc>
          <w:tcPr>
            <w:tcW w:w="12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9"/>
              </w:rPr>
              <w:t>YTD FY22</w:t>
            </w:r>
          </w:p>
        </w:tc>
      </w:tr>
      <w:tr>
        <w:trPr>
          <w:trHeight w:val="175"/>
        </w:trPr>
        <w:tc>
          <w:tcPr>
            <w:tcW w:w="5920" w:type="dxa"/>
            <w:vAlign w:val="bottom"/>
            <w:gridSpan w:val="2"/>
          </w:tcPr>
          <w:p>
            <w:pPr>
              <w:spacing w:after="0" w:line="176" w:lineRule="exact"/>
              <w:rPr>
                <w:sz w:val="20"/>
                <w:szCs w:val="20"/>
                <w:color w:val="auto"/>
              </w:rPr>
            </w:pPr>
            <w:r>
              <w:rPr>
                <w:rFonts w:ascii="Arial" w:cs="Arial" w:eastAsia="Arial" w:hAnsi="Arial"/>
                <w:sz w:val="18"/>
                <w:szCs w:val="18"/>
                <w:i w:val="1"/>
                <w:iCs w:val="1"/>
                <w:color w:val="auto"/>
              </w:rPr>
              <w:t>Free Cash Flow</w:t>
            </w:r>
          </w:p>
        </w:tc>
        <w:tc>
          <w:tcPr>
            <w:tcW w:w="27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180" w:type="dxa"/>
            <w:vAlign w:val="bottom"/>
            <w:tcBorders>
              <w:top w:val="single" w:sz="8" w:color="auto"/>
            </w:tcBorders>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100" w:type="dxa"/>
            <w:vAlign w:val="bottom"/>
            <w:shd w:val="clear" w:color="auto" w:fill="CCEEFF"/>
          </w:tcPr>
          <w:p>
            <w:pPr>
              <w:spacing w:after="0"/>
              <w:rPr>
                <w:sz w:val="18"/>
                <w:szCs w:val="18"/>
                <w:color w:val="auto"/>
              </w:rPr>
            </w:pPr>
          </w:p>
        </w:tc>
      </w:tr>
      <w:tr>
        <w:trPr>
          <w:trHeight w:val="223"/>
        </w:trPr>
        <w:tc>
          <w:tcPr>
            <w:tcW w:w="5920" w:type="dxa"/>
            <w:vAlign w:val="bottom"/>
            <w:gridSpan w:val="2"/>
          </w:tcPr>
          <w:p>
            <w:pPr>
              <w:spacing w:after="0"/>
              <w:rPr>
                <w:sz w:val="20"/>
                <w:szCs w:val="20"/>
                <w:color w:val="auto"/>
              </w:rPr>
            </w:pPr>
            <w:r>
              <w:rPr>
                <w:rFonts w:ascii="Arial" w:cs="Arial" w:eastAsia="Arial" w:hAnsi="Arial"/>
                <w:sz w:val="18"/>
                <w:szCs w:val="18"/>
                <w:color w:val="auto"/>
              </w:rPr>
              <w:t>Purchases of property, plant, and equipment</w:t>
            </w:r>
          </w:p>
        </w:tc>
        <w:tc>
          <w:tcPr>
            <w:tcW w:w="2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(57.7)</w:t>
            </w:r>
          </w:p>
        </w:tc>
        <w:tc>
          <w:tcPr>
            <w:tcW w:w="12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(34.8)</w:t>
            </w:r>
          </w:p>
        </w:tc>
      </w:tr>
      <w:tr>
        <w:trPr>
          <w:trHeight w:val="223"/>
        </w:trPr>
        <w:tc>
          <w:tcPr>
            <w:tcW w:w="5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27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5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Q2 FY23</w:t>
            </w:r>
          </w:p>
        </w:tc>
        <w:tc>
          <w:tcPr>
            <w:tcW w:w="160" w:type="dxa"/>
            <w:vAlign w:val="bottom"/>
          </w:tcPr>
          <w:p>
            <w:pPr>
              <w:spacing w:after="0"/>
              <w:rPr>
                <w:sz w:val="20"/>
                <w:szCs w:val="20"/>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b w:val="1"/>
                <w:bCs w:val="1"/>
                <w:color w:val="auto"/>
              </w:rPr>
              <w:t>Q2 FY22</w:t>
            </w:r>
          </w:p>
        </w:tc>
        <w:tc>
          <w:tcPr>
            <w:tcW w:w="100" w:type="dxa"/>
            <w:vAlign w:val="bottom"/>
          </w:tcPr>
          <w:p>
            <w:pPr>
              <w:spacing w:after="0"/>
              <w:rPr>
                <w:sz w:val="20"/>
                <w:szCs w:val="20"/>
                <w:color w:val="auto"/>
              </w:rPr>
            </w:pPr>
          </w:p>
        </w:tc>
      </w:tr>
      <w:tr>
        <w:trPr>
          <w:trHeight w:val="175"/>
        </w:trPr>
        <w:tc>
          <w:tcPr>
            <w:tcW w:w="4380" w:type="dxa"/>
            <w:vAlign w:val="bottom"/>
            <w:gridSpan w:val="2"/>
          </w:tcPr>
          <w:p>
            <w:pPr>
              <w:spacing w:after="0" w:line="176" w:lineRule="exact"/>
              <w:rPr>
                <w:sz w:val="20"/>
                <w:szCs w:val="20"/>
                <w:color w:val="auto"/>
              </w:rPr>
            </w:pPr>
            <w:r>
              <w:rPr>
                <w:rFonts w:ascii="Arial" w:cs="Arial" w:eastAsia="Arial" w:hAnsi="Arial"/>
                <w:sz w:val="18"/>
                <w:szCs w:val="18"/>
                <w:i w:val="1"/>
                <w:iCs w:val="1"/>
                <w:color w:val="auto"/>
              </w:rPr>
              <w:t>LTM Free Cash Flow</w:t>
            </w:r>
          </w:p>
        </w:tc>
        <w:tc>
          <w:tcPr>
            <w:tcW w:w="42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560" w:type="dxa"/>
            <w:vAlign w:val="bottom"/>
            <w:tcBorders>
              <w:top w:val="single" w:sz="8" w:color="auto"/>
            </w:tcBorders>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six months of the respective fiscal year</w:t>
            </w:r>
          </w:p>
        </w:tc>
        <w:tc>
          <w:tcPr>
            <w:tcW w:w="4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100" w:type="dxa"/>
            <w:vAlign w:val="bottom"/>
            <w:shd w:val="clear" w:color="auto" w:fill="CCEEFF"/>
          </w:tcPr>
          <w:p>
            <w:pPr>
              <w:spacing w:after="0"/>
              <w:rPr>
                <w:sz w:val="18"/>
                <w:szCs w:val="18"/>
                <w:color w:val="auto"/>
              </w:rPr>
            </w:pP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Prior fiscal year</w:t>
            </w:r>
          </w:p>
        </w:tc>
        <w:tc>
          <w:tcPr>
            <w:tcW w:w="4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162.8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18"/>
                <w:szCs w:val="18"/>
                <w:color w:val="auto"/>
              </w:rPr>
            </w:pPr>
          </w:p>
        </w:tc>
      </w:tr>
      <w:tr>
        <w:trPr>
          <w:trHeight w:val="216"/>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six months of the prior year</w:t>
            </w:r>
          </w:p>
        </w:tc>
        <w:tc>
          <w:tcPr>
            <w:tcW w:w="4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(68.5)</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8"/>
                <w:szCs w:val="18"/>
                <w:color w:val="auto"/>
              </w:rPr>
            </w:pPr>
          </w:p>
        </w:tc>
      </w:tr>
      <w:tr>
        <w:trPr>
          <w:trHeight w:val="27"/>
        </w:trPr>
        <w:tc>
          <w:tcPr>
            <w:tcW w:w="1560" w:type="dxa"/>
            <w:vAlign w:val="bottom"/>
            <w:shd w:val="clear" w:color="auto" w:fill="CCEEFF"/>
          </w:tcPr>
          <w:p>
            <w:pPr>
              <w:spacing w:after="0"/>
              <w:rPr>
                <w:sz w:val="2"/>
                <w:szCs w:val="2"/>
                <w:color w:val="auto"/>
              </w:rPr>
            </w:pPr>
          </w:p>
        </w:tc>
        <w:tc>
          <w:tcPr>
            <w:tcW w:w="2820" w:type="dxa"/>
            <w:vAlign w:val="bottom"/>
            <w:shd w:val="clear" w:color="auto" w:fill="CCEEFF"/>
          </w:tcPr>
          <w:p>
            <w:pPr>
              <w:spacing w:after="0"/>
              <w:rPr>
                <w:sz w:val="2"/>
                <w:szCs w:val="2"/>
                <w:color w:val="auto"/>
              </w:rPr>
            </w:pPr>
          </w:p>
        </w:tc>
        <w:tc>
          <w:tcPr>
            <w:tcW w:w="42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4380" w:type="dxa"/>
            <w:vAlign w:val="bottom"/>
            <w:gridSpan w:val="2"/>
          </w:tcPr>
          <w:p>
            <w:pPr>
              <w:spacing w:after="0"/>
              <w:rPr>
                <w:sz w:val="20"/>
                <w:szCs w:val="20"/>
                <w:color w:val="auto"/>
              </w:rPr>
            </w:pPr>
            <w:r>
              <w:rPr>
                <w:rFonts w:ascii="Arial" w:cs="Arial" w:eastAsia="Arial" w:hAnsi="Arial"/>
                <w:sz w:val="18"/>
                <w:szCs w:val="18"/>
                <w:color w:val="auto"/>
              </w:rPr>
              <w:t>LTM free cash flow</w:t>
            </w:r>
          </w:p>
        </w:tc>
        <w:tc>
          <w:tcPr>
            <w:tcW w:w="4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146.3</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125.6</w:t>
            </w:r>
          </w:p>
        </w:tc>
        <w:tc>
          <w:tcPr>
            <w:tcW w:w="100" w:type="dxa"/>
            <w:vAlign w:val="bottom"/>
          </w:tcPr>
          <w:p>
            <w:pPr>
              <w:spacing w:after="0"/>
              <w:rPr>
                <w:sz w:val="19"/>
                <w:szCs w:val="19"/>
                <w:color w:val="auto"/>
              </w:rPr>
            </w:pPr>
          </w:p>
        </w:tc>
      </w:tr>
      <w:tr>
        <w:trPr>
          <w:trHeight w:val="569"/>
        </w:trPr>
        <w:tc>
          <w:tcPr>
            <w:tcW w:w="15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4280" w:type="dxa"/>
            <w:vAlign w:val="bottom"/>
          </w:tcPr>
          <w:p>
            <w:pPr>
              <w:jc w:val="right"/>
              <w:ind w:right="2876"/>
              <w:spacing w:after="0"/>
              <w:rPr>
                <w:sz w:val="20"/>
                <w:szCs w:val="20"/>
                <w:color w:val="auto"/>
              </w:rPr>
            </w:pPr>
            <w:r>
              <w:rPr>
                <w:rFonts w:ascii="Arial" w:cs="Arial" w:eastAsia="Arial" w:hAnsi="Arial"/>
                <w:sz w:val="14"/>
                <w:szCs w:val="14"/>
                <w:color w:val="auto"/>
              </w:rPr>
              <w:t>34</w:t>
            </w: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1560" w:type="dxa"/>
            <w:vAlign w:val="bottom"/>
            <w:tcBorders>
              <w:bottom w:val="single" w:sz="8" w:color="auto"/>
            </w:tcBorders>
          </w:tcPr>
          <w:p>
            <w:pPr>
              <w:spacing w:after="0"/>
              <w:rPr>
                <w:sz w:val="4"/>
                <w:szCs w:val="4"/>
                <w:color w:val="auto"/>
              </w:rPr>
            </w:pPr>
          </w:p>
        </w:tc>
        <w:tc>
          <w:tcPr>
            <w:tcW w:w="2820" w:type="dxa"/>
            <w:vAlign w:val="bottom"/>
            <w:tcBorders>
              <w:bottom w:val="single" w:sz="8" w:color="auto"/>
            </w:tcBorders>
          </w:tcPr>
          <w:p>
            <w:pPr>
              <w:spacing w:after="0"/>
              <w:rPr>
                <w:sz w:val="4"/>
                <w:szCs w:val="4"/>
                <w:color w:val="auto"/>
              </w:rPr>
            </w:pPr>
          </w:p>
        </w:tc>
        <w:tc>
          <w:tcPr>
            <w:tcW w:w="42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The following table reconciles </w:t>
      </w:r>
      <w:r>
        <w:rPr>
          <w:rFonts w:ascii="Arial" w:cs="Arial" w:eastAsia="Arial" w:hAnsi="Arial"/>
          <w:sz w:val="18"/>
          <w:szCs w:val="18"/>
          <w:i w:val="1"/>
          <w:iCs w:val="1"/>
          <w:color w:val="auto"/>
        </w:rPr>
        <w:t>Cash and cash equivalents</w:t>
      </w:r>
      <w:r>
        <w:rPr>
          <w:rFonts w:ascii="Arial" w:cs="Arial" w:eastAsia="Arial" w:hAnsi="Arial"/>
          <w:sz w:val="18"/>
          <w:szCs w:val="18"/>
          <w:color w:val="auto"/>
        </w:rPr>
        <w:t xml:space="preserve"> to Net Cash at the balance sheet dates. The increase in Net Cash was primarily driven by an increase in </w:t>
      </w:r>
      <w:r>
        <w:rPr>
          <w:rFonts w:ascii="Arial" w:cs="Arial" w:eastAsia="Arial" w:hAnsi="Arial"/>
          <w:sz w:val="18"/>
          <w:szCs w:val="18"/>
          <w:i w:val="1"/>
          <w:iCs w:val="1"/>
          <w:color w:val="auto"/>
        </w:rPr>
        <w:t>Net cash provided by operating activities</w:t>
      </w:r>
      <w:r>
        <w:rPr>
          <w:rFonts w:ascii="Arial" w:cs="Arial" w:eastAsia="Arial" w:hAnsi="Arial"/>
          <w:sz w:val="18"/>
          <w:szCs w:val="18"/>
          <w:color w:val="auto"/>
        </w:rPr>
        <w:t xml:space="preserve"> and decreased spending on property, plant, and equipment, as discussed above. The columns may not foot due to rounding. Prior year amounts in the non-GAAP disclosure below have been recast to eliminate short-term investments to conform to current year presentation.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80" w:type="dxa"/>
            <w:vAlign w:val="bottom"/>
          </w:tcPr>
          <w:p>
            <w:pPr>
              <w:spacing w:after="0"/>
              <w:rPr>
                <w:sz w:val="20"/>
                <w:szCs w:val="20"/>
                <w:color w:val="auto"/>
              </w:rPr>
            </w:pPr>
          </w:p>
        </w:tc>
        <w:tc>
          <w:tcPr>
            <w:tcW w:w="79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680" w:type="dxa"/>
            <w:vAlign w:val="bottom"/>
          </w:tcPr>
          <w:p>
            <w:pPr>
              <w:spacing w:after="0"/>
              <w:rPr>
                <w:sz w:val="17"/>
                <w:szCs w:val="17"/>
                <w:color w:val="auto"/>
              </w:rPr>
            </w:pPr>
          </w:p>
        </w:tc>
        <w:tc>
          <w:tcPr>
            <w:tcW w:w="7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440"/>
              <w:spacing w:after="0" w:line="198" w:lineRule="exact"/>
              <w:rPr>
                <w:sz w:val="20"/>
                <w:szCs w:val="20"/>
                <w:color w:val="auto"/>
              </w:rPr>
            </w:pPr>
            <w:r>
              <w:rPr>
                <w:rFonts w:ascii="Arial" w:cs="Arial" w:eastAsia="Arial" w:hAnsi="Arial"/>
                <w:sz w:val="18"/>
                <w:szCs w:val="18"/>
                <w:b w:val="1"/>
                <w:bCs w:val="1"/>
                <w:color w:val="auto"/>
              </w:rPr>
              <w:t>April 30,</w:t>
            </w:r>
          </w:p>
        </w:tc>
        <w:tc>
          <w:tcPr>
            <w:tcW w:w="120" w:type="dxa"/>
            <w:vAlign w:val="bottom"/>
          </w:tcPr>
          <w:p>
            <w:pPr>
              <w:spacing w:after="0"/>
              <w:rPr>
                <w:sz w:val="17"/>
                <w:szCs w:val="17"/>
                <w:color w:val="auto"/>
              </w:rPr>
            </w:pPr>
          </w:p>
        </w:tc>
        <w:tc>
          <w:tcPr>
            <w:tcW w:w="1040" w:type="dxa"/>
            <w:vAlign w:val="bottom"/>
          </w:tcPr>
          <w:p>
            <w:pPr>
              <w:jc w:val="right"/>
              <w:ind w:right="50"/>
              <w:spacing w:after="0" w:line="198" w:lineRule="exact"/>
              <w:rPr>
                <w:sz w:val="20"/>
                <w:szCs w:val="20"/>
                <w:color w:val="auto"/>
              </w:rPr>
            </w:pPr>
            <w:r>
              <w:rPr>
                <w:rFonts w:ascii="Arial" w:cs="Arial" w:eastAsia="Arial" w:hAnsi="Arial"/>
                <w:sz w:val="18"/>
                <w:szCs w:val="18"/>
                <w:b w:val="1"/>
                <w:bCs w:val="1"/>
                <w:color w:val="auto"/>
                <w:w w:val="88"/>
              </w:rPr>
              <w:t>October 31,</w:t>
            </w:r>
          </w:p>
        </w:tc>
        <w:tc>
          <w:tcPr>
            <w:tcW w:w="100" w:type="dxa"/>
            <w:vAlign w:val="bottom"/>
          </w:tcPr>
          <w:p>
            <w:pPr>
              <w:spacing w:after="0"/>
              <w:rPr>
                <w:sz w:val="17"/>
                <w:szCs w:val="17"/>
                <w:color w:val="auto"/>
              </w:rPr>
            </w:pPr>
          </w:p>
        </w:tc>
      </w:tr>
      <w:tr>
        <w:trPr>
          <w:trHeight w:val="241"/>
        </w:trPr>
        <w:tc>
          <w:tcPr>
            <w:tcW w:w="680" w:type="dxa"/>
            <w:vAlign w:val="bottom"/>
          </w:tcPr>
          <w:p>
            <w:pPr>
              <w:spacing w:after="0"/>
              <w:rPr>
                <w:sz w:val="20"/>
                <w:szCs w:val="20"/>
                <w:color w:val="auto"/>
              </w:rPr>
            </w:pPr>
          </w:p>
        </w:tc>
        <w:tc>
          <w:tcPr>
            <w:tcW w:w="79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175"/>
        </w:trPr>
        <w:tc>
          <w:tcPr>
            <w:tcW w:w="8640" w:type="dxa"/>
            <w:vAlign w:val="bottom"/>
            <w:gridSpan w:val="2"/>
          </w:tcPr>
          <w:p>
            <w:pPr>
              <w:spacing w:after="0" w:line="176" w:lineRule="exact"/>
              <w:rPr>
                <w:sz w:val="20"/>
                <w:szCs w:val="20"/>
                <w:color w:val="auto"/>
              </w:rPr>
            </w:pPr>
            <w:r>
              <w:rPr>
                <w:rFonts w:ascii="Arial" w:cs="Arial" w:eastAsia="Arial" w:hAnsi="Arial"/>
                <w:sz w:val="18"/>
                <w:szCs w:val="18"/>
                <w:i w:val="1"/>
                <w:iCs w:val="1"/>
                <w:color w:val="auto"/>
              </w:rPr>
              <w:t>Net Cash</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680" w:type="dxa"/>
            <w:vAlign w:val="bottom"/>
            <w:tcBorders>
              <w:top w:val="single" w:sz="8" w:color="auto"/>
            </w:tcBorders>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319.7</w:t>
            </w:r>
          </w:p>
        </w:tc>
        <w:tc>
          <w:tcPr>
            <w:tcW w:w="100" w:type="dxa"/>
            <w:vAlign w:val="bottom"/>
            <w:shd w:val="clear" w:color="auto" w:fill="CCEEFF"/>
          </w:tcPr>
          <w:p>
            <w:pPr>
              <w:spacing w:after="0"/>
              <w:rPr>
                <w:sz w:val="18"/>
                <w:szCs w:val="18"/>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Current portion of Long-term debt</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r>
        <w:trPr>
          <w:trHeight w:val="223"/>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(21.3)</w:t>
            </w: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(32.3)</w:t>
            </w:r>
          </w:p>
        </w:tc>
      </w:tr>
      <w:tr>
        <w:trPr>
          <w:trHeight w:val="223"/>
        </w:trPr>
        <w:tc>
          <w:tcPr>
            <w:tcW w:w="864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Net cash</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339.1</w:t>
            </w:r>
          </w:p>
        </w:tc>
        <w:tc>
          <w:tcPr>
            <w:tcW w:w="220" w:type="dxa"/>
            <w:vAlign w:val="bottom"/>
            <w:tcBorders>
              <w:top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277.3</w:t>
            </w:r>
          </w:p>
        </w:tc>
        <w:tc>
          <w:tcPr>
            <w:tcW w:w="100" w:type="dxa"/>
            <w:vAlign w:val="bottom"/>
            <w:tcBorders>
              <w:top w:val="single" w:sz="8" w:color="CCEEFF"/>
            </w:tcBorders>
          </w:tcPr>
          <w:p>
            <w:pPr>
              <w:spacing w:after="0"/>
              <w:rPr>
                <w:sz w:val="19"/>
                <w:szCs w:val="19"/>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229" w:lineRule="exact"/>
        <w:rPr>
          <w:sz w:val="20"/>
          <w:szCs w:val="20"/>
          <w:color w:val="auto"/>
        </w:rPr>
      </w:pPr>
    </w:p>
    <w:p>
      <w:pPr>
        <w:ind w:right="560" w:firstLine="243"/>
        <w:spacing w:after="0" w:line="308" w:lineRule="auto"/>
        <w:rPr>
          <w:sz w:val="20"/>
          <w:szCs w:val="20"/>
          <w:color w:val="auto"/>
        </w:rPr>
      </w:pPr>
      <w:r>
        <w:rPr>
          <w:rFonts w:ascii="Arial" w:cs="Arial" w:eastAsia="Arial" w:hAnsi="Arial"/>
          <w:sz w:val="17"/>
          <w:szCs w:val="17"/>
          <w:color w:val="auto"/>
        </w:rPr>
        <w:t>Our current business outlook and guidance was provided in the Photronics Q2 FY23 earnings release, earnings presentation, and financial results conference call, but is not incorporated herein. These can be accessed in the investor section of our website - www.photronics.com.</w:t>
      </w:r>
    </w:p>
    <w:p>
      <w:pPr>
        <w:spacing w:after="0" w:line="146" w:lineRule="exact"/>
        <w:rPr>
          <w:sz w:val="20"/>
          <w:szCs w:val="20"/>
          <w:color w:val="auto"/>
        </w:rPr>
      </w:pPr>
    </w:p>
    <w:p>
      <w:pPr>
        <w:jc w:val="both"/>
        <w:ind w:right="160" w:firstLine="243"/>
        <w:spacing w:after="0" w:line="311" w:lineRule="auto"/>
        <w:rPr>
          <w:sz w:val="20"/>
          <w:szCs w:val="20"/>
          <w:color w:val="auto"/>
        </w:rPr>
      </w:pPr>
      <w:r>
        <w:rPr>
          <w:rFonts w:ascii="Arial" w:cs="Arial" w:eastAsia="Arial" w:hAnsi="Arial"/>
          <w:sz w:val="16"/>
          <w:szCs w:val="16"/>
          <w:color w:val="auto"/>
        </w:rPr>
        <w:t>Our future results of operations and the other forward-looking statements contained in this filing and in the Photronics Q2 FY23 earnings presentation and the related financial results conference call and slide deck involve a number of risks and uncertainties, some of which are discussed in Part I, Item 1A of our 2022 Form 10-K. A number of other unforeseeable factors could cause actual results to differ materially from our expectations.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400" w:firstLine="243"/>
        <w:spacing w:after="0" w:line="277" w:lineRule="auto"/>
        <w:rPr>
          <w:sz w:val="20"/>
          <w:szCs w:val="20"/>
          <w:color w:val="auto"/>
        </w:rPr>
      </w:pPr>
      <w:r>
        <w:rPr>
          <w:rFonts w:ascii="Arial" w:cs="Arial" w:eastAsia="Arial" w:hAnsi="Arial"/>
          <w:sz w:val="18"/>
          <w:szCs w:val="18"/>
          <w:color w:val="auto"/>
        </w:rPr>
        <w:t>Please refer to Part II, Item 7 of our 2022 Form 10-K for discussion of our critical accounting estimates. There have been no changes to our critical accounting estimates since the filing of our Form 10-K for the year ended October 31, 2022.</w:t>
      </w:r>
    </w:p>
    <w:p>
      <w:pPr>
        <w:spacing w:after="0" w:line="16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29" w:lineRule="exact"/>
        <w:rPr>
          <w:sz w:val="20"/>
          <w:szCs w:val="20"/>
          <w:color w:val="auto"/>
        </w:rPr>
      </w:pPr>
    </w:p>
    <w:p>
      <w:pPr>
        <w:ind w:firstLine="243"/>
        <w:spacing w:after="0" w:line="257" w:lineRule="auto"/>
        <w:rPr>
          <w:sz w:val="20"/>
          <w:szCs w:val="20"/>
          <w:color w:val="auto"/>
        </w:rPr>
      </w:pPr>
      <w:r>
        <w:rPr>
          <w:rFonts w:ascii="Arial" w:cs="Arial" w:eastAsia="Arial" w:hAnsi="Arial"/>
          <w:sz w:val="18"/>
          <w:szCs w:val="18"/>
          <w:color w:val="auto"/>
        </w:rPr>
        <w:t>We conduct business in several major international currencies throughout our worldwide operations, and our financial performance may be affected by fluctuations in the exchange rates of these currencies. Changes in exchange rates can positively or negatively affect our reported revenue, operating income, assets, liabilities, and equity. The functional currencies of our Asian subsidiaries are the South Korean won, the New Taiwan dollar, the RMB, and the Singapore dollar. The functional currencies of our European subsidiaries are the British pound and the euro. In addition, we engage in transactions in, and have exposures to, the Japanese yen.</w:t>
      </w:r>
    </w:p>
    <w:p>
      <w:pPr>
        <w:spacing w:after="0" w:line="188" w:lineRule="exact"/>
        <w:rPr>
          <w:sz w:val="20"/>
          <w:szCs w:val="20"/>
          <w:color w:val="auto"/>
        </w:rPr>
      </w:pPr>
    </w:p>
    <w:p>
      <w:pPr>
        <w:ind w:right="80" w:firstLine="243"/>
        <w:spacing w:after="0" w:line="271" w:lineRule="auto"/>
        <w:rPr>
          <w:sz w:val="20"/>
          <w:szCs w:val="20"/>
          <w:color w:val="auto"/>
        </w:rPr>
      </w:pPr>
      <w:r>
        <w:rPr>
          <w:rFonts w:ascii="Arial" w:cs="Arial" w:eastAsia="Arial" w:hAnsi="Arial"/>
          <w:sz w:val="17"/>
          <w:szCs w:val="17"/>
          <w:color w:val="auto"/>
        </w:rPr>
        <w:t>We attempt to minimize our risk of foreign currency transaction losses by producing products in the same country in which the products are sold (thereby generating revenues and incurring expenses in the same currency), and by managing our working capital. However, in some instances, we sell products in a currency other than the functional currency of the country where it was produced, or purchase products in a currency that differs from the functional currency of the purchasing entity. We may also enter into derivative contracts to mitigate our exposure to foreign currency fluctuations when we have a significant purchase obligation, or a significant receivable denominated in a currency that differs from the functional currency of the transacting subsidiary. We do not enter into derivatives for speculative purposes. There can be no assurance that this approach will protect us from the need to recognize significant foreign currency transaction gains and losses, especially in the event of a significant adverse movement in the value of any foreign currency in which we conduct business against any of our functional currencies, including the U.S. dollar.</w:t>
      </w:r>
    </w:p>
    <w:p>
      <w:pPr>
        <w:spacing w:after="0" w:line="178" w:lineRule="exact"/>
        <w:rPr>
          <w:sz w:val="20"/>
          <w:szCs w:val="20"/>
          <w:color w:val="auto"/>
        </w:rPr>
      </w:pPr>
    </w:p>
    <w:p>
      <w:pPr>
        <w:ind w:right="40" w:firstLine="243"/>
        <w:spacing w:after="0" w:line="272" w:lineRule="auto"/>
        <w:rPr>
          <w:sz w:val="20"/>
          <w:szCs w:val="20"/>
          <w:color w:val="auto"/>
        </w:rPr>
      </w:pPr>
      <w:r>
        <w:rPr>
          <w:rFonts w:ascii="Arial" w:cs="Arial" w:eastAsia="Arial" w:hAnsi="Arial"/>
          <w:sz w:val="17"/>
          <w:szCs w:val="17"/>
          <w:color w:val="auto"/>
        </w:rPr>
        <w:t>Our primary net foreign currency exposures as of April 30, 2023, included the South Korean won, the Japanese yen, the New Taiwan dollar, the RMB, the Singapore dollar, the British pound sterling, and the euro. As of that date, a 10% adverse movement in the value of currencies different from the functional currencies of our subsidiaries would have resulted in a net unrealized pre-tax loss of $48.0 million, which represents an increase of $5.9 million from our exposure at January 29, 2023. Our most significant exposures at April 30, 2023, were exposures of the South Korean won, the RMB, and the New Taiwan Dollar to the U.S. dollar, which were, respectively, $12.2 million, $11.4 million, and $21.4 million at that date. We do not believe that a 10% change in the exchange rates of non-US dollar currencies, other than the aforementioned currencies and the Japanese yen, would have had a material effect on our April 30, 2023, condensed consolidated financial statements.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180" w:firstLine="243"/>
        <w:spacing w:after="0" w:line="277" w:lineRule="auto"/>
        <w:rPr>
          <w:sz w:val="20"/>
          <w:szCs w:val="20"/>
          <w:color w:val="auto"/>
        </w:rPr>
      </w:pPr>
      <w:r>
        <w:rPr>
          <w:rFonts w:ascii="Arial" w:cs="Arial" w:eastAsia="Arial" w:hAnsi="Arial"/>
          <w:sz w:val="18"/>
          <w:szCs w:val="18"/>
          <w:color w:val="auto"/>
        </w:rPr>
        <w:t>A 10% adverse movement in the interest rates on our variable rate borrowings would not have had a material effect on our April 30, 2023, condensed consolidated financial statements.</w:t>
      </w:r>
    </w:p>
    <w:p>
      <w:pPr>
        <w:spacing w:after="0" w:line="16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160" w:firstLine="243"/>
        <w:spacing w:after="0" w:line="291" w:lineRule="auto"/>
        <w:rPr>
          <w:sz w:val="20"/>
          <w:szCs w:val="20"/>
          <w:color w:val="auto"/>
        </w:rPr>
      </w:pPr>
      <w:r>
        <w:rPr>
          <w:rFonts w:ascii="Arial" w:cs="Arial" w:eastAsia="Arial" w:hAnsi="Arial"/>
          <w:sz w:val="16"/>
          <w:szCs w:val="16"/>
          <w:color w:val="auto"/>
        </w:rPr>
        <w:t>We have established, and currently maintain, disclosure controls and procedures, as such term is defined in Rules 13a-15(e) and 15d-15(e) of the Exchange Act, designed to provide reasonable assurance that information required to be disclosed in reports filed under the Exchange Act, is recorded, processed, summarized, and reported within the time periods specified in the SEC rules and forms, and that such information is accumulated and communicated to management, including our chief executive officer and chief financial officer, as appropriate, to allow for timely decisions regarding required disclosure. In designing and evaluating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166" w:lineRule="exact"/>
        <w:rPr>
          <w:sz w:val="20"/>
          <w:szCs w:val="20"/>
          <w:color w:val="auto"/>
        </w:rPr>
      </w:pPr>
    </w:p>
    <w:p>
      <w:pPr>
        <w:ind w:firstLine="243"/>
        <w:spacing w:after="0" w:line="259" w:lineRule="auto"/>
        <w:rPr>
          <w:sz w:val="20"/>
          <w:szCs w:val="20"/>
          <w:color w:val="auto"/>
        </w:rPr>
      </w:pPr>
      <w:r>
        <w:rPr>
          <w:rFonts w:ascii="Arial" w:cs="Arial" w:eastAsia="Arial" w:hAnsi="Arial"/>
          <w:sz w:val="18"/>
          <w:szCs w:val="18"/>
          <w:color w:val="auto"/>
        </w:rPr>
        <w:t>Our management, under the supervision and with the participation of our chief executive officer and chief financial officer, evaluated the effectiveness of the design and operation of our disclosure controls and procedures as of the end of the period covered by this report. Based upon that evaluation, our chief executive officer and chief financial officer concluded that our disclosure controls and procedures were effective at a reasonable assurance level as of the end of the period covered by this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40" w:firstLine="243"/>
        <w:spacing w:after="0" w:line="277" w:lineRule="auto"/>
        <w:rPr>
          <w:sz w:val="20"/>
          <w:szCs w:val="20"/>
          <w:color w:val="auto"/>
        </w:rPr>
      </w:pPr>
      <w:r>
        <w:rPr>
          <w:rFonts w:ascii="Arial" w:cs="Arial" w:eastAsia="Arial" w:hAnsi="Arial"/>
          <w:sz w:val="18"/>
          <w:szCs w:val="18"/>
          <w:color w:val="auto"/>
        </w:rPr>
        <w:t>There was no change in our internal control over financial reporting during the second fiscal quarter that has materially affected, or is reasonably likely to materially affect, our internal control over financial reporting.</w:t>
      </w:r>
    </w:p>
    <w:p>
      <w:pPr>
        <w:spacing w:after="0" w:line="355"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37" w:name="page38"/>
    <w:bookmarkEnd w:id="37"/>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Please refer to Note 11 within Item 1 of this report for information on legal proceedings involving the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There have been no material changes to our risk factors as set forth in “Item 1A. Risk Factors” in our 2022 Form 10-K.</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right="100" w:firstLine="243"/>
        <w:spacing w:after="0" w:line="259" w:lineRule="auto"/>
        <w:rPr>
          <w:sz w:val="20"/>
          <w:szCs w:val="20"/>
          <w:color w:val="auto"/>
        </w:rPr>
      </w:pPr>
      <w:r>
        <w:rPr>
          <w:rFonts w:ascii="Arial" w:cs="Arial" w:eastAsia="Arial" w:hAnsi="Arial"/>
          <w:sz w:val="18"/>
          <w:szCs w:val="18"/>
          <w:color w:val="auto"/>
        </w:rPr>
        <w:t>In September 2020, the Company’s board of directors authorized the repurchase of up to $100 million of its common stock, pursuant to a repurchase plan under Rule 10b5-1 of the Securities Act. The share repurchase program commenced on September 14, 2020, and all shares repurchased under this program were retired. The table below presents share repurchase activity during the second quarter of 2023 in connection with the payment of withholding taxes related to the vesting of restricted stock awards.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Average</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2"/>
              </w:rPr>
              <w:t>Total Number of</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Dollar Value of</w:t>
            </w:r>
          </w:p>
        </w:tc>
      </w:tr>
      <w:tr>
        <w:trPr>
          <w:trHeight w:val="216"/>
        </w:trPr>
        <w:tc>
          <w:tcPr>
            <w:tcW w:w="5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Price</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85"/>
              </w:rPr>
              <w:t>Shares Purchased as</w:t>
            </w:r>
          </w:p>
        </w:tc>
        <w:tc>
          <w:tcPr>
            <w:tcW w:w="200" w:type="dxa"/>
            <w:vAlign w:val="bottom"/>
          </w:tcPr>
          <w:p>
            <w:pPr>
              <w:spacing w:after="0"/>
              <w:rPr>
                <w:sz w:val="18"/>
                <w:szCs w:val="18"/>
                <w:color w:val="auto"/>
              </w:rPr>
            </w:pPr>
          </w:p>
        </w:tc>
        <w:tc>
          <w:tcPr>
            <w:tcW w:w="1440" w:type="dxa"/>
            <w:vAlign w:val="bottom"/>
            <w:gridSpan w:val="3"/>
          </w:tcPr>
          <w:p>
            <w:pPr>
              <w:spacing w:after="0"/>
              <w:rPr>
                <w:sz w:val="20"/>
                <w:szCs w:val="20"/>
                <w:color w:val="auto"/>
              </w:rPr>
            </w:pPr>
            <w:r>
              <w:rPr>
                <w:rFonts w:ascii="Arial" w:cs="Arial" w:eastAsia="Arial" w:hAnsi="Arial"/>
                <w:sz w:val="18"/>
                <w:szCs w:val="18"/>
                <w:b w:val="1"/>
                <w:bCs w:val="1"/>
                <w:color w:val="auto"/>
                <w:w w:val="99"/>
              </w:rPr>
              <w:t>Shares That May</w:t>
            </w:r>
          </w:p>
        </w:tc>
      </w:tr>
      <w:tr>
        <w:trPr>
          <w:trHeight w:val="216"/>
        </w:trPr>
        <w:tc>
          <w:tcPr>
            <w:tcW w:w="5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w w:val="94"/>
              </w:rPr>
              <w:t>Total Number of</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Paid</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1"/>
              </w:rPr>
              <w:t>Part of Publicly</w:t>
            </w:r>
          </w:p>
        </w:tc>
        <w:tc>
          <w:tcPr>
            <w:tcW w:w="1640" w:type="dxa"/>
            <w:vAlign w:val="bottom"/>
            <w:gridSpan w:val="4"/>
          </w:tcPr>
          <w:p>
            <w:pPr>
              <w:ind w:left="200"/>
              <w:spacing w:after="0"/>
              <w:rPr>
                <w:sz w:val="20"/>
                <w:szCs w:val="20"/>
                <w:color w:val="auto"/>
              </w:rPr>
            </w:pPr>
            <w:r>
              <w:rPr>
                <w:rFonts w:ascii="Arial" w:cs="Arial" w:eastAsia="Arial" w:hAnsi="Arial"/>
                <w:sz w:val="18"/>
                <w:szCs w:val="18"/>
                <w:b w:val="1"/>
                <w:bCs w:val="1"/>
                <w:color w:val="auto"/>
                <w:w w:val="92"/>
              </w:rPr>
              <w:t>Yet Be Purchased</w:t>
            </w:r>
          </w:p>
        </w:tc>
      </w:tr>
      <w:tr>
        <w:trPr>
          <w:trHeight w:val="234"/>
        </w:trPr>
        <w:tc>
          <w:tcPr>
            <w:tcW w:w="5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w w:val="85"/>
              </w:rPr>
              <w:t>Shares Purchased</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Per share</w:t>
            </w: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w w:val="88"/>
              </w:rPr>
              <w:t>Announced Program</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(in millions)</w:t>
            </w:r>
          </w:p>
        </w:tc>
      </w:tr>
      <w:tr>
        <w:trPr>
          <w:trHeight w:val="223"/>
        </w:trPr>
        <w:tc>
          <w:tcPr>
            <w:tcW w:w="5160" w:type="dxa"/>
            <w:vAlign w:val="bottom"/>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162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January 30, 2023 – February 26, 2023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0.00</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February 27, 2023 – March 26, 2023</w:t>
            </w:r>
          </w:p>
        </w:tc>
        <w:tc>
          <w:tcPr>
            <w:tcW w:w="1360" w:type="dxa"/>
            <w:vAlign w:val="bottom"/>
          </w:tcPr>
          <w:p>
            <w:pPr>
              <w:jc w:val="right"/>
              <w:spacing w:after="0"/>
              <w:rPr>
                <w:sz w:val="20"/>
                <w:szCs w:val="20"/>
                <w:color w:val="auto"/>
              </w:rPr>
            </w:pPr>
            <w:r>
              <w:rPr>
                <w:rFonts w:ascii="Arial" w:cs="Arial" w:eastAsia="Arial" w:hAnsi="Arial"/>
                <w:sz w:val="18"/>
                <w:szCs w:val="18"/>
                <w:color w:val="auto"/>
              </w:rPr>
              <w:t>2,297</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17.39</w:t>
            </w:r>
          </w:p>
        </w:tc>
        <w:tc>
          <w:tcPr>
            <w:tcW w:w="1620" w:type="dxa"/>
            <w:vAlign w:val="bottom"/>
          </w:tcPr>
          <w:p>
            <w:pPr>
              <w:jc w:val="right"/>
              <w:spacing w:after="0"/>
              <w:rPr>
                <w:sz w:val="20"/>
                <w:szCs w:val="20"/>
                <w:color w:val="auto"/>
              </w:rPr>
            </w:pPr>
            <w:r>
              <w:rPr>
                <w:rFonts w:ascii="Arial" w:cs="Arial" w:eastAsia="Arial" w:hAnsi="Arial"/>
                <w:sz w:val="18"/>
                <w:szCs w:val="18"/>
                <w:color w:val="auto"/>
              </w:rPr>
              <w:t>0</w:t>
            </w: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31.7</w:t>
            </w:r>
          </w:p>
        </w:tc>
      </w:tr>
      <w:tr>
        <w:trPr>
          <w:trHeight w:val="223"/>
        </w:trPr>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March 27, 2023 – April 30, 2023</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2,627</w:t>
            </w:r>
          </w:p>
        </w:tc>
        <w:tc>
          <w:tcPr>
            <w:tcW w:w="3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16.58</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w:t>
            </w:r>
          </w:p>
        </w:tc>
      </w:tr>
      <w:tr>
        <w:trPr>
          <w:trHeight w:val="223"/>
        </w:trPr>
        <w:tc>
          <w:tcPr>
            <w:tcW w:w="5160" w:type="dxa"/>
            <w:vAlign w:val="bottom"/>
          </w:tcPr>
          <w:p>
            <w:pPr>
              <w:spacing w:after="0"/>
              <w:rPr>
                <w:sz w:val="20"/>
                <w:szCs w:val="20"/>
                <w:color w:val="auto"/>
              </w:rPr>
            </w:pPr>
            <w:r>
              <w:rPr>
                <w:rFonts w:ascii="Arial" w:cs="Arial" w:eastAsia="Arial" w:hAnsi="Arial"/>
                <w:sz w:val="18"/>
                <w:szCs w:val="18"/>
                <w:color w:val="auto"/>
              </w:rPr>
              <w:t>Total</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spacing w:after="0" w:line="202" w:lineRule="exact"/>
        <w:rPr>
          <w:sz w:val="20"/>
          <w:szCs w:val="20"/>
          <w:color w:val="auto"/>
        </w:rPr>
      </w:pPr>
    </w:p>
    <w:p>
      <w:pPr>
        <w:ind w:right="560" w:firstLine="243"/>
        <w:spacing w:after="0" w:line="277" w:lineRule="auto"/>
        <w:rPr>
          <w:sz w:val="20"/>
          <w:szCs w:val="20"/>
          <w:color w:val="auto"/>
        </w:rPr>
      </w:pPr>
      <w:r>
        <w:rPr>
          <w:rFonts w:ascii="Arial" w:cs="Arial" w:eastAsia="Arial" w:hAnsi="Arial"/>
          <w:sz w:val="18"/>
          <w:szCs w:val="18"/>
          <w:color w:val="auto"/>
        </w:rPr>
        <w:t>Certain of our debt agreements and lease arrangements include limitations on the amounts of dividends we may pay. Please refer to Note 6 of the condensed consolidated financial statements for information on these limitations.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gridSpan w:val="6"/>
          </w:tcPr>
          <w:p>
            <w:pPr>
              <w:spacing w:after="0"/>
              <w:rPr>
                <w:sz w:val="20"/>
                <w:szCs w:val="20"/>
                <w:color w:val="auto"/>
              </w:rPr>
            </w:pPr>
            <w:r>
              <w:rPr>
                <w:rFonts w:ascii="Arial" w:cs="Arial" w:eastAsia="Arial" w:hAnsi="Arial"/>
                <w:sz w:val="14"/>
                <w:szCs w:val="14"/>
                <w:i w:val="1"/>
                <w:iCs w:val="1"/>
                <w:color w:val="0000EE"/>
                <w:w w:val="90"/>
              </w:rPr>
              <w:t>Table of Contents</w:t>
            </w:r>
          </w:p>
        </w:tc>
        <w:tc>
          <w:tcPr>
            <w:tcW w:w="5800" w:type="dxa"/>
            <w:vAlign w:val="bottom"/>
            <w:gridSpan w:val="2"/>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85"/>
        </w:trPr>
        <w:tc>
          <w:tcPr>
            <w:tcW w:w="80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6020" w:type="dxa"/>
            <w:vAlign w:val="bottom"/>
            <w:gridSpan w:val="5"/>
          </w:tcPr>
          <w:p>
            <w:pPr>
              <w:ind w:left="20"/>
              <w:spacing w:after="0"/>
              <w:rPr>
                <w:sz w:val="20"/>
                <w:szCs w:val="20"/>
                <w:color w:val="auto"/>
              </w:rPr>
            </w:pPr>
            <w:r>
              <w:rPr>
                <w:rFonts w:ascii="Arial" w:cs="Arial" w:eastAsia="Arial" w:hAnsi="Arial"/>
                <w:sz w:val="18"/>
                <w:szCs w:val="18"/>
                <w:b w:val="1"/>
                <w:bCs w:val="1"/>
                <w:color w:val="auto"/>
              </w:rPr>
              <w:t>EXHIBITS</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39"/>
        </w:trPr>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20" w:type="dxa"/>
            <w:vAlign w:val="bottom"/>
            <w:tcBorders>
              <w:bottom w:val="single" w:sz="8" w:color="auto"/>
            </w:tcBorders>
            <w:gridSpan w:val="6"/>
          </w:tcPr>
          <w:p>
            <w:pPr>
              <w:jc w:val="center"/>
              <w:ind w:right="120"/>
              <w:spacing w:after="0"/>
              <w:rPr>
                <w:sz w:val="20"/>
                <w:szCs w:val="20"/>
                <w:color w:val="auto"/>
              </w:rPr>
            </w:pPr>
            <w:r>
              <w:rPr>
                <w:rFonts w:ascii="Arial" w:cs="Arial" w:eastAsia="Arial" w:hAnsi="Arial"/>
                <w:sz w:val="18"/>
                <w:szCs w:val="18"/>
                <w:b w:val="1"/>
                <w:bCs w:val="1"/>
                <w:color w:val="auto"/>
                <w:w w:val="91"/>
              </w:rPr>
              <w:t>Incorporated by Reference</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2"/>
              </w:rPr>
              <w:t>Filed or</w:t>
            </w:r>
          </w:p>
        </w:tc>
      </w:tr>
      <w:tr>
        <w:trPr>
          <w:trHeight w:val="184"/>
        </w:trPr>
        <w:tc>
          <w:tcPr>
            <w:tcW w:w="800" w:type="dxa"/>
            <w:vAlign w:val="bottom"/>
            <w:gridSpan w:val="3"/>
          </w:tcPr>
          <w:p>
            <w:pPr>
              <w:ind w:left="160"/>
              <w:spacing w:after="0" w:line="184" w:lineRule="exact"/>
              <w:rPr>
                <w:sz w:val="20"/>
                <w:szCs w:val="20"/>
                <w:color w:val="auto"/>
              </w:rPr>
            </w:pPr>
            <w:r>
              <w:rPr>
                <w:rFonts w:ascii="Arial" w:cs="Arial" w:eastAsia="Arial" w:hAnsi="Arial"/>
                <w:sz w:val="18"/>
                <w:szCs w:val="18"/>
                <w:b w:val="1"/>
                <w:bCs w:val="1"/>
                <w:color w:val="auto"/>
              </w:rPr>
              <w:t>Exhibit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spacing w:after="0" w:line="184" w:lineRule="exact"/>
              <w:rPr>
                <w:sz w:val="20"/>
                <w:szCs w:val="20"/>
                <w:color w:val="auto"/>
              </w:rPr>
            </w:pPr>
            <w:r>
              <w:rPr>
                <w:rFonts w:ascii="Arial" w:cs="Arial" w:eastAsia="Arial" w:hAnsi="Arial"/>
                <w:sz w:val="18"/>
                <w:szCs w:val="18"/>
                <w:b w:val="1"/>
                <w:bCs w:val="1"/>
                <w:color w:val="auto"/>
                <w:w w:val="91"/>
              </w:rPr>
              <w:t>Furnished</w:t>
            </w:r>
          </w:p>
        </w:tc>
      </w:tr>
      <w:tr>
        <w:trPr>
          <w:trHeight w:val="241"/>
        </w:trPr>
        <w:tc>
          <w:tcPr>
            <w:tcW w:w="800" w:type="dxa"/>
            <w:vAlign w:val="bottom"/>
            <w:gridSpan w:val="3"/>
          </w:tcPr>
          <w:p>
            <w:pPr>
              <w:ind w:left="140"/>
              <w:spacing w:after="0"/>
              <w:rPr>
                <w:sz w:val="20"/>
                <w:szCs w:val="20"/>
                <w:color w:val="auto"/>
              </w:rPr>
            </w:pPr>
            <w:r>
              <w:rPr>
                <w:rFonts w:ascii="Arial" w:cs="Arial" w:eastAsia="Arial" w:hAnsi="Arial"/>
                <w:sz w:val="18"/>
                <w:szCs w:val="18"/>
                <w:b w:val="1"/>
                <w:bCs w:val="1"/>
                <w:color w:val="auto"/>
                <w:w w:val="94"/>
              </w:rPr>
              <w:t>Number</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0" w:type="dxa"/>
            <w:vAlign w:val="bottom"/>
            <w:gridSpan w:val="2"/>
          </w:tcPr>
          <w:p>
            <w:pPr>
              <w:ind w:left="2400"/>
              <w:spacing w:after="0"/>
              <w:rPr>
                <w:sz w:val="20"/>
                <w:szCs w:val="20"/>
                <w:color w:val="auto"/>
              </w:rPr>
            </w:pPr>
            <w:r>
              <w:rPr>
                <w:rFonts w:ascii="Arial" w:cs="Arial" w:eastAsia="Arial" w:hAnsi="Arial"/>
                <w:sz w:val="18"/>
                <w:szCs w:val="18"/>
                <w:b w:val="1"/>
                <w:bCs w:val="1"/>
                <w:color w:val="auto"/>
              </w:rPr>
              <w:t>Description</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7"/>
              </w:rPr>
              <w:t>Form</w:t>
            </w:r>
          </w:p>
        </w:tc>
        <w:tc>
          <w:tcPr>
            <w:tcW w:w="1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100" w:type="dxa"/>
            <w:vAlign w:val="bottom"/>
          </w:tcPr>
          <w:p>
            <w:pPr>
              <w:spacing w:after="0"/>
              <w:rPr>
                <w:sz w:val="20"/>
                <w:szCs w:val="20"/>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Filing Date</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4"/>
              </w:rPr>
              <w:t>Herewith</w:t>
            </w:r>
          </w:p>
        </w:tc>
      </w:tr>
      <w:tr>
        <w:trPr>
          <w:trHeight w:val="216"/>
        </w:trPr>
        <w:tc>
          <w:tcPr>
            <w:tcW w:w="3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5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r>
      <w:tr>
        <w:trPr>
          <w:trHeight w:val="175"/>
        </w:trPr>
        <w:tc>
          <w:tcPr>
            <w:tcW w:w="42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88"/>
              </w:rPr>
            </w:pPr>
            <w:hyperlink r:id="rId53">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41</w:t>
              </w:r>
            </w:hyperlink>
          </w:p>
        </w:tc>
        <w:tc>
          <w:tcPr>
            <w:tcW w:w="3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920" w:type="dxa"/>
            <w:vAlign w:val="bottom"/>
            <w:tcBorders>
              <w:bottom w:val="single" w:sz="8" w:color="CCEEFF"/>
            </w:tcBorders>
            <w:gridSpan w:val="4"/>
            <w:shd w:val="clear" w:color="auto" w:fill="CCEEFF"/>
          </w:tcPr>
          <w:p>
            <w:pPr>
              <w:ind w:left="100"/>
              <w:spacing w:after="0" w:line="176" w:lineRule="exact"/>
              <w:rPr>
                <w:sz w:val="20"/>
                <w:szCs w:val="20"/>
                <w:color w:val="auto"/>
              </w:rPr>
            </w:pPr>
            <w:r>
              <w:rPr>
                <w:rFonts w:ascii="Arial" w:cs="Arial" w:eastAsia="Arial" w:hAnsi="Arial"/>
                <w:sz w:val="18"/>
                <w:szCs w:val="18"/>
                <w:color w:val="auto"/>
              </w:rPr>
              <w:t>Photronics, Inc. 2016 Equity Incentive Compensation Plan As Amended</w:t>
            </w: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8-K</w:t>
            </w:r>
          </w:p>
        </w:tc>
        <w:tc>
          <w:tcPr>
            <w:tcW w:w="1100" w:type="dxa"/>
            <w:vAlign w:val="bottom"/>
            <w:tcBorders>
              <w:bottom w:val="single" w:sz="8" w:color="CCEEFF"/>
            </w:tcBorders>
            <w:gridSpan w:val="2"/>
            <w:shd w:val="clear" w:color="auto" w:fill="CCEEFF"/>
          </w:tcPr>
          <w:p>
            <w:pPr>
              <w:jc w:val="center"/>
              <w:ind w:left="10"/>
              <w:spacing w:after="0" w:line="176" w:lineRule="exact"/>
              <w:rPr>
                <w:sz w:val="20"/>
                <w:szCs w:val="20"/>
                <w:color w:val="auto"/>
              </w:rPr>
            </w:pPr>
            <w:r>
              <w:rPr>
                <w:rFonts w:ascii="Arial" w:cs="Arial" w:eastAsia="Arial" w:hAnsi="Arial"/>
                <w:sz w:val="18"/>
                <w:szCs w:val="18"/>
                <w:color w:val="auto"/>
                <w:w w:val="91"/>
              </w:rPr>
              <w:t>10.1</w:t>
            </w:r>
          </w:p>
        </w:tc>
        <w:tc>
          <w:tcPr>
            <w:tcW w:w="1100" w:type="dxa"/>
            <w:vAlign w:val="bottom"/>
            <w:tcBorders>
              <w:bottom w:val="single" w:sz="8" w:color="CCEEFF"/>
            </w:tcBorders>
            <w:gridSpan w:val="2"/>
            <w:shd w:val="clear" w:color="auto" w:fill="CCEEFF"/>
          </w:tcPr>
          <w:p>
            <w:pPr>
              <w:jc w:val="right"/>
              <w:ind w:right="50"/>
              <w:spacing w:after="0" w:line="176" w:lineRule="exact"/>
              <w:rPr>
                <w:sz w:val="20"/>
                <w:szCs w:val="20"/>
                <w:color w:val="auto"/>
              </w:rPr>
            </w:pPr>
            <w:r>
              <w:rPr>
                <w:rFonts w:ascii="Arial" w:cs="Arial" w:eastAsia="Arial" w:hAnsi="Arial"/>
                <w:sz w:val="18"/>
                <w:szCs w:val="18"/>
                <w:color w:val="auto"/>
              </w:rPr>
              <w:t>3/21/2023</w:t>
            </w:r>
          </w:p>
        </w:tc>
        <w:tc>
          <w:tcPr>
            <w:tcW w:w="1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r>
      <w:tr>
        <w:trPr>
          <w:trHeight w:val="237"/>
        </w:trPr>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92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March 16, 2023</w:t>
            </w: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76"/>
        </w:trPr>
        <w:tc>
          <w:tcPr>
            <w:tcW w:w="320" w:type="dxa"/>
            <w:vAlign w:val="bottom"/>
            <w:tcBorders>
              <w:bottom w:val="single" w:sz="8" w:color="0000EE"/>
            </w:tcBorders>
            <w:shd w:val="clear" w:color="auto" w:fill="CCEEFF"/>
          </w:tcPr>
          <w:p>
            <w:pPr>
              <w:spacing w:after="0" w:line="176" w:lineRule="exact"/>
              <w:rPr>
                <w:sz w:val="20"/>
                <w:szCs w:val="20"/>
                <w:color w:val="auto"/>
              </w:rPr>
            </w:pPr>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1</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920" w:type="dxa"/>
            <w:vAlign w:val="bottom"/>
            <w:tcBorders>
              <w:bottom w:val="single" w:sz="8" w:color="CCEEFF"/>
            </w:tcBorders>
            <w:gridSpan w:val="4"/>
            <w:shd w:val="clear" w:color="auto" w:fill="CCEEFF"/>
          </w:tcPr>
          <w:p>
            <w:pPr>
              <w:ind w:left="100"/>
              <w:spacing w:after="0" w:line="176" w:lineRule="exact"/>
              <w:rPr>
                <w:sz w:val="20"/>
                <w:szCs w:val="20"/>
                <w:color w:val="auto"/>
              </w:rPr>
            </w:pPr>
            <w:r>
              <w:rPr>
                <w:rFonts w:ascii="Arial" w:cs="Arial" w:eastAsia="Arial" w:hAnsi="Arial"/>
                <w:sz w:val="18"/>
                <w:szCs w:val="18"/>
                <w:color w:val="auto"/>
                <w:w w:val="95"/>
              </w:rPr>
              <w:t>Certification of Chief Executive Officer pursuant to Rule 13a-14(a)/15d-14(a)</w:t>
            </w:r>
          </w:p>
        </w:tc>
        <w:tc>
          <w:tcPr>
            <w:tcW w:w="10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X</w:t>
            </w:r>
          </w:p>
        </w:tc>
      </w:tr>
      <w:tr>
        <w:trPr>
          <w:trHeight w:val="222"/>
        </w:trPr>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92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of the Exchange Act, as adopted pursuant to Section 302 of</w:t>
            </w: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92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the Sarbanes-Oxley Act of 2002.</w:t>
            </w: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76"/>
        </w:trPr>
        <w:tc>
          <w:tcPr>
            <w:tcW w:w="320" w:type="dxa"/>
            <w:vAlign w:val="bottom"/>
            <w:tcBorders>
              <w:bottom w:val="single" w:sz="8" w:color="0000EE"/>
            </w:tcBorders>
            <w:shd w:val="clear" w:color="auto" w:fill="CCEEFF"/>
          </w:tcPr>
          <w:p>
            <w:pPr>
              <w:spacing w:after="0" w:line="176" w:lineRule="exact"/>
              <w:rPr>
                <w:sz w:val="20"/>
                <w:szCs w:val="20"/>
                <w:color w:val="auto"/>
              </w:rPr>
            </w:pPr>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2</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920" w:type="dxa"/>
            <w:vAlign w:val="bottom"/>
            <w:tcBorders>
              <w:bottom w:val="single" w:sz="8" w:color="CCEEFF"/>
            </w:tcBorders>
            <w:gridSpan w:val="4"/>
            <w:shd w:val="clear" w:color="auto" w:fill="CCEEFF"/>
          </w:tcPr>
          <w:p>
            <w:pPr>
              <w:ind w:left="100"/>
              <w:spacing w:after="0" w:line="176" w:lineRule="exact"/>
              <w:rPr>
                <w:sz w:val="20"/>
                <w:szCs w:val="20"/>
                <w:color w:val="auto"/>
              </w:rPr>
            </w:pPr>
            <w:r>
              <w:rPr>
                <w:rFonts w:ascii="Arial" w:cs="Arial" w:eastAsia="Arial" w:hAnsi="Arial"/>
                <w:sz w:val="18"/>
                <w:szCs w:val="18"/>
                <w:color w:val="auto"/>
                <w:w w:val="96"/>
              </w:rPr>
              <w:t>Certification of Chief Financial Officer pursuant to Rule 13a-14(a)/15d-14(a)</w:t>
            </w:r>
          </w:p>
        </w:tc>
        <w:tc>
          <w:tcPr>
            <w:tcW w:w="10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X</w:t>
            </w:r>
          </w:p>
        </w:tc>
      </w:tr>
      <w:tr>
        <w:trPr>
          <w:trHeight w:val="222"/>
        </w:trPr>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92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of the Exchange Act, as adopted pursuant to Section 302 of</w:t>
            </w: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92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the Sarbanes-Oxley Act of 2002.</w:t>
            </w: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75"/>
        </w:trPr>
        <w:tc>
          <w:tcPr>
            <w:tcW w:w="320" w:type="dxa"/>
            <w:vAlign w:val="bottom"/>
            <w:tcBorders>
              <w:bottom w:val="single" w:sz="8" w:color="0000EE"/>
            </w:tcBorders>
            <w:shd w:val="clear" w:color="auto" w:fill="CCEEFF"/>
          </w:tcPr>
          <w:p>
            <w:pPr>
              <w:spacing w:after="0" w:line="176" w:lineRule="exact"/>
              <w:rPr>
                <w:sz w:val="20"/>
                <w:szCs w:val="20"/>
                <w:color w:val="auto"/>
              </w:rPr>
            </w:pPr>
            <w:r>
              <w:rPr>
                <w:rFonts w:ascii="Arial" w:cs="Arial" w:eastAsia="Arial" w:hAnsi="Arial"/>
                <w:sz w:val="18"/>
                <w:szCs w:val="18"/>
                <w:color w:val="0000EE"/>
                <w:w w:val="85"/>
              </w:rPr>
              <w:t>32.</w:t>
            </w:r>
            <w:r>
              <w:rPr>
                <w:rFonts w:ascii="Arial" w:cs="Arial" w:eastAsia="Arial" w:hAnsi="Arial"/>
                <w:sz w:val="18"/>
                <w:szCs w:val="18"/>
                <w:u w:val="single" w:color="auto"/>
                <w:color w:val="0000EE"/>
                <w:w w:val="85"/>
              </w:rPr>
              <w:t>1</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920" w:type="dxa"/>
            <w:vAlign w:val="bottom"/>
            <w:tcBorders>
              <w:bottom w:val="single" w:sz="8" w:color="CCEEFF"/>
            </w:tcBorders>
            <w:gridSpan w:val="4"/>
            <w:shd w:val="clear" w:color="auto" w:fill="CCEEFF"/>
          </w:tcPr>
          <w:p>
            <w:pPr>
              <w:ind w:left="100"/>
              <w:spacing w:after="0" w:line="176" w:lineRule="exact"/>
              <w:rPr>
                <w:sz w:val="20"/>
                <w:szCs w:val="20"/>
                <w:color w:val="auto"/>
              </w:rPr>
            </w:pPr>
            <w:r>
              <w:rPr>
                <w:rFonts w:ascii="Arial" w:cs="Arial" w:eastAsia="Arial" w:hAnsi="Arial"/>
                <w:sz w:val="18"/>
                <w:szCs w:val="18"/>
                <w:color w:val="auto"/>
                <w:w w:val="93"/>
              </w:rPr>
              <w:t>Certification of Chief Executive Officer pursuant to 18 U.S.C. Section 1350, as</w:t>
            </w:r>
          </w:p>
        </w:tc>
        <w:tc>
          <w:tcPr>
            <w:tcW w:w="10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X</w:t>
            </w:r>
          </w:p>
        </w:tc>
      </w:tr>
      <w:tr>
        <w:trPr>
          <w:trHeight w:val="237"/>
        </w:trPr>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92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adopted pursuant to Section 906 of the Sarbanes-Oxley Act of 2002.</w:t>
            </w: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76"/>
        </w:trPr>
        <w:tc>
          <w:tcPr>
            <w:tcW w:w="320" w:type="dxa"/>
            <w:vAlign w:val="bottom"/>
            <w:tcBorders>
              <w:bottom w:val="single" w:sz="8" w:color="0000EE"/>
            </w:tcBorders>
            <w:shd w:val="clear" w:color="auto" w:fill="CCEEFF"/>
          </w:tcPr>
          <w:p>
            <w:pPr>
              <w:spacing w:after="0" w:line="176" w:lineRule="exact"/>
              <w:rPr>
                <w:sz w:val="20"/>
                <w:szCs w:val="20"/>
                <w:color w:val="auto"/>
              </w:rPr>
            </w:pPr>
            <w:r>
              <w:rPr>
                <w:rFonts w:ascii="Arial" w:cs="Arial" w:eastAsia="Arial" w:hAnsi="Arial"/>
                <w:sz w:val="18"/>
                <w:szCs w:val="18"/>
                <w:color w:val="0000EE"/>
                <w:w w:val="85"/>
              </w:rPr>
              <w:t>32.</w:t>
            </w:r>
            <w:r>
              <w:rPr>
                <w:rFonts w:ascii="Arial" w:cs="Arial" w:eastAsia="Arial" w:hAnsi="Arial"/>
                <w:sz w:val="18"/>
                <w:szCs w:val="18"/>
                <w:u w:val="single" w:color="auto"/>
                <w:color w:val="0000EE"/>
                <w:w w:val="85"/>
              </w:rPr>
              <w:t>2</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920" w:type="dxa"/>
            <w:vAlign w:val="bottom"/>
            <w:tcBorders>
              <w:bottom w:val="single" w:sz="8" w:color="CCEEFF"/>
            </w:tcBorders>
            <w:gridSpan w:val="4"/>
            <w:shd w:val="clear" w:color="auto" w:fill="CCEEFF"/>
          </w:tcPr>
          <w:p>
            <w:pPr>
              <w:ind w:left="100"/>
              <w:spacing w:after="0" w:line="176" w:lineRule="exact"/>
              <w:rPr>
                <w:sz w:val="20"/>
                <w:szCs w:val="20"/>
                <w:color w:val="auto"/>
              </w:rPr>
            </w:pPr>
            <w:r>
              <w:rPr>
                <w:rFonts w:ascii="Arial" w:cs="Arial" w:eastAsia="Arial" w:hAnsi="Arial"/>
                <w:sz w:val="18"/>
                <w:szCs w:val="18"/>
                <w:color w:val="auto"/>
                <w:w w:val="94"/>
              </w:rPr>
              <w:t>Certification of Chief Financial Officer pursuant to 18 U.S.C. Section 1350, as</w:t>
            </w:r>
          </w:p>
        </w:tc>
        <w:tc>
          <w:tcPr>
            <w:tcW w:w="10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X</w:t>
            </w:r>
          </w:p>
        </w:tc>
      </w:tr>
      <w:tr>
        <w:trPr>
          <w:trHeight w:val="237"/>
        </w:trPr>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92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adopted pursuant to Section 906 of the Sarbanes-Oxley Act of 2002.</w:t>
            </w: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2"/>
        </w:trPr>
        <w:tc>
          <w:tcPr>
            <w:tcW w:w="8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101.INS</w:t>
            </w:r>
          </w:p>
        </w:tc>
        <w:tc>
          <w:tcPr>
            <w:tcW w:w="100" w:type="dxa"/>
            <w:vAlign w:val="bottom"/>
            <w:shd w:val="clear" w:color="auto" w:fill="CCEEFF"/>
          </w:tcPr>
          <w:p>
            <w:pPr>
              <w:spacing w:after="0"/>
              <w:rPr>
                <w:sz w:val="17"/>
                <w:szCs w:val="17"/>
                <w:color w:val="auto"/>
              </w:rPr>
            </w:pPr>
          </w:p>
        </w:tc>
        <w:tc>
          <w:tcPr>
            <w:tcW w:w="5920" w:type="dxa"/>
            <w:vAlign w:val="bottom"/>
            <w:gridSpan w:val="4"/>
            <w:shd w:val="clear" w:color="auto" w:fill="CCEEFF"/>
          </w:tcPr>
          <w:p>
            <w:pPr>
              <w:ind w:left="100"/>
              <w:spacing w:after="0" w:line="201" w:lineRule="exact"/>
              <w:rPr>
                <w:sz w:val="20"/>
                <w:szCs w:val="20"/>
                <w:color w:val="auto"/>
              </w:rPr>
            </w:pPr>
            <w:r>
              <w:rPr>
                <w:rFonts w:ascii="Arial" w:cs="Arial" w:eastAsia="Arial" w:hAnsi="Arial"/>
                <w:sz w:val="18"/>
                <w:szCs w:val="18"/>
                <w:color w:val="auto"/>
                <w:w w:val="96"/>
              </w:rPr>
              <w:t>Inline XBRL Instance Document (the instance document does not appear in</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r>
      <w:tr>
        <w:trPr>
          <w:trHeight w:val="216"/>
        </w:trPr>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92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the Interactive Data File because its XBRL tags are embedded within the</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92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Inline XBRL document)</w:t>
            </w: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101.SCH</w:t>
            </w:r>
          </w:p>
        </w:tc>
        <w:tc>
          <w:tcPr>
            <w:tcW w:w="100" w:type="dxa"/>
            <w:vAlign w:val="bottom"/>
            <w:shd w:val="clear" w:color="auto" w:fill="CCEEFF"/>
          </w:tcPr>
          <w:p>
            <w:pPr>
              <w:spacing w:after="0"/>
              <w:rPr>
                <w:sz w:val="18"/>
                <w:szCs w:val="18"/>
                <w:color w:val="auto"/>
              </w:rPr>
            </w:pPr>
          </w:p>
        </w:tc>
        <w:tc>
          <w:tcPr>
            <w:tcW w:w="592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Inline XBRL Taxonomy Extension Schema Document</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101.CAL</w:t>
            </w:r>
          </w:p>
        </w:tc>
        <w:tc>
          <w:tcPr>
            <w:tcW w:w="100" w:type="dxa"/>
            <w:vAlign w:val="bottom"/>
            <w:shd w:val="clear" w:color="auto" w:fill="CCEEFF"/>
          </w:tcPr>
          <w:p>
            <w:pPr>
              <w:spacing w:after="0"/>
              <w:rPr>
                <w:sz w:val="18"/>
                <w:szCs w:val="18"/>
                <w:color w:val="auto"/>
              </w:rPr>
            </w:pPr>
          </w:p>
        </w:tc>
        <w:tc>
          <w:tcPr>
            <w:tcW w:w="592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Inline XBRL Taxonomy Extension Calculation Linkbase Document</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101.DEF</w:t>
            </w:r>
          </w:p>
        </w:tc>
        <w:tc>
          <w:tcPr>
            <w:tcW w:w="100" w:type="dxa"/>
            <w:vAlign w:val="bottom"/>
            <w:shd w:val="clear" w:color="auto" w:fill="CCEEFF"/>
          </w:tcPr>
          <w:p>
            <w:pPr>
              <w:spacing w:after="0"/>
              <w:rPr>
                <w:sz w:val="18"/>
                <w:szCs w:val="18"/>
                <w:color w:val="auto"/>
              </w:rPr>
            </w:pPr>
          </w:p>
        </w:tc>
        <w:tc>
          <w:tcPr>
            <w:tcW w:w="592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Inline XBRL Taxonomy Extension Definition Linkbase Document</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101.LAB</w:t>
            </w:r>
          </w:p>
        </w:tc>
        <w:tc>
          <w:tcPr>
            <w:tcW w:w="100" w:type="dxa"/>
            <w:vAlign w:val="bottom"/>
            <w:shd w:val="clear" w:color="auto" w:fill="CCEEFF"/>
          </w:tcPr>
          <w:p>
            <w:pPr>
              <w:spacing w:after="0"/>
              <w:rPr>
                <w:sz w:val="18"/>
                <w:szCs w:val="18"/>
                <w:color w:val="auto"/>
              </w:rPr>
            </w:pPr>
          </w:p>
        </w:tc>
        <w:tc>
          <w:tcPr>
            <w:tcW w:w="592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Inline XBRL Taxonomy Extension Label Linkbase Document</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101.PRE</w:t>
            </w:r>
          </w:p>
        </w:tc>
        <w:tc>
          <w:tcPr>
            <w:tcW w:w="100" w:type="dxa"/>
            <w:vAlign w:val="bottom"/>
            <w:shd w:val="clear" w:color="auto" w:fill="CCEEFF"/>
          </w:tcPr>
          <w:p>
            <w:pPr>
              <w:spacing w:after="0"/>
              <w:rPr>
                <w:sz w:val="18"/>
                <w:szCs w:val="18"/>
                <w:color w:val="auto"/>
              </w:rPr>
            </w:pPr>
          </w:p>
        </w:tc>
        <w:tc>
          <w:tcPr>
            <w:tcW w:w="592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Inline XBRL Taxonomy Extension Presentation Linkbase Document</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2"/>
        </w:trPr>
        <w:tc>
          <w:tcPr>
            <w:tcW w:w="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104</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920" w:type="dxa"/>
            <w:vAlign w:val="bottom"/>
            <w:gridSpan w:val="4"/>
            <w:shd w:val="clear" w:color="auto" w:fill="CCEEFF"/>
          </w:tcPr>
          <w:p>
            <w:pPr>
              <w:ind w:left="100"/>
              <w:spacing w:after="0" w:line="201" w:lineRule="exact"/>
              <w:rPr>
                <w:sz w:val="20"/>
                <w:szCs w:val="20"/>
                <w:color w:val="auto"/>
              </w:rPr>
            </w:pPr>
            <w:r>
              <w:rPr>
                <w:rFonts w:ascii="Arial" w:cs="Arial" w:eastAsia="Arial" w:hAnsi="Arial"/>
                <w:sz w:val="18"/>
                <w:szCs w:val="18"/>
                <w:color w:val="auto"/>
                <w:w w:val="95"/>
              </w:rPr>
              <w:t>Cover Page Interactive Data File (formatted as inline XBRL and contained in</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r>
      <w:tr>
        <w:trPr>
          <w:trHeight w:val="230"/>
        </w:trPr>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92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Exhibit 101)</w:t>
            </w: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568"/>
        </w:trPr>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920" w:type="dxa"/>
            <w:vAlign w:val="bottom"/>
            <w:gridSpan w:val="4"/>
          </w:tcPr>
          <w:p>
            <w:pPr>
              <w:jc w:val="right"/>
              <w:ind w:right="930"/>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6"/>
        </w:trPr>
        <w:tc>
          <w:tcPr>
            <w:tcW w:w="3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14" w:right="339" w:bottom="1440" w:gutter="0" w:footer="0" w:header="0"/>
        </w:sectPr>
      </w:pPr>
    </w:p>
    <w:bookmarkStart w:id="39" w:name="page40"/>
    <w:bookmarkEnd w:id="39"/>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288"/>
        <w:spacing w:after="0" w:line="277"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thereunto duly authorized.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Photronics, Inc.</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2980" w:type="dxa"/>
            <w:vAlign w:val="bottom"/>
            <w:gridSpan w:val="2"/>
          </w:tcPr>
          <w:p>
            <w:pPr>
              <w:ind w:left="40"/>
              <w:spacing w:after="0"/>
              <w:rPr>
                <w:sz w:val="20"/>
                <w:szCs w:val="20"/>
                <w:color w:val="auto"/>
              </w:rPr>
            </w:pPr>
            <w:r>
              <w:rPr>
                <w:rFonts w:ascii="Arial" w:cs="Arial" w:eastAsia="Arial" w:hAnsi="Arial"/>
                <w:sz w:val="18"/>
                <w:szCs w:val="18"/>
                <w:color w:val="auto"/>
              </w:rPr>
              <w:t>By: /s/ JOHN P. JORDAN</w:t>
            </w:r>
          </w:p>
        </w:tc>
        <w:tc>
          <w:tcPr>
            <w:tcW w:w="5780" w:type="dxa"/>
            <w:vAlign w:val="bottom"/>
            <w:gridSpan w:val="2"/>
          </w:tcPr>
          <w:p>
            <w:pPr>
              <w:ind w:left="2640"/>
              <w:spacing w:after="0"/>
              <w:rPr>
                <w:sz w:val="20"/>
                <w:szCs w:val="20"/>
                <w:color w:val="auto"/>
              </w:rPr>
            </w:pPr>
            <w:r>
              <w:rPr>
                <w:rFonts w:ascii="Arial" w:cs="Arial" w:eastAsia="Arial" w:hAnsi="Arial"/>
                <w:sz w:val="18"/>
                <w:szCs w:val="18"/>
                <w:color w:val="auto"/>
              </w:rPr>
              <w:t>By:  /s/ ERIC RIVERA</w:t>
            </w:r>
          </w:p>
        </w:tc>
        <w:tc>
          <w:tcPr>
            <w:tcW w:w="2480" w:type="dxa"/>
            <w:vAlign w:val="bottom"/>
          </w:tcPr>
          <w:p>
            <w:pPr>
              <w:spacing w:after="0"/>
              <w:rPr>
                <w:sz w:val="21"/>
                <w:szCs w:val="21"/>
                <w:color w:val="auto"/>
              </w:rPr>
            </w:pPr>
          </w:p>
        </w:tc>
      </w:tr>
      <w:tr>
        <w:trPr>
          <w:trHeight w:val="202"/>
        </w:trPr>
        <w:tc>
          <w:tcPr>
            <w:tcW w:w="340" w:type="dxa"/>
            <w:vAlign w:val="bottom"/>
          </w:tcPr>
          <w:p>
            <w:pPr>
              <w:spacing w:after="0"/>
              <w:rPr>
                <w:sz w:val="17"/>
                <w:szCs w:val="17"/>
                <w:color w:val="auto"/>
              </w:rPr>
            </w:pPr>
          </w:p>
        </w:tc>
        <w:tc>
          <w:tcPr>
            <w:tcW w:w="26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JOHN P. JORDAN</w:t>
            </w:r>
          </w:p>
        </w:tc>
        <w:tc>
          <w:tcPr>
            <w:tcW w:w="2980" w:type="dxa"/>
            <w:vAlign w:val="bottom"/>
          </w:tcPr>
          <w:p>
            <w:pPr>
              <w:spacing w:after="0"/>
              <w:rPr>
                <w:sz w:val="17"/>
                <w:szCs w:val="17"/>
                <w:color w:val="auto"/>
              </w:rPr>
            </w:pPr>
          </w:p>
        </w:tc>
        <w:tc>
          <w:tcPr>
            <w:tcW w:w="28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ERIC RIVERA</w:t>
            </w:r>
          </w:p>
        </w:tc>
        <w:tc>
          <w:tcPr>
            <w:tcW w:w="248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Executive Vice President,</w:t>
            </w:r>
          </w:p>
        </w:tc>
        <w:tc>
          <w:tcPr>
            <w:tcW w:w="5780" w:type="dxa"/>
            <w:vAlign w:val="bottom"/>
            <w:gridSpan w:val="2"/>
          </w:tcPr>
          <w:p>
            <w:pPr>
              <w:ind w:left="2980"/>
              <w:spacing w:after="0"/>
              <w:rPr>
                <w:sz w:val="20"/>
                <w:szCs w:val="20"/>
                <w:color w:val="auto"/>
              </w:rPr>
            </w:pPr>
            <w:r>
              <w:rPr>
                <w:rFonts w:ascii="Arial" w:cs="Arial" w:eastAsia="Arial" w:hAnsi="Arial"/>
                <w:sz w:val="18"/>
                <w:szCs w:val="18"/>
                <w:color w:val="auto"/>
              </w:rPr>
              <w:t>Vice President,</w:t>
            </w:r>
          </w:p>
        </w:tc>
        <w:tc>
          <w:tcPr>
            <w:tcW w:w="2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5780" w:type="dxa"/>
            <w:vAlign w:val="bottom"/>
            <w:gridSpan w:val="2"/>
          </w:tcPr>
          <w:p>
            <w:pPr>
              <w:ind w:left="2980"/>
              <w:spacing w:after="0"/>
              <w:rPr>
                <w:sz w:val="20"/>
                <w:szCs w:val="20"/>
                <w:color w:val="auto"/>
              </w:rPr>
            </w:pPr>
            <w:r>
              <w:rPr>
                <w:rFonts w:ascii="Arial" w:cs="Arial" w:eastAsia="Arial" w:hAnsi="Arial"/>
                <w:sz w:val="18"/>
                <w:szCs w:val="18"/>
                <w:color w:val="auto"/>
              </w:rPr>
              <w:t>Corporate Controller</w:t>
            </w:r>
          </w:p>
        </w:tc>
        <w:tc>
          <w:tcPr>
            <w:tcW w:w="248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(Principal Financial Officer)</w:t>
            </w:r>
          </w:p>
        </w:tc>
        <w:tc>
          <w:tcPr>
            <w:tcW w:w="5780" w:type="dxa"/>
            <w:vAlign w:val="bottom"/>
            <w:gridSpan w:val="2"/>
          </w:tcPr>
          <w:p>
            <w:pPr>
              <w:ind w:left="2980"/>
              <w:spacing w:after="0"/>
              <w:rPr>
                <w:sz w:val="20"/>
                <w:szCs w:val="20"/>
                <w:color w:val="auto"/>
              </w:rPr>
            </w:pPr>
            <w:r>
              <w:rPr>
                <w:rFonts w:ascii="Arial" w:cs="Arial" w:eastAsia="Arial" w:hAnsi="Arial"/>
                <w:sz w:val="18"/>
                <w:szCs w:val="18"/>
                <w:color w:val="auto"/>
              </w:rPr>
              <w:t>(Principal Accounting Officer)</w:t>
            </w:r>
          </w:p>
        </w:tc>
        <w:tc>
          <w:tcPr>
            <w:tcW w:w="2480" w:type="dxa"/>
            <w:vAlign w:val="bottom"/>
          </w:tcPr>
          <w:p>
            <w:pPr>
              <w:spacing w:after="0"/>
              <w:rPr>
                <w:sz w:val="20"/>
                <w:szCs w:val="20"/>
                <w:color w:val="auto"/>
              </w:rPr>
            </w:pPr>
          </w:p>
        </w:tc>
      </w:tr>
      <w:tr>
        <w:trPr>
          <w:trHeight w:val="432"/>
        </w:trPr>
        <w:tc>
          <w:tcPr>
            <w:tcW w:w="2980" w:type="dxa"/>
            <w:vAlign w:val="bottom"/>
            <w:gridSpan w:val="2"/>
          </w:tcPr>
          <w:p>
            <w:pPr>
              <w:spacing w:after="0"/>
              <w:rPr>
                <w:sz w:val="20"/>
                <w:szCs w:val="20"/>
                <w:color w:val="auto"/>
              </w:rPr>
            </w:pPr>
            <w:r>
              <w:rPr>
                <w:rFonts w:ascii="Arial" w:cs="Arial" w:eastAsia="Arial" w:hAnsi="Arial"/>
                <w:sz w:val="18"/>
                <w:szCs w:val="18"/>
                <w:color w:val="auto"/>
              </w:rPr>
              <w:t>Date: June 7, 2023</w:t>
            </w:r>
          </w:p>
        </w:tc>
        <w:tc>
          <w:tcPr>
            <w:tcW w:w="5780" w:type="dxa"/>
            <w:vAlign w:val="bottom"/>
            <w:gridSpan w:val="2"/>
          </w:tcPr>
          <w:p>
            <w:pPr>
              <w:ind w:left="2640"/>
              <w:spacing w:after="0"/>
              <w:rPr>
                <w:sz w:val="20"/>
                <w:szCs w:val="20"/>
                <w:color w:val="auto"/>
              </w:rPr>
            </w:pPr>
            <w:r>
              <w:rPr>
                <w:rFonts w:ascii="Arial" w:cs="Arial" w:eastAsia="Arial" w:hAnsi="Arial"/>
                <w:sz w:val="18"/>
                <w:szCs w:val="18"/>
                <w:color w:val="auto"/>
              </w:rPr>
              <w:t>Date: June 7, 2023</w:t>
            </w:r>
          </w:p>
        </w:tc>
        <w:tc>
          <w:tcPr>
            <w:tcW w:w="2480" w:type="dxa"/>
            <w:vAlign w:val="bottom"/>
          </w:tcPr>
          <w:p>
            <w:pPr>
              <w:spacing w:after="0"/>
              <w:rPr>
                <w:sz w:val="24"/>
                <w:szCs w:val="24"/>
                <w:color w:val="auto"/>
              </w:rPr>
            </w:pPr>
          </w:p>
        </w:tc>
      </w:tr>
      <w:tr>
        <w:trPr>
          <w:trHeight w:val="595"/>
        </w:trPr>
        <w:tc>
          <w:tcPr>
            <w:tcW w:w="3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980" w:type="dxa"/>
            <w:vAlign w:val="bottom"/>
          </w:tcPr>
          <w:p>
            <w:pPr>
              <w:jc w:val="right"/>
              <w:ind w:right="173"/>
              <w:spacing w:after="0"/>
              <w:rPr>
                <w:sz w:val="20"/>
                <w:szCs w:val="20"/>
                <w:color w:val="auto"/>
              </w:rPr>
            </w:pPr>
            <w:r>
              <w:rPr>
                <w:rFonts w:ascii="Arial" w:cs="Arial" w:eastAsia="Arial" w:hAnsi="Arial"/>
                <w:sz w:val="14"/>
                <w:szCs w:val="14"/>
                <w:color w:val="auto"/>
              </w:rPr>
              <w:t>39</w:t>
            </w:r>
          </w:p>
        </w:tc>
        <w:tc>
          <w:tcPr>
            <w:tcW w:w="280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87"/>
        </w:trPr>
        <w:tc>
          <w:tcPr>
            <w:tcW w:w="340" w:type="dxa"/>
            <w:vAlign w:val="bottom"/>
            <w:tcBorders>
              <w:bottom w:val="single" w:sz="8" w:color="auto"/>
            </w:tcBorders>
          </w:tcPr>
          <w:p>
            <w:pPr>
              <w:spacing w:after="0"/>
              <w:rPr>
                <w:sz w:val="7"/>
                <w:szCs w:val="7"/>
                <w:color w:val="auto"/>
              </w:rPr>
            </w:pPr>
          </w:p>
        </w:tc>
        <w:tc>
          <w:tcPr>
            <w:tcW w:w="2640" w:type="dxa"/>
            <w:vAlign w:val="bottom"/>
            <w:tcBorders>
              <w:bottom w:val="single" w:sz="8" w:color="auto"/>
            </w:tcBorders>
          </w:tcPr>
          <w:p>
            <w:pPr>
              <w:spacing w:after="0"/>
              <w:rPr>
                <w:sz w:val="7"/>
                <w:szCs w:val="7"/>
                <w:color w:val="auto"/>
              </w:rPr>
            </w:pPr>
          </w:p>
        </w:tc>
        <w:tc>
          <w:tcPr>
            <w:tcW w:w="2980" w:type="dxa"/>
            <w:vAlign w:val="bottom"/>
            <w:tcBorders>
              <w:bottom w:val="single" w:sz="8" w:color="auto"/>
            </w:tcBorders>
          </w:tcPr>
          <w:p>
            <w:pPr>
              <w:spacing w:after="0"/>
              <w:rPr>
                <w:sz w:val="7"/>
                <w:szCs w:val="7"/>
                <w:color w:val="auto"/>
              </w:rPr>
            </w:pPr>
          </w:p>
        </w:tc>
        <w:tc>
          <w:tcPr>
            <w:tcW w:w="2800" w:type="dxa"/>
            <w:vAlign w:val="bottom"/>
            <w:tcBorders>
              <w:bottom w:val="single" w:sz="8" w:color="auto"/>
            </w:tcBorders>
          </w:tcPr>
          <w:p>
            <w:pPr>
              <w:spacing w:after="0"/>
              <w:rPr>
                <w:sz w:val="7"/>
                <w:szCs w:val="7"/>
                <w:color w:val="auto"/>
              </w:rPr>
            </w:pPr>
          </w:p>
        </w:tc>
        <w:tc>
          <w:tcPr>
            <w:tcW w:w="2480" w:type="dxa"/>
            <w:vAlign w:val="bottom"/>
            <w:tcBorders>
              <w:bottom w:val="single" w:sz="8" w:color="auto"/>
            </w:tcBorders>
          </w:tcPr>
          <w:p>
            <w:pPr>
              <w:spacing w:after="0"/>
              <w:rPr>
                <w:sz w:val="7"/>
                <w:szCs w:val="7"/>
                <w:color w:val="auto"/>
              </w:rPr>
            </w:pPr>
          </w:p>
        </w:tc>
      </w:tr>
    </w:tbl>
    <w:p>
      <w:pPr>
        <w:sectPr>
          <w:pgSz w:w="11900" w:h="16838" w:orient="portrait"/>
          <w:cols w:equalWidth="0" w:num="1">
            <w:col w:w="11240"/>
          </w:cols>
          <w:pgMar w:left="320" w:top="122" w:right="339" w:bottom="1440" w:gutter="0" w:footer="0" w:header="0"/>
        </w:sectPr>
      </w:pPr>
    </w:p>
    <w:bookmarkStart w:id="40" w:name="page41"/>
    <w:bookmarkEnd w:id="40"/>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I, Frank Lee, certify that:</w:t>
      </w:r>
    </w:p>
    <w:p>
      <w:pPr>
        <w:spacing w:after="0" w:line="252" w:lineRule="exact"/>
        <w:rPr>
          <w:sz w:val="20"/>
          <w:szCs w:val="20"/>
          <w:color w:val="auto"/>
        </w:rPr>
      </w:pPr>
    </w:p>
    <w:p>
      <w:pPr>
        <w:ind w:left="500" w:hanging="330"/>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Photronics, Inc.</w:t>
      </w:r>
    </w:p>
    <w:p>
      <w:pPr>
        <w:spacing w:after="0" w:line="252" w:lineRule="exact"/>
        <w:rPr>
          <w:sz w:val="20"/>
          <w:szCs w:val="20"/>
          <w:color w:val="auto"/>
        </w:rPr>
      </w:pPr>
    </w:p>
    <w:p>
      <w:pPr>
        <w:jc w:val="both"/>
        <w:ind w:left="500" w:right="280" w:hanging="330"/>
        <w:spacing w:after="0" w:line="263"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1" w:lineRule="exact"/>
        <w:rPr>
          <w:sz w:val="20"/>
          <w:szCs w:val="20"/>
          <w:color w:val="auto"/>
        </w:rPr>
      </w:pPr>
    </w:p>
    <w:p>
      <w:pPr>
        <w:ind w:left="500" w:right="240" w:hanging="330"/>
        <w:spacing w:after="0" w:line="308" w:lineRule="auto"/>
        <w:tabs>
          <w:tab w:leader="none" w:pos="50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sz w:val="20"/>
          <w:szCs w:val="20"/>
          <w:color w:val="auto"/>
        </w:rPr>
      </w:pPr>
    </w:p>
    <w:p>
      <w:pPr>
        <w:ind w:left="500" w:right="300" w:hanging="330"/>
        <w:spacing w:after="0" w:line="263"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980" w:right="100" w:hanging="486"/>
        <w:spacing w:after="0" w:line="263"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980" w:right="360" w:hanging="486"/>
        <w:spacing w:after="0" w:line="263"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980" w:right="540" w:hanging="486"/>
        <w:spacing w:after="0" w:line="342" w:lineRule="auto"/>
        <w:tabs>
          <w:tab w:leader="none" w:pos="98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980" w:right="120" w:hanging="486"/>
        <w:spacing w:after="0" w:line="263"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500" w:right="180" w:hanging="330"/>
        <w:spacing w:after="0" w:line="308" w:lineRule="auto"/>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hanging="486"/>
        <w:spacing w:after="0" w:line="308" w:lineRule="auto"/>
        <w:tabs>
          <w:tab w:leader="none" w:pos="980" w:val="left"/>
        </w:tabs>
        <w:numPr>
          <w:ilvl w:val="1"/>
          <w:numId w:val="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980" w:right="540" w:hanging="486"/>
        <w:spacing w:after="0" w:line="277"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FRANK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Frank Lee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41" w:name="page42"/>
    <w:bookmarkEnd w:id="41"/>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I, John P. Jordan, certify that:</w:t>
      </w:r>
    </w:p>
    <w:p>
      <w:pPr>
        <w:spacing w:after="0" w:line="240"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Photronics, Inc.</w:t>
      </w:r>
    </w:p>
    <w:p>
      <w:pPr>
        <w:spacing w:after="0" w:line="252" w:lineRule="exact"/>
        <w:rPr>
          <w:rFonts w:ascii="Arial" w:cs="Arial" w:eastAsia="Arial" w:hAnsi="Arial"/>
          <w:sz w:val="18"/>
          <w:szCs w:val="18"/>
          <w:color w:val="auto"/>
        </w:rPr>
      </w:pPr>
    </w:p>
    <w:p>
      <w:pPr>
        <w:jc w:val="both"/>
        <w:ind w:left="500" w:right="180" w:hanging="492"/>
        <w:spacing w:after="0" w:line="263"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500" w:right="140" w:hanging="492"/>
        <w:spacing w:after="0" w:line="308" w:lineRule="auto"/>
        <w:tabs>
          <w:tab w:leader="none" w:pos="50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500" w:right="200" w:hanging="492"/>
        <w:spacing w:after="0" w:line="263"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980" w:hanging="486"/>
        <w:spacing w:after="0" w:line="263"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980" w:right="260" w:hanging="486"/>
        <w:spacing w:after="0" w:line="263"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980" w:right="440" w:hanging="486"/>
        <w:spacing w:after="0" w:line="342" w:lineRule="auto"/>
        <w:tabs>
          <w:tab w:leader="none" w:pos="98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980" w:right="20" w:hanging="486"/>
        <w:spacing w:after="0" w:line="263"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500" w:right="80" w:hanging="492"/>
        <w:spacing w:after="0" w:line="308" w:lineRule="auto"/>
        <w:tabs>
          <w:tab w:leader="none" w:pos="5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140" w:right="560" w:hanging="646"/>
        <w:spacing w:after="0" w:line="342" w:lineRule="auto"/>
        <w:tabs>
          <w:tab w:leader="none" w:pos="1140"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140" w:right="280" w:hanging="646"/>
        <w:spacing w:after="0" w:line="277" w:lineRule="auto"/>
        <w:tabs>
          <w:tab w:leader="none" w:pos="114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JOHN P. JORDAN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John P. Jordan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382" w:right="439" w:bottom="1440" w:gutter="0" w:footer="0" w:header="0"/>
        </w:sectPr>
      </w:pPr>
    </w:p>
    <w:bookmarkStart w:id="42" w:name="page43"/>
    <w:bookmarkEnd w:id="42"/>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1350 Certification of the Chief Executive Officer</w:t>
      </w:r>
    </w:p>
    <w:p>
      <w:pPr>
        <w:spacing w:after="0" w:line="246" w:lineRule="exact"/>
        <w:rPr>
          <w:sz w:val="20"/>
          <w:szCs w:val="20"/>
          <w:color w:val="auto"/>
        </w:rPr>
      </w:pPr>
    </w:p>
    <w:p>
      <w:pPr>
        <w:ind w:left="180" w:hanging="161"/>
        <w:spacing w:after="0" w:line="277" w:lineRule="auto"/>
        <w:rPr>
          <w:sz w:val="20"/>
          <w:szCs w:val="20"/>
          <w:color w:val="auto"/>
        </w:rPr>
      </w:pPr>
      <w:r>
        <w:rPr>
          <w:rFonts w:ascii="Arial" w:cs="Arial" w:eastAsia="Arial" w:hAnsi="Arial"/>
          <w:sz w:val="18"/>
          <w:szCs w:val="18"/>
          <w:color w:val="auto"/>
        </w:rPr>
        <w:t>I, Frank Lee, Chief Executive Officer of Photronics, Inc. (the “Company”), certify, to my knowledge, pursuant to Section 906 of the Sarbanes-Oxley Act of 2002, 18 U.S.C. Section 1350, that:</w:t>
      </w:r>
    </w:p>
    <w:p>
      <w:pPr>
        <w:spacing w:after="0" w:line="197" w:lineRule="exact"/>
        <w:rPr>
          <w:sz w:val="20"/>
          <w:szCs w:val="20"/>
          <w:color w:val="auto"/>
        </w:rPr>
      </w:pPr>
    </w:p>
    <w:p>
      <w:pPr>
        <w:ind w:left="340" w:right="440" w:hanging="332"/>
        <w:spacing w:after="0" w:line="277"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April 30, 2023 (the "Report") fully complies with the requirements of Section 13(a) or 15(d) of the Securities Exchange Act of 1934; and</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56" w:lineRule="exact"/>
        <w:rPr>
          <w:sz w:val="20"/>
          <w:szCs w:val="20"/>
          <w:color w:val="auto"/>
        </w:rPr>
      </w:pPr>
    </w:p>
    <w:p>
      <w:pPr>
        <w:ind w:right="240"/>
        <w:spacing w:after="0" w:line="238" w:lineRule="auto"/>
        <w:rPr>
          <w:sz w:val="20"/>
          <w:szCs w:val="20"/>
          <w:color w:val="auto"/>
        </w:rPr>
      </w:pPr>
      <w:r>
        <w:rPr>
          <w:rFonts w:ascii="Arial" w:cs="Arial" w:eastAsia="Arial" w:hAnsi="Arial"/>
          <w:sz w:val="22"/>
          <w:szCs w:val="22"/>
          <w:color w:val="auto"/>
        </w:rPr>
        <w:t>The foregoing certification is being furnished pursuant to 18 U.S.C. § 1350 and will not be deemed "filed" for purposes of Section 18 of the Exchange Act, or otherwise subject to the liability of that section. Such certification will not be deemed to be incorporated by reference into any filing under the Securities Act or the Exchange Act, except to the extent that the registrant specifically incorporates it by reference.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 FRANK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Frank Lee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82" w:right="379" w:bottom="1440" w:gutter="0" w:footer="0" w:header="0"/>
        </w:sectPr>
      </w:pPr>
    </w:p>
    <w:bookmarkStart w:id="43" w:name="page44"/>
    <w:bookmarkEnd w:id="43"/>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1350 Certification of the Chief Financial Officer</w:t>
      </w:r>
    </w:p>
    <w:p>
      <w:pPr>
        <w:spacing w:after="0" w:line="246" w:lineRule="exact"/>
        <w:rPr>
          <w:sz w:val="20"/>
          <w:szCs w:val="20"/>
          <w:color w:val="auto"/>
        </w:rPr>
      </w:pPr>
    </w:p>
    <w:p>
      <w:pPr>
        <w:ind w:left="180" w:hanging="161"/>
        <w:spacing w:after="0" w:line="277" w:lineRule="auto"/>
        <w:rPr>
          <w:sz w:val="20"/>
          <w:szCs w:val="20"/>
          <w:color w:val="auto"/>
        </w:rPr>
      </w:pPr>
      <w:r>
        <w:rPr>
          <w:rFonts w:ascii="Arial" w:cs="Arial" w:eastAsia="Arial" w:hAnsi="Arial"/>
          <w:sz w:val="18"/>
          <w:szCs w:val="18"/>
          <w:color w:val="auto"/>
        </w:rPr>
        <w:t>I, John P. Jordan, Chief Financial Officer of Photronics, Inc. (the “Company”), certify, to my knowledge, pursuant to Section 906 of the Sarbanes-Oxley Act of 2002, 18 U.S.C. Section 1350, that:</w:t>
      </w:r>
    </w:p>
    <w:p>
      <w:pPr>
        <w:spacing w:after="0" w:line="197" w:lineRule="exact"/>
        <w:rPr>
          <w:sz w:val="20"/>
          <w:szCs w:val="20"/>
          <w:color w:val="auto"/>
        </w:rPr>
      </w:pPr>
    </w:p>
    <w:p>
      <w:pPr>
        <w:ind w:left="500" w:right="40" w:hanging="492"/>
        <w:spacing w:after="0" w:line="277"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April 30, 2023 (the "Report") fully complies with the requirements of Section 13(a) or 15(d) of the Securities Exchange Act of 1934; and</w:t>
      </w:r>
    </w:p>
    <w:p>
      <w:pPr>
        <w:spacing w:after="0" w:line="197" w:lineRule="exact"/>
        <w:rPr>
          <w:rFonts w:ascii="Arial" w:cs="Arial" w:eastAsia="Arial" w:hAnsi="Arial"/>
          <w:sz w:val="18"/>
          <w:szCs w:val="18"/>
          <w:color w:val="auto"/>
        </w:rPr>
      </w:pPr>
    </w:p>
    <w:p>
      <w:pPr>
        <w:ind w:left="500" w:hanging="492"/>
        <w:spacing w:after="0"/>
        <w:tabs>
          <w:tab w:leader="none" w:pos="5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68"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The foregoing certification is being furnished pursuant to 18 U.S.C. § 1350 and will not be deemed "filed" for purposes of Section 18 of the Exchange Act, or otherwise subject to the liability of that section. Such certification will not be deemed to be incorporated by reference into any filing under the Securities Act or the Exchange Act, except to the extent that the registrant specifically incorporates it by reference.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 JOHN P. JORDAN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John P. Jordan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960"/>
      </w:cols>
      <w:pgMar w:left="320" w:top="382"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bullet"/>
      <w:start w:val="1"/>
    </w:lvl>
  </w:abstractNum>
  <w:abstractNum w:abstractNumId="5">
    <w:nsid w:val="515F007C"/>
    <w:multiLevelType w:val="hybridMultilevel"/>
    <w:lvl w:ilvl="0">
      <w:lvlJc w:val="left"/>
      <w:lvlText w:val="%1."/>
      <w:numFmt w:val="decimal"/>
      <w:start w:val="2"/>
    </w:lvl>
  </w:abstractNum>
  <w:abstractNum w:abstractNumId="6">
    <w:nsid w:val="5BD062C2"/>
    <w:multiLevelType w:val="hybridMultilevel"/>
    <w:lvl w:ilvl="0">
      <w:lvlJc w:val="left"/>
      <w:lvlText w:val="3"/>
      <w:numFmt w:val="bullet"/>
      <w:start w:val="1"/>
    </w:lvl>
  </w:abstractNum>
  <w:abstractNum w:abstractNumId="7">
    <w:nsid w:val="12200854"/>
    <w:multiLevelType w:val="hybridMultilevel"/>
    <w:lvl w:ilvl="0">
      <w:lvlJc w:val="left"/>
      <w:lvlText w:val="%1."/>
      <w:numFmt w:val="decimal"/>
      <w:start w:val="4"/>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53" Type="http://schemas.openxmlformats.org/officeDocument/2006/relationships/hyperlink" Target="https://www.sec.gov/Archives/edgar/data/810136/000114036123012836/brhc10049907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2023-06-08T05:13:17Z</dcterms:created>
  <dcterms:modified xsi:type="dcterms:W3CDTF">2023-06-08T05:13:17Z</dcterms:modified>
</cp:coreProperties>
</file>