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66" w:lineRule="exact"/>
        <w:rPr>
          <w:sz w:val="24"/>
          <w:szCs w:val="24"/>
          <w:color w:val="auto"/>
        </w:rPr>
      </w:pPr>
    </w:p>
    <w:p>
      <w:pPr>
        <w:ind w:left="4000" w:right="1880" w:hanging="3992"/>
        <w:spacing w:after="0" w:line="277" w:lineRule="auto"/>
        <w:tabs>
          <w:tab w:leader="none" w:pos="48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QUARTERLY REPORT PURSUANT TO SECTION 13 OR 15 (d) OF THE SECURITIES EXCHANGE ACT OF 1934 For the quarterly period ended May 3, 2020</w:t>
      </w:r>
    </w:p>
    <w:p>
      <w:pPr>
        <w:spacing w:after="0" w:line="170" w:lineRule="exact"/>
        <w:rPr>
          <w:sz w:val="24"/>
          <w:szCs w:val="24"/>
          <w:color w:val="auto"/>
        </w:rPr>
      </w:pPr>
    </w:p>
    <w:p>
      <w:pPr>
        <w:ind w:left="4100" w:right="1840" w:hanging="4092"/>
        <w:spacing w:after="0" w:line="532" w:lineRule="auto"/>
        <w:tabs>
          <w:tab w:leader="none" w:pos="497"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TRANSITION REPORT PURSUANT TO SECTION 13 OR 15 (d) OF THE SECURITIES EXCHANGE ACT OF 1934 For the transition period from ___ to ___</w:t>
      </w:r>
    </w:p>
    <w:p>
      <w:pPr>
        <w:ind w:left="4380"/>
        <w:spacing w:after="0"/>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Commission file number 0-15451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3305175</wp:posOffset>
            </wp:positionH>
            <wp:positionV relativeFrom="paragraph">
              <wp:posOffset>168910</wp:posOffset>
            </wp:positionV>
            <wp:extent cx="531495" cy="5829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1495"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PHOTRONICS,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32" w:lineRule="exact"/>
        <w:rPr>
          <w:sz w:val="24"/>
          <w:szCs w:val="24"/>
          <w:color w:val="auto"/>
        </w:rPr>
      </w:pPr>
    </w:p>
    <w:tbl>
      <w:tblPr>
        <w:tblLayout w:type="fixed"/>
        <w:tblInd w:w="10" w:type="dxa"/>
        <w:tblCellMar>
          <w:top w:w="0" w:type="dxa"/>
          <w:left w:w="0" w:type="dxa"/>
          <w:bottom w:w="0" w:type="dxa"/>
          <w:right w:w="0" w:type="dxa"/>
        </w:tblCellMar>
      </w:tblPr>
      <w:tr>
        <w:trPr>
          <w:trHeight w:val="220"/>
        </w:trPr>
        <w:tc>
          <w:tcPr>
            <w:tcW w:w="4960" w:type="dxa"/>
            <w:vAlign w:val="bottom"/>
            <w:gridSpan w:val="2"/>
          </w:tcPr>
          <w:p>
            <w:pPr>
              <w:jc w:val="center"/>
              <w:ind w:left="470"/>
              <w:spacing w:after="0"/>
              <w:rPr>
                <w:sz w:val="20"/>
                <w:szCs w:val="20"/>
                <w:color w:val="auto"/>
              </w:rPr>
            </w:pPr>
            <w:r>
              <w:rPr>
                <w:rFonts w:ascii="Arial" w:cs="Arial" w:eastAsia="Arial" w:hAnsi="Arial"/>
                <w:sz w:val="18"/>
                <w:szCs w:val="18"/>
                <w:b w:val="1"/>
                <w:bCs w:val="1"/>
                <w:color w:val="auto"/>
                <w:w w:val="88"/>
              </w:rPr>
              <w:t>Connecticut</w:t>
            </w:r>
          </w:p>
        </w:tc>
        <w:tc>
          <w:tcPr>
            <w:tcW w:w="1840" w:type="dxa"/>
            <w:vAlign w:val="bottom"/>
          </w:tcPr>
          <w:p>
            <w:pPr>
              <w:spacing w:after="0"/>
              <w:rPr>
                <w:sz w:val="19"/>
                <w:szCs w:val="19"/>
                <w:color w:val="auto"/>
              </w:rPr>
            </w:pPr>
          </w:p>
        </w:tc>
        <w:tc>
          <w:tcPr>
            <w:tcW w:w="4440" w:type="dxa"/>
            <w:vAlign w:val="bottom"/>
            <w:gridSpan w:val="2"/>
          </w:tcPr>
          <w:p>
            <w:pPr>
              <w:jc w:val="center"/>
              <w:ind w:right="970"/>
              <w:spacing w:after="0"/>
              <w:rPr>
                <w:sz w:val="20"/>
                <w:szCs w:val="20"/>
                <w:color w:val="auto"/>
              </w:rPr>
            </w:pPr>
            <w:r>
              <w:rPr>
                <w:rFonts w:ascii="Arial" w:cs="Arial" w:eastAsia="Arial" w:hAnsi="Arial"/>
                <w:sz w:val="18"/>
                <w:szCs w:val="18"/>
                <w:b w:val="1"/>
                <w:bCs w:val="1"/>
                <w:color w:val="auto"/>
                <w:w w:val="89"/>
              </w:rPr>
              <w:t>06-0854886</w:t>
            </w:r>
          </w:p>
        </w:tc>
      </w:tr>
      <w:tr>
        <w:trPr>
          <w:trHeight w:val="230"/>
        </w:trPr>
        <w:tc>
          <w:tcPr>
            <w:tcW w:w="4960" w:type="dxa"/>
            <w:vAlign w:val="bottom"/>
            <w:gridSpan w:val="2"/>
          </w:tcPr>
          <w:p>
            <w:pPr>
              <w:jc w:val="center"/>
              <w:ind w:left="490"/>
              <w:spacing w:after="0"/>
              <w:rPr>
                <w:sz w:val="20"/>
                <w:szCs w:val="20"/>
                <w:color w:val="auto"/>
              </w:rPr>
            </w:pPr>
            <w:r>
              <w:rPr>
                <w:rFonts w:ascii="Arial" w:cs="Arial" w:eastAsia="Arial" w:hAnsi="Arial"/>
                <w:sz w:val="18"/>
                <w:szCs w:val="18"/>
                <w:i w:val="1"/>
                <w:iCs w:val="1"/>
                <w:color w:val="auto"/>
                <w:w w:val="94"/>
              </w:rPr>
              <w:t>(State or other jurisdiction of incorporation or organization)</w:t>
            </w:r>
          </w:p>
        </w:tc>
        <w:tc>
          <w:tcPr>
            <w:tcW w:w="1840" w:type="dxa"/>
            <w:vAlign w:val="bottom"/>
          </w:tcPr>
          <w:p>
            <w:pPr>
              <w:spacing w:after="0"/>
              <w:rPr>
                <w:sz w:val="20"/>
                <w:szCs w:val="20"/>
                <w:color w:val="auto"/>
              </w:rPr>
            </w:pPr>
          </w:p>
        </w:tc>
        <w:tc>
          <w:tcPr>
            <w:tcW w:w="4440" w:type="dxa"/>
            <w:vAlign w:val="bottom"/>
            <w:gridSpan w:val="2"/>
          </w:tcPr>
          <w:p>
            <w:pPr>
              <w:jc w:val="center"/>
              <w:ind w:right="95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445"/>
        </w:trPr>
        <w:tc>
          <w:tcPr>
            <w:tcW w:w="4960" w:type="dxa"/>
            <w:vAlign w:val="bottom"/>
            <w:gridSpan w:val="2"/>
          </w:tcPr>
          <w:p>
            <w:pPr>
              <w:jc w:val="center"/>
              <w:ind w:left="470"/>
              <w:spacing w:after="0"/>
              <w:rPr>
                <w:sz w:val="20"/>
                <w:szCs w:val="20"/>
                <w:color w:val="auto"/>
              </w:rPr>
            </w:pPr>
            <w:r>
              <w:rPr>
                <w:rFonts w:ascii="Arial" w:cs="Arial" w:eastAsia="Arial" w:hAnsi="Arial"/>
                <w:sz w:val="18"/>
                <w:szCs w:val="18"/>
                <w:b w:val="1"/>
                <w:bCs w:val="1"/>
                <w:color w:val="auto"/>
                <w:w w:val="89"/>
              </w:rPr>
              <w:t>15 Secor Road, Brookfield, Connecticut</w:t>
            </w:r>
          </w:p>
        </w:tc>
        <w:tc>
          <w:tcPr>
            <w:tcW w:w="1840" w:type="dxa"/>
            <w:vAlign w:val="bottom"/>
          </w:tcPr>
          <w:p>
            <w:pPr>
              <w:spacing w:after="0"/>
              <w:rPr>
                <w:sz w:val="24"/>
                <w:szCs w:val="24"/>
                <w:color w:val="auto"/>
              </w:rPr>
            </w:pPr>
          </w:p>
        </w:tc>
        <w:tc>
          <w:tcPr>
            <w:tcW w:w="4440" w:type="dxa"/>
            <w:vAlign w:val="bottom"/>
            <w:gridSpan w:val="2"/>
          </w:tcPr>
          <w:p>
            <w:pPr>
              <w:jc w:val="center"/>
              <w:ind w:right="970"/>
              <w:spacing w:after="0"/>
              <w:rPr>
                <w:sz w:val="20"/>
                <w:szCs w:val="20"/>
                <w:color w:val="auto"/>
              </w:rPr>
            </w:pPr>
            <w:r>
              <w:rPr>
                <w:rFonts w:ascii="Arial" w:cs="Arial" w:eastAsia="Arial" w:hAnsi="Arial"/>
                <w:sz w:val="18"/>
                <w:szCs w:val="18"/>
                <w:b w:val="1"/>
                <w:bCs w:val="1"/>
                <w:color w:val="auto"/>
                <w:w w:val="91"/>
              </w:rPr>
              <w:t>06804</w:t>
            </w:r>
          </w:p>
        </w:tc>
      </w:tr>
      <w:tr>
        <w:trPr>
          <w:trHeight w:val="230"/>
        </w:trPr>
        <w:tc>
          <w:tcPr>
            <w:tcW w:w="4960" w:type="dxa"/>
            <w:vAlign w:val="bottom"/>
            <w:gridSpan w:val="2"/>
          </w:tcPr>
          <w:p>
            <w:pPr>
              <w:jc w:val="center"/>
              <w:ind w:left="470"/>
              <w:spacing w:after="0"/>
              <w:rPr>
                <w:sz w:val="20"/>
                <w:szCs w:val="20"/>
                <w:color w:val="auto"/>
              </w:rPr>
            </w:pPr>
            <w:r>
              <w:rPr>
                <w:rFonts w:ascii="Arial" w:cs="Arial" w:eastAsia="Arial" w:hAnsi="Arial"/>
                <w:sz w:val="18"/>
                <w:szCs w:val="18"/>
                <w:i w:val="1"/>
                <w:iCs w:val="1"/>
                <w:color w:val="auto"/>
                <w:w w:val="90"/>
              </w:rPr>
              <w:t>(Address of principal executive offices)</w:t>
            </w:r>
          </w:p>
        </w:tc>
        <w:tc>
          <w:tcPr>
            <w:tcW w:w="18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80" w:type="dxa"/>
            <w:vAlign w:val="bottom"/>
          </w:tcPr>
          <w:p>
            <w:pPr>
              <w:jc w:val="center"/>
              <w:ind w:right="1730"/>
              <w:spacing w:after="0"/>
              <w:rPr>
                <w:sz w:val="20"/>
                <w:szCs w:val="20"/>
                <w:color w:val="auto"/>
              </w:rPr>
            </w:pPr>
            <w:r>
              <w:rPr>
                <w:rFonts w:ascii="Arial" w:cs="Arial" w:eastAsia="Arial" w:hAnsi="Arial"/>
                <w:sz w:val="18"/>
                <w:szCs w:val="18"/>
                <w:i w:val="1"/>
                <w:iCs w:val="1"/>
                <w:color w:val="auto"/>
                <w:w w:val="91"/>
              </w:rPr>
              <w:t>(Zip Code)</w:t>
            </w:r>
          </w:p>
        </w:tc>
      </w:tr>
      <w:tr>
        <w:trPr>
          <w:trHeight w:val="459"/>
        </w:trPr>
        <w:tc>
          <w:tcPr>
            <w:tcW w:w="4960" w:type="dxa"/>
            <w:vAlign w:val="bottom"/>
            <w:gridSpan w:val="2"/>
          </w:tcPr>
          <w:p>
            <w:pPr>
              <w:jc w:val="center"/>
              <w:ind w:left="470"/>
              <w:spacing w:after="0"/>
              <w:rPr>
                <w:sz w:val="20"/>
                <w:szCs w:val="20"/>
                <w:color w:val="auto"/>
              </w:rPr>
            </w:pPr>
            <w:r>
              <w:rPr>
                <w:rFonts w:ascii="Arial" w:cs="Arial" w:eastAsia="Arial" w:hAnsi="Arial"/>
                <w:sz w:val="18"/>
                <w:szCs w:val="18"/>
                <w:color w:val="auto"/>
                <w:w w:val="89"/>
              </w:rPr>
              <w:t>Registrant’s telephone number, including area code</w:t>
            </w:r>
          </w:p>
        </w:tc>
        <w:tc>
          <w:tcPr>
            <w:tcW w:w="1840" w:type="dxa"/>
            <w:vAlign w:val="bottom"/>
          </w:tcPr>
          <w:p>
            <w:pPr>
              <w:spacing w:after="0"/>
              <w:rPr>
                <w:sz w:val="24"/>
                <w:szCs w:val="24"/>
                <w:color w:val="auto"/>
              </w:rPr>
            </w:pPr>
          </w:p>
        </w:tc>
        <w:tc>
          <w:tcPr>
            <w:tcW w:w="4440" w:type="dxa"/>
            <w:vAlign w:val="bottom"/>
            <w:gridSpan w:val="2"/>
          </w:tcPr>
          <w:p>
            <w:pPr>
              <w:jc w:val="center"/>
              <w:ind w:right="950"/>
              <w:spacing w:after="0"/>
              <w:rPr>
                <w:sz w:val="20"/>
                <w:szCs w:val="20"/>
                <w:color w:val="auto"/>
              </w:rPr>
            </w:pPr>
            <w:r>
              <w:rPr>
                <w:rFonts w:ascii="Arial" w:cs="Arial" w:eastAsia="Arial" w:hAnsi="Arial"/>
                <w:sz w:val="18"/>
                <w:szCs w:val="18"/>
                <w:b w:val="1"/>
                <w:bCs w:val="1"/>
                <w:color w:val="auto"/>
                <w:w w:val="90"/>
              </w:rPr>
              <w:t>(203) 775-9000</w:t>
            </w:r>
          </w:p>
        </w:tc>
      </w:tr>
      <w:tr>
        <w:trPr>
          <w:trHeight w:val="459"/>
        </w:trPr>
        <w:tc>
          <w:tcPr>
            <w:tcW w:w="4960" w:type="dxa"/>
            <w:vAlign w:val="bottom"/>
            <w:gridSpan w:val="2"/>
          </w:tcPr>
          <w:p>
            <w:pPr>
              <w:spacing w:after="0"/>
              <w:rPr>
                <w:sz w:val="20"/>
                <w:szCs w:val="20"/>
                <w:color w:val="auto"/>
              </w:rPr>
            </w:pPr>
            <w:r>
              <w:rPr>
                <w:rFonts w:ascii="Arial" w:cs="Arial" w:eastAsia="Arial" w:hAnsi="Arial"/>
                <w:sz w:val="18"/>
                <w:szCs w:val="18"/>
                <w:color w:val="231F20"/>
              </w:rPr>
              <w:t>Securities registered pursuant to Section 12(b) of the Act:</w:t>
            </w:r>
          </w:p>
        </w:tc>
        <w:tc>
          <w:tcPr>
            <w:tcW w:w="1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50"/>
        </w:trPr>
        <w:tc>
          <w:tcPr>
            <w:tcW w:w="37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3680" w:type="dxa"/>
            <w:vAlign w:val="bottom"/>
            <w:tcBorders>
              <w:bottom w:val="single" w:sz="8" w:color="auto"/>
            </w:tcBorders>
          </w:tcPr>
          <w:p>
            <w:pPr>
              <w:spacing w:after="0"/>
              <w:rPr>
                <w:sz w:val="21"/>
                <w:szCs w:val="21"/>
                <w:color w:val="auto"/>
              </w:rPr>
            </w:pPr>
          </w:p>
        </w:tc>
      </w:tr>
      <w:tr>
        <w:trPr>
          <w:trHeight w:val="223"/>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231F20"/>
                <w:w w:val="90"/>
              </w:rPr>
              <w:t>Title of each class</w:t>
            </w:r>
          </w:p>
        </w:tc>
        <w:tc>
          <w:tcPr>
            <w:tcW w:w="1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center"/>
              <w:ind w:right="410"/>
              <w:spacing w:after="0"/>
              <w:rPr>
                <w:sz w:val="20"/>
                <w:szCs w:val="20"/>
                <w:color w:val="auto"/>
              </w:rPr>
            </w:pPr>
            <w:r>
              <w:rPr>
                <w:rFonts w:ascii="Arial" w:cs="Arial" w:eastAsia="Arial" w:hAnsi="Arial"/>
                <w:sz w:val="18"/>
                <w:szCs w:val="18"/>
                <w:color w:val="231F20"/>
                <w:w w:val="91"/>
              </w:rPr>
              <w:t>Trading Symbol(s)</w:t>
            </w:r>
          </w:p>
        </w:tc>
        <w:tc>
          <w:tcPr>
            <w:tcW w:w="760" w:type="dxa"/>
            <w:vAlign w:val="bottom"/>
            <w:tcBorders>
              <w:bottom w:val="single" w:sz="8" w:color="auto"/>
              <w:right w:val="single" w:sz="8" w:color="auto"/>
            </w:tcBorders>
          </w:tcPr>
          <w:p>
            <w:pPr>
              <w:spacing w:after="0"/>
              <w:rPr>
                <w:sz w:val="19"/>
                <w:szCs w:val="19"/>
                <w:color w:val="auto"/>
              </w:rPr>
            </w:pPr>
          </w:p>
        </w:tc>
        <w:tc>
          <w:tcPr>
            <w:tcW w:w="3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231F20"/>
                <w:w w:val="89"/>
              </w:rPr>
              <w:t>Name of each exchange on which registered</w:t>
            </w:r>
          </w:p>
        </w:tc>
      </w:tr>
      <w:tr>
        <w:trPr>
          <w:trHeight w:val="223"/>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COMMON</w:t>
            </w:r>
          </w:p>
        </w:tc>
        <w:tc>
          <w:tcPr>
            <w:tcW w:w="1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center"/>
              <w:ind w:right="410"/>
              <w:spacing w:after="0"/>
              <w:rPr>
                <w:sz w:val="20"/>
                <w:szCs w:val="20"/>
                <w:color w:val="auto"/>
              </w:rPr>
            </w:pPr>
            <w:r>
              <w:rPr>
                <w:rFonts w:ascii="Arial" w:cs="Arial" w:eastAsia="Arial" w:hAnsi="Arial"/>
                <w:sz w:val="18"/>
                <w:szCs w:val="18"/>
                <w:color w:val="auto"/>
                <w:w w:val="99"/>
              </w:rPr>
              <w:t>PLAB</w:t>
            </w:r>
          </w:p>
        </w:tc>
        <w:tc>
          <w:tcPr>
            <w:tcW w:w="760" w:type="dxa"/>
            <w:vAlign w:val="bottom"/>
            <w:tcBorders>
              <w:bottom w:val="single" w:sz="8" w:color="auto"/>
              <w:right w:val="single" w:sz="8" w:color="auto"/>
            </w:tcBorders>
          </w:tcPr>
          <w:p>
            <w:pPr>
              <w:spacing w:after="0"/>
              <w:rPr>
                <w:sz w:val="19"/>
                <w:szCs w:val="19"/>
                <w:color w:val="auto"/>
              </w:rPr>
            </w:pPr>
          </w:p>
        </w:tc>
        <w:tc>
          <w:tcPr>
            <w:tcW w:w="3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r>
        <w:trPr>
          <w:trHeight w:val="223"/>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PREFERRED STOCK PURCHASE RIGHTS</w:t>
            </w:r>
          </w:p>
        </w:tc>
        <w:tc>
          <w:tcPr>
            <w:tcW w:w="1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center"/>
              <w:ind w:right="410"/>
              <w:spacing w:after="0"/>
              <w:rPr>
                <w:sz w:val="20"/>
                <w:szCs w:val="20"/>
                <w:color w:val="auto"/>
              </w:rPr>
            </w:pPr>
            <w:r>
              <w:rPr>
                <w:rFonts w:ascii="Arial" w:cs="Arial" w:eastAsia="Arial" w:hAnsi="Arial"/>
                <w:sz w:val="18"/>
                <w:szCs w:val="18"/>
                <w:color w:val="auto"/>
                <w:w w:val="99"/>
              </w:rPr>
              <w:t>N/A</w:t>
            </w:r>
          </w:p>
        </w:tc>
        <w:tc>
          <w:tcPr>
            <w:tcW w:w="760" w:type="dxa"/>
            <w:vAlign w:val="bottom"/>
            <w:tcBorders>
              <w:bottom w:val="single" w:sz="8" w:color="auto"/>
              <w:right w:val="single" w:sz="8" w:color="auto"/>
            </w:tcBorders>
          </w:tcPr>
          <w:p>
            <w:pPr>
              <w:spacing w:after="0"/>
              <w:rPr>
                <w:sz w:val="19"/>
                <w:szCs w:val="19"/>
                <w:color w:val="auto"/>
              </w:rPr>
            </w:pPr>
          </w:p>
        </w:tc>
        <w:tc>
          <w:tcPr>
            <w:tcW w:w="3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r>
    </w:tbl>
    <w:p>
      <w:pPr>
        <w:spacing w:after="0" w:line="229" w:lineRule="exact"/>
        <w:rPr>
          <w:sz w:val="24"/>
          <w:szCs w:val="24"/>
          <w:color w:val="auto"/>
        </w:rPr>
      </w:pPr>
    </w:p>
    <w:p>
      <w:pPr>
        <w:ind w:right="30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periods that the registrant was required to file such reports), and (2) has been subject to such filing requirements for the past 90 days.</w:t>
      </w:r>
    </w:p>
    <w:p>
      <w:pPr>
        <w:ind w:left="10260"/>
        <w:spacing w:after="0" w:line="184" w:lineRule="exact"/>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6716395</wp:posOffset>
            </wp:positionH>
            <wp:positionV relativeFrom="paragraph">
              <wp:posOffset>-98425</wp:posOffset>
            </wp:positionV>
            <wp:extent cx="86995" cy="8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7044690</wp:posOffset>
            </wp:positionH>
            <wp:positionV relativeFrom="paragraph">
              <wp:posOffset>-98425</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46" w:lineRule="exact"/>
        <w:rPr>
          <w:sz w:val="24"/>
          <w:szCs w:val="24"/>
          <w:color w:val="auto"/>
        </w:rPr>
      </w:pPr>
    </w:p>
    <w:p>
      <w:pPr>
        <w:jc w:val="both"/>
        <w:ind w:right="300"/>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w:t>
      </w:r>
    </w:p>
    <w:p>
      <w:pPr>
        <w:ind w:left="10260"/>
        <w:spacing w:after="0" w:line="184" w:lineRule="exact"/>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6716395</wp:posOffset>
            </wp:positionH>
            <wp:positionV relativeFrom="paragraph">
              <wp:posOffset>-98425</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7044690</wp:posOffset>
            </wp:positionH>
            <wp:positionV relativeFrom="paragraph">
              <wp:posOffset>-98425</wp:posOffset>
            </wp:positionV>
            <wp:extent cx="86995" cy="882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46"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927" w:right="339" w:bottom="2" w:gutter="0" w:footer="0" w:header="0"/>
        </w:sectPr>
      </w:pPr>
    </w:p>
    <w:p>
      <w:pPr>
        <w:spacing w:after="0" w:line="211"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86995" cy="882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7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Accelerated Filer Emerging growth company</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48" w:lineRule="exact"/>
        <w:rPr>
          <w:sz w:val="24"/>
          <w:szCs w:val="24"/>
          <w:color w:val="auto"/>
        </w:rPr>
      </w:pPr>
    </w:p>
    <w:p>
      <w:pPr>
        <w:sectPr>
          <w:pgSz w:w="11900" w:h="16838" w:orient="portrait"/>
          <w:cols w:equalWidth="0" w:num="6">
            <w:col w:w="2080" w:space="520"/>
            <w:col w:w="160" w:space="640"/>
            <w:col w:w="1960" w:space="620"/>
            <w:col w:w="160" w:space="620"/>
            <w:col w:w="1860" w:space="720"/>
            <w:col w:w="1900"/>
          </w:cols>
          <w:pgMar w:left="320" w:top="927" w:right="339" w:bottom="2" w:gutter="0" w:footer="0" w:header="0"/>
          <w:type w:val="continuous"/>
        </w:sect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9" w:lineRule="exact"/>
        <w:rPr>
          <w:sz w:val="24"/>
          <w:szCs w:val="24"/>
          <w:color w:val="auto"/>
        </w:rPr>
      </w:pPr>
    </w:p>
    <w:p>
      <w:pPr>
        <w:ind w:right="40"/>
        <w:spacing w:after="0" w:line="263" w:lineRule="auto"/>
        <w:rPr>
          <w:sz w:val="20"/>
          <w:szCs w:val="20"/>
          <w:color w:val="auto"/>
        </w:rPr>
      </w:pPr>
      <w:r>
        <w:rPr>
          <w:rFonts w:ascii="Arial" w:cs="Arial" w:eastAsia="Arial" w:hAnsi="Arial"/>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178" w:lineRule="exact"/>
        <w:rPr>
          <w:sz w:val="24"/>
          <w:szCs w:val="24"/>
          <w:color w:val="auto"/>
        </w:rPr>
      </w:pPr>
    </w:p>
    <w:p>
      <w:pPr>
        <w:jc w:val="right"/>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6716395</wp:posOffset>
            </wp:positionH>
            <wp:positionV relativeFrom="paragraph">
              <wp:posOffset>-86360</wp:posOffset>
            </wp:positionV>
            <wp:extent cx="86995" cy="882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7044690</wp:posOffset>
            </wp:positionH>
            <wp:positionV relativeFrom="paragraph">
              <wp:posOffset>-86360</wp:posOffset>
            </wp:positionV>
            <wp:extent cx="86995" cy="882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6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538480</wp:posOffset>
            </wp:positionH>
            <wp:positionV relativeFrom="paragraph">
              <wp:posOffset>-113030</wp:posOffset>
            </wp:positionV>
            <wp:extent cx="86995" cy="882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ectPr>
          <w:pgSz w:w="11900" w:h="16838" w:orient="portrait"/>
          <w:cols w:equalWidth="0" w:num="1">
            <w:col w:w="11240"/>
          </w:cols>
          <w:pgMar w:left="320" w:top="927" w:right="339" w:bottom="2"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color w:val="auto"/>
        </w:rPr>
        <w:t>The registrant had 65,622,399 shares of common stock outstanding as of June 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337820</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672465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2" w:name="page3"/>
    <w:bookmarkEnd w:id="2"/>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firstLine="324"/>
        <w:spacing w:after="0" w:line="283"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made by or on behalf of Photronics, Inc. (“Photronics”, the “Company”, “we”, “our”, or “us”). These statements are based on management’s beliefs, as well as assumptions made by, and information currently available to, management. Forward-looking statements may be identified by words like “expect,” “anticipate,” “believe,” “plan,” “project,” “could,” “estimate,” “intend,” “may,” “will”,“in our view” and similar expressions, or the negative of such terms, or other comparable terminology. All forward-looking statements involve risks and uncertainties that are difficult to predict. In particular, any statement contained in this quarterly report on Form 10-Q or in other documents filed with the Securities and Exchange Commission in press releases or in the Company’s communications and discussions with investors and analysts in the normal course of business through meetings, phone calls, or conference calls regarding, among other things, the consummation and benefits of transactions, joint ventures, business combinations, divestitures and acquisitions, expectations with respect to future sales, financial performance, operating efficiencies, or product expansion, are subject to known and unknown risks, uncertainties, and contingencies, many of which are beyond the control of the Company. Various factors may cause actual results, performance, or achievements to differ materially from anticipated results, performance, or achievements expressed or implied by forward-looking statements. Factors that might affect forward-looking statements include, but are not limited to, overall economic and business conditions; economic and political conditions in international markets; pandemics affecting our labor force, customers or suppliers; the demand for the Company’s products; competitive factors in the industries and geographic markets in which the Company competes; the timing of orders received from customers; the gain or loss of significant customers; competition from other manufacturers; changes in accounting standards; federal, state and international tax requirements (including tax rate changes, new tax laws and revised tax law interpretations); changes in the jurisdictional mix of our earnings; interest rate and other capital market conditions, including changes in the market price of the Company’s securities; foreign currency exchange rate fluctuations; changes in technology; technology or intellectual property infringement, including cybersecurity breaches, and other innovation risks; unsuccessful or unproductive research and development or capital expenditures; the timing, impact, and other uncertainties related to transactions and acquisitions, divestitures, business combinations, and joint ventures as well as decisions the Company may make in the future regarding the Company’s business, capital and organizational structures and other matters; the seasonal and cyclical nature of the semiconductor and flat panel display industries; management changes; changes in laws and government regulation impacting our operations or our products, including laws relating to export controls and import laws, rules and tariffs; the occurrence of regulatory proceedings, claims or litigation; damage or destruction to the Company’s facilities, or the facilities of its customers or suppliers, by natural disasters, labor strikes, political unrest, or terrorist activity; acts of war, construction of new facilities and acquisition of new equipment; dilutive issuances of the Company’s stock; the ability of the Company to (i) place new equipment in service on a timely basis; (ii) obtain additional financing; (iii) achieve anticipated synergies and cost savings; (iv) fully utilize its tools; (v) achieve desired yields, pricing, product mix, and market acceptance of its products and (vi) obtain necessary import and export licenses. Any forward-looking statements should be considered in light of these factors. Accordingly, there is no assurance that the Company’s expectations will be realized. The Company does not assume responsibility for the accuracy and completeness of the forward-looking statements and does not assume an obligation to provide revisions to any forward-looking statements, except as otherwise required by securities and other applicable laws.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8440" w:type="dxa"/>
            <w:vAlign w:val="bottom"/>
          </w:tcPr>
          <w:p>
            <w:pPr>
              <w:ind w:left="3760"/>
              <w:spacing w:after="0"/>
              <w:rPr>
                <w:sz w:val="20"/>
                <w:szCs w:val="20"/>
                <w:color w:val="auto"/>
              </w:rPr>
            </w:pPr>
            <w:r>
              <w:rPr>
                <w:rFonts w:ascii="Arial" w:cs="Arial" w:eastAsia="Arial" w:hAnsi="Arial"/>
                <w:sz w:val="18"/>
                <w:szCs w:val="18"/>
                <w:b w:val="1"/>
                <w:bCs w:val="1"/>
                <w:color w:val="auto"/>
              </w:rPr>
              <w:t>PHOTRONICS, INC.</w:t>
            </w:r>
          </w:p>
        </w:tc>
        <w:tc>
          <w:tcPr>
            <w:tcW w:w="1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020" w:type="dxa"/>
            <w:vAlign w:val="bottom"/>
          </w:tcPr>
          <w:p>
            <w:pPr>
              <w:spacing w:after="0"/>
              <w:rPr>
                <w:sz w:val="24"/>
                <w:szCs w:val="24"/>
                <w:color w:val="auto"/>
              </w:rPr>
            </w:pPr>
          </w:p>
        </w:tc>
        <w:tc>
          <w:tcPr>
            <w:tcW w:w="8440" w:type="dxa"/>
            <w:vAlign w:val="bottom"/>
          </w:tcPr>
          <w:p>
            <w:pPr>
              <w:ind w:left="4320"/>
              <w:spacing w:after="0"/>
              <w:rPr>
                <w:sz w:val="20"/>
                <w:szCs w:val="20"/>
                <w:color w:val="auto"/>
              </w:rPr>
            </w:pPr>
            <w:r>
              <w:rPr>
                <w:rFonts w:ascii="Arial" w:cs="Arial" w:eastAsia="Arial" w:hAnsi="Arial"/>
                <w:sz w:val="18"/>
                <w:szCs w:val="18"/>
                <w:b w:val="1"/>
                <w:bCs w:val="1"/>
                <w:color w:val="auto"/>
              </w:rPr>
              <w:t>INDEX</w:t>
            </w: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02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8440" w:type="dxa"/>
            <w:vAlign w:val="bottom"/>
          </w:tcPr>
          <w:p>
            <w:pPr>
              <w:ind w:left="400"/>
              <w:spacing w:after="0"/>
              <w:rPr>
                <w:sz w:val="20"/>
                <w:szCs w:val="20"/>
                <w:color w:val="auto"/>
              </w:rPr>
            </w:pPr>
            <w:r>
              <w:rPr>
                <w:rFonts w:ascii="Arial" w:cs="Arial" w:eastAsia="Arial" w:hAnsi="Arial"/>
                <w:sz w:val="18"/>
                <w:szCs w:val="18"/>
                <w:b w:val="1"/>
                <w:bCs w:val="1"/>
                <w:color w:val="auto"/>
              </w:rPr>
              <w:t>FINANCIAL INFORMATION</w:t>
            </w: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8440" w:type="dxa"/>
            <w:vAlign w:val="bottom"/>
            <w:shd w:val="clear" w:color="auto" w:fill="CCEEFF"/>
          </w:tcPr>
          <w:p>
            <w:pPr>
              <w:ind w:left="4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Financial Statements (unaudited)</w:t>
              </w:r>
            </w:hyperlink>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8440" w:type="dxa"/>
            <w:vAlign w:val="bottom"/>
            <w:shd w:val="clear" w:color="auto" w:fill="CCEEFF"/>
          </w:tcPr>
          <w:p>
            <w:pPr>
              <w:ind w:left="4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Balance Sheets</w:t>
              </w:r>
            </w:hyperlink>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8440" w:type="dxa"/>
            <w:vAlign w:val="bottom"/>
            <w:shd w:val="clear" w:color="auto" w:fill="CCEEFF"/>
          </w:tcPr>
          <w:p>
            <w:pPr>
              <w:ind w:left="40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Income</w:t>
              </w:r>
            </w:hyperlink>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8440" w:type="dxa"/>
            <w:vAlign w:val="bottom"/>
            <w:shd w:val="clear" w:color="auto" w:fill="CCEEFF"/>
          </w:tcPr>
          <w:p>
            <w:pPr>
              <w:ind w:left="40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Comprehensive Income</w:t>
              </w:r>
            </w:hyperlink>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8440" w:type="dxa"/>
            <w:vAlign w:val="bottom"/>
            <w:shd w:val="clear" w:color="auto" w:fill="CCEEFF"/>
          </w:tcPr>
          <w:p>
            <w:pPr>
              <w:ind w:left="40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Consolidated Statements of Equity</w:t>
              </w:r>
            </w:hyperlink>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8440" w:type="dxa"/>
            <w:vAlign w:val="bottom"/>
            <w:shd w:val="clear" w:color="auto" w:fill="CCEEFF"/>
          </w:tcPr>
          <w:p>
            <w:pPr>
              <w:ind w:left="40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Condensed Consolidated Statements of Cash Flows</w:t>
              </w:r>
            </w:hyperlink>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8440" w:type="dxa"/>
            <w:vAlign w:val="bottom"/>
            <w:shd w:val="clear" w:color="auto" w:fill="CCEEFF"/>
          </w:tcPr>
          <w:p>
            <w:pPr>
              <w:ind w:left="40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Notes to Condensed Consolidated Financial Statements</w:t>
              </w:r>
            </w:hyperlink>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8440" w:type="dxa"/>
            <w:vAlign w:val="bottom"/>
            <w:shd w:val="clear" w:color="auto" w:fill="CCEEFF"/>
          </w:tcPr>
          <w:p>
            <w:pPr>
              <w:ind w:left="40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Management’s Discussion and Analysis of Financial Condition and Results of Operations</w:t>
              </w:r>
            </w:hyperlink>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8440" w:type="dxa"/>
            <w:vAlign w:val="bottom"/>
            <w:shd w:val="clear" w:color="auto" w:fill="CCEEFF"/>
          </w:tcPr>
          <w:p>
            <w:pPr>
              <w:ind w:left="40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Quantitative and Qualitative Disclosures about Market Risk</w:t>
              </w:r>
            </w:hyperlink>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8440" w:type="dxa"/>
            <w:vAlign w:val="bottom"/>
            <w:shd w:val="clear" w:color="auto" w:fill="CCEEFF"/>
          </w:tcPr>
          <w:p>
            <w:pPr>
              <w:ind w:left="40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Controls and Procedures</w:t>
              </w:r>
            </w:hyperlink>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84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7340" w:type="dxa"/>
            <w:vAlign w:val="bottom"/>
          </w:tcPr>
          <w:p>
            <w:pPr>
              <w:ind w:left="360"/>
              <w:spacing w:after="0"/>
              <w:rPr>
                <w:sz w:val="20"/>
                <w:szCs w:val="20"/>
                <w:color w:val="auto"/>
              </w:rPr>
            </w:pPr>
            <w:r>
              <w:rPr>
                <w:rFonts w:ascii="Arial" w:cs="Arial" w:eastAsia="Arial" w:hAnsi="Arial"/>
                <w:sz w:val="18"/>
                <w:szCs w:val="18"/>
                <w:b w:val="1"/>
                <w:bCs w:val="1"/>
                <w:color w:val="auto"/>
              </w:rPr>
              <w:t>OTHER INFORMATION</w:t>
            </w:r>
          </w:p>
        </w:tc>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Item 1.</w:t>
            </w:r>
          </w:p>
        </w:tc>
        <w:tc>
          <w:tcPr>
            <w:tcW w:w="7340" w:type="dxa"/>
            <w:vAlign w:val="bottom"/>
          </w:tcPr>
          <w:p>
            <w:pPr>
              <w:ind w:left="36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Legal Matters</w:t>
              </w:r>
            </w:hyperlink>
          </w:p>
        </w:tc>
        <w:tc>
          <w:tcPr>
            <w:tcW w:w="284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Item 1A.</w:t>
            </w:r>
          </w:p>
        </w:tc>
        <w:tc>
          <w:tcPr>
            <w:tcW w:w="7340" w:type="dxa"/>
            <w:vAlign w:val="bottom"/>
          </w:tcPr>
          <w:p>
            <w:pPr>
              <w:ind w:left="36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Risk Factors</w:t>
              </w:r>
            </w:hyperlink>
          </w:p>
        </w:tc>
        <w:tc>
          <w:tcPr>
            <w:tcW w:w="284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Item 2.</w:t>
            </w:r>
          </w:p>
        </w:tc>
        <w:tc>
          <w:tcPr>
            <w:tcW w:w="7340" w:type="dxa"/>
            <w:vAlign w:val="bottom"/>
          </w:tcPr>
          <w:p>
            <w:pPr>
              <w:ind w:left="36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Unregistered Sales of Equity Securities and Use of Proceeds</w:t>
              </w:r>
            </w:hyperlink>
          </w:p>
        </w:tc>
        <w:tc>
          <w:tcPr>
            <w:tcW w:w="284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Item 6.</w:t>
            </w:r>
          </w:p>
        </w:tc>
        <w:tc>
          <w:tcPr>
            <w:tcW w:w="7340" w:type="dxa"/>
            <w:vAlign w:val="bottom"/>
          </w:tcPr>
          <w:p>
            <w:pPr>
              <w:ind w:left="36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Exhibits</w:t>
              </w:r>
            </w:hyperlink>
          </w:p>
        </w:tc>
        <w:tc>
          <w:tcPr>
            <w:tcW w:w="284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1060" w:type="dxa"/>
            <w:vAlign w:val="bottom"/>
          </w:tcPr>
          <w:p>
            <w:pPr>
              <w:spacing w:after="0"/>
              <w:rPr>
                <w:sz w:val="24"/>
                <w:szCs w:val="24"/>
                <w:color w:val="auto"/>
              </w:rPr>
            </w:pPr>
          </w:p>
        </w:tc>
        <w:tc>
          <w:tcPr>
            <w:tcW w:w="7340" w:type="dxa"/>
            <w:vAlign w:val="bottom"/>
          </w:tcPr>
          <w:p>
            <w:pPr>
              <w:ind w:left="4520"/>
              <w:spacing w:after="0"/>
              <w:rPr>
                <w:sz w:val="20"/>
                <w:szCs w:val="20"/>
                <w:color w:val="auto"/>
              </w:rPr>
            </w:pPr>
            <w:r>
              <w:rPr>
                <w:rFonts w:ascii="Arial" w:cs="Arial" w:eastAsia="Arial" w:hAnsi="Arial"/>
                <w:sz w:val="14"/>
                <w:szCs w:val="14"/>
                <w:color w:val="auto"/>
              </w:rPr>
              <w:t>3</w:t>
            </w:r>
          </w:p>
        </w:tc>
        <w:tc>
          <w:tcPr>
            <w:tcW w:w="2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060" w:type="dxa"/>
            <w:vAlign w:val="bottom"/>
            <w:tcBorders>
              <w:bottom w:val="single" w:sz="8" w:color="auto"/>
            </w:tcBorders>
          </w:tcPr>
          <w:p>
            <w:pPr>
              <w:spacing w:after="0"/>
              <w:rPr>
                <w:sz w:val="4"/>
                <w:szCs w:val="4"/>
                <w:color w:val="auto"/>
              </w:rPr>
            </w:pPr>
          </w:p>
        </w:tc>
        <w:tc>
          <w:tcPr>
            <w:tcW w:w="7340" w:type="dxa"/>
            <w:vAlign w:val="bottom"/>
            <w:tcBorders>
              <w:bottom w:val="single" w:sz="8" w:color="auto"/>
            </w:tcBorders>
          </w:tcPr>
          <w:p>
            <w:pPr>
              <w:spacing w:after="0"/>
              <w:rPr>
                <w:sz w:val="4"/>
                <w:szCs w:val="4"/>
                <w:color w:val="auto"/>
              </w:rPr>
            </w:pPr>
          </w:p>
        </w:tc>
        <w:tc>
          <w:tcPr>
            <w:tcW w:w="28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7380" w:type="dxa"/>
            <w:vAlign w:val="bottom"/>
          </w:tcPr>
          <w:p>
            <w:pPr>
              <w:spacing w:after="0"/>
              <w:rPr>
                <w:sz w:val="20"/>
                <w:szCs w:val="20"/>
                <w:color w:val="auto"/>
              </w:rPr>
            </w:pPr>
            <w:r>
              <w:rPr>
                <w:rFonts w:ascii="Arial" w:cs="Arial" w:eastAsia="Arial" w:hAnsi="Arial"/>
                <w:sz w:val="18"/>
                <w:szCs w:val="18"/>
                <w:b w:val="1"/>
                <w:bCs w:val="1"/>
                <w:color w:val="auto"/>
              </w:rPr>
              <w:t>FINANCIAL INFORMATION</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13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380" w:type="dxa"/>
            <w:vAlign w:val="bottom"/>
          </w:tcPr>
          <w:p>
            <w:pPr>
              <w:spacing w:after="0"/>
              <w:rPr>
                <w:sz w:val="20"/>
                <w:szCs w:val="20"/>
                <w:color w:val="auto"/>
              </w:rPr>
            </w:pPr>
            <w:r>
              <w:rPr>
                <w:rFonts w:ascii="Arial" w:cs="Arial" w:eastAsia="Arial" w:hAnsi="Arial"/>
                <w:sz w:val="18"/>
                <w:szCs w:val="18"/>
                <w:b w:val="1"/>
                <w:bCs w:val="1"/>
                <w:color w:val="auto"/>
              </w:rPr>
              <w:t>CONDENSED CONSOLIDATED FINANCIAL STATEMENTS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1300" w:type="dxa"/>
            <w:vAlign w:val="bottom"/>
          </w:tcPr>
          <w:p>
            <w:pPr>
              <w:spacing w:after="0"/>
              <w:rPr>
                <w:sz w:val="24"/>
                <w:szCs w:val="24"/>
                <w:color w:val="auto"/>
              </w:rPr>
            </w:pPr>
          </w:p>
        </w:tc>
        <w:tc>
          <w:tcPr>
            <w:tcW w:w="7380" w:type="dxa"/>
            <w:vAlign w:val="bottom"/>
          </w:tcPr>
          <w:p>
            <w:pPr>
              <w:jc w:val="center"/>
              <w:ind w:left="1170"/>
              <w:spacing w:after="0"/>
              <w:rPr>
                <w:sz w:val="20"/>
                <w:szCs w:val="20"/>
                <w:color w:val="auto"/>
              </w:rPr>
            </w:pPr>
            <w:r>
              <w:rPr>
                <w:rFonts w:ascii="Arial" w:cs="Arial" w:eastAsia="Arial" w:hAnsi="Arial"/>
                <w:sz w:val="18"/>
                <w:szCs w:val="18"/>
                <w:b w:val="1"/>
                <w:bCs w:val="1"/>
                <w:color w:val="auto"/>
              </w:rPr>
              <w:t>PHOTRONICS, INC.</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1300" w:type="dxa"/>
            <w:vAlign w:val="bottom"/>
          </w:tcPr>
          <w:p>
            <w:pPr>
              <w:spacing w:after="0"/>
              <w:rPr>
                <w:sz w:val="19"/>
                <w:szCs w:val="19"/>
                <w:color w:val="auto"/>
              </w:rPr>
            </w:pPr>
          </w:p>
        </w:tc>
        <w:tc>
          <w:tcPr>
            <w:tcW w:w="7380" w:type="dxa"/>
            <w:vAlign w:val="bottom"/>
          </w:tcPr>
          <w:p>
            <w:pPr>
              <w:jc w:val="center"/>
              <w:ind w:left="119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300" w:type="dxa"/>
            <w:vAlign w:val="bottom"/>
          </w:tcPr>
          <w:p>
            <w:pPr>
              <w:spacing w:after="0"/>
              <w:rPr>
                <w:sz w:val="18"/>
                <w:szCs w:val="18"/>
                <w:color w:val="auto"/>
              </w:rPr>
            </w:pPr>
          </w:p>
        </w:tc>
        <w:tc>
          <w:tcPr>
            <w:tcW w:w="7380" w:type="dxa"/>
            <w:vAlign w:val="bottom"/>
          </w:tcPr>
          <w:p>
            <w:pPr>
              <w:jc w:val="center"/>
              <w:ind w:left="1190"/>
              <w:spacing w:after="0"/>
              <w:rPr>
                <w:sz w:val="20"/>
                <w:szCs w:val="20"/>
                <w:color w:val="auto"/>
              </w:rPr>
            </w:pPr>
            <w:r>
              <w:rPr>
                <w:rFonts w:ascii="Arial" w:cs="Arial" w:eastAsia="Arial" w:hAnsi="Arial"/>
                <w:sz w:val="18"/>
                <w:szCs w:val="18"/>
                <w:b w:val="1"/>
                <w:bCs w:val="1"/>
                <w:i w:val="1"/>
                <w:iCs w:val="1"/>
                <w:color w:val="auto"/>
                <w:w w:val="85"/>
              </w:rPr>
              <w:t>(in thousands, except per share amounts)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300" w:type="dxa"/>
            <w:vAlign w:val="bottom"/>
          </w:tcPr>
          <w:p>
            <w:pPr>
              <w:spacing w:after="0"/>
              <w:rPr>
                <w:sz w:val="20"/>
                <w:szCs w:val="20"/>
                <w:color w:val="auto"/>
              </w:rPr>
            </w:pPr>
          </w:p>
        </w:tc>
        <w:tc>
          <w:tcPr>
            <w:tcW w:w="7380" w:type="dxa"/>
            <w:vAlign w:val="bottom"/>
          </w:tcPr>
          <w:p>
            <w:pPr>
              <w:jc w:val="center"/>
              <w:ind w:left="1170"/>
              <w:spacing w:after="0"/>
              <w:rPr>
                <w:sz w:val="20"/>
                <w:szCs w:val="20"/>
                <w:color w:val="auto"/>
              </w:rPr>
            </w:pPr>
            <w:r>
              <w:rPr>
                <w:rFonts w:ascii="Arial" w:cs="Arial" w:eastAsia="Arial" w:hAnsi="Arial"/>
                <w:sz w:val="18"/>
                <w:szCs w:val="18"/>
                <w:b w:val="1"/>
                <w:bCs w:val="1"/>
                <w:i w:val="1"/>
                <w:iCs w:val="1"/>
                <w:color w:val="auto"/>
                <w:w w:val="89"/>
              </w:rPr>
              <w:t>(unaudited)</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130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May 3,</w:t>
            </w:r>
          </w:p>
        </w:tc>
        <w:tc>
          <w:tcPr>
            <w:tcW w:w="1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October 31,</w:t>
            </w:r>
          </w:p>
        </w:tc>
      </w:tr>
      <w:tr>
        <w:trPr>
          <w:trHeight w:val="241"/>
        </w:trPr>
        <w:tc>
          <w:tcPr>
            <w:tcW w:w="130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02"/>
        </w:trPr>
        <w:tc>
          <w:tcPr>
            <w:tcW w:w="1300" w:type="dxa"/>
            <w:vAlign w:val="bottom"/>
          </w:tcPr>
          <w:p>
            <w:pPr>
              <w:spacing w:after="0" w:line="201" w:lineRule="exact"/>
              <w:rPr>
                <w:sz w:val="20"/>
                <w:szCs w:val="20"/>
                <w:color w:val="auto"/>
              </w:rPr>
            </w:pPr>
            <w:r>
              <w:rPr>
                <w:rFonts w:ascii="Arial" w:cs="Arial" w:eastAsia="Arial" w:hAnsi="Arial"/>
                <w:sz w:val="18"/>
                <w:szCs w:val="18"/>
                <w:b w:val="1"/>
                <w:bCs w:val="1"/>
                <w:color w:val="auto"/>
              </w:rPr>
              <w:t>ASSETS</w:t>
            </w:r>
          </w:p>
        </w:tc>
        <w:tc>
          <w:tcPr>
            <w:tcW w:w="7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300" w:type="dxa"/>
            <w:vAlign w:val="bottom"/>
          </w:tcPr>
          <w:p>
            <w:pPr>
              <w:spacing w:after="0"/>
              <w:rPr>
                <w:sz w:val="20"/>
                <w:szCs w:val="20"/>
                <w:color w:val="auto"/>
              </w:rPr>
            </w:pPr>
            <w:r>
              <w:rPr>
                <w:rFonts w:ascii="Arial" w:cs="Arial" w:eastAsia="Arial" w:hAnsi="Arial"/>
                <w:sz w:val="18"/>
                <w:szCs w:val="18"/>
                <w:color w:val="auto"/>
              </w:rPr>
              <w:t>Current assets:</w:t>
            </w:r>
          </w:p>
        </w:tc>
        <w:tc>
          <w:tcPr>
            <w:tcW w:w="7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237,790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206,530</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Accounts receivable, net of allowance of $1,282 in 2020 and $1,334 in 2019</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135,035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134,454</w:t>
            </w:r>
          </w:p>
        </w:tc>
      </w:tr>
      <w:tr>
        <w:trPr>
          <w:trHeight w:val="216"/>
        </w:trPr>
        <w:tc>
          <w:tcPr>
            <w:tcW w:w="1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7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56,968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48,155</w:t>
            </w:r>
          </w:p>
        </w:tc>
      </w:tr>
      <w:tr>
        <w:trPr>
          <w:trHeight w:val="22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42,478</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38,388</w:t>
            </w:r>
          </w:p>
        </w:tc>
      </w:tr>
      <w:tr>
        <w:trPr>
          <w:trHeight w:val="216"/>
        </w:trPr>
        <w:tc>
          <w:tcPr>
            <w:tcW w:w="8680" w:type="dxa"/>
            <w:vAlign w:val="bottom"/>
            <w:gridSpan w:val="2"/>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472,271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427,527</w:t>
            </w:r>
          </w:p>
        </w:tc>
      </w:tr>
      <w:tr>
        <w:trPr>
          <w:trHeight w:val="216"/>
        </w:trPr>
        <w:tc>
          <w:tcPr>
            <w:tcW w:w="868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604,545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632,441</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7,870</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19,801</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20,779</w:t>
            </w:r>
          </w:p>
        </w:tc>
      </w:tr>
      <w:tr>
        <w:trPr>
          <w:trHeight w:val="223"/>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7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31,581</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30,048</w:t>
            </w:r>
          </w:p>
        </w:tc>
      </w:tr>
      <w:tr>
        <w:trPr>
          <w:trHeight w:val="216"/>
        </w:trPr>
        <w:tc>
          <w:tcPr>
            <w:tcW w:w="13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assets</w:t>
            </w:r>
          </w:p>
        </w:tc>
        <w:tc>
          <w:tcPr>
            <w:tcW w:w="738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1,133,888</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1,118,665</w:t>
            </w:r>
          </w:p>
        </w:tc>
        <w:tc>
          <w:tcPr>
            <w:tcW w:w="100" w:type="dxa"/>
            <w:vAlign w:val="bottom"/>
            <w:tcBorders>
              <w:top w:val="single" w:sz="8" w:color="CCEEFF"/>
            </w:tcBorders>
          </w:tcPr>
          <w:p>
            <w:pPr>
              <w:spacing w:after="0"/>
              <w:rPr>
                <w:sz w:val="18"/>
                <w:szCs w:val="18"/>
                <w:color w:val="auto"/>
              </w:rPr>
            </w:pPr>
          </w:p>
        </w:tc>
      </w:tr>
      <w:tr>
        <w:trPr>
          <w:trHeight w:val="21"/>
        </w:trPr>
        <w:tc>
          <w:tcPr>
            <w:tcW w:w="868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68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LIABILITIES AND EQUITY</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00" w:type="dxa"/>
            <w:vAlign w:val="bottom"/>
          </w:tcPr>
          <w:p>
            <w:pPr>
              <w:ind w:left="180"/>
              <w:spacing w:after="0"/>
              <w:rPr>
                <w:sz w:val="20"/>
                <w:szCs w:val="20"/>
                <w:color w:val="auto"/>
              </w:rPr>
            </w:pPr>
            <w:r>
              <w:rPr>
                <w:rFonts w:ascii="Arial" w:cs="Arial" w:eastAsia="Arial" w:hAnsi="Arial"/>
                <w:sz w:val="18"/>
                <w:szCs w:val="18"/>
                <w:color w:val="auto"/>
                <w:w w:val="87"/>
              </w:rPr>
              <w:t>Short-term debt</w:t>
            </w:r>
          </w:p>
        </w:tc>
        <w:tc>
          <w:tcPr>
            <w:tcW w:w="738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9,858</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8,731</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2,142</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76,293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91,379</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59,408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49,702</w:t>
            </w:r>
          </w:p>
        </w:tc>
      </w:tr>
      <w:tr>
        <w:trPr>
          <w:trHeight w:val="223"/>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153,372</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151,954</w:t>
            </w:r>
          </w:p>
        </w:tc>
        <w:tc>
          <w:tcPr>
            <w:tcW w:w="100" w:type="dxa"/>
            <w:vAlign w:val="bottom"/>
          </w:tcPr>
          <w:p>
            <w:pPr>
              <w:spacing w:after="0"/>
              <w:rPr>
                <w:sz w:val="19"/>
                <w:szCs w:val="19"/>
                <w:color w:val="auto"/>
              </w:rPr>
            </w:pPr>
          </w:p>
        </w:tc>
      </w:tr>
      <w:tr>
        <w:trPr>
          <w:trHeight w:val="216"/>
        </w:trPr>
        <w:tc>
          <w:tcPr>
            <w:tcW w:w="1300" w:type="dxa"/>
            <w:vAlign w:val="bottom"/>
            <w:shd w:val="clear" w:color="auto" w:fill="CCEEFF"/>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Long-term debt</w:t>
            </w:r>
          </w:p>
        </w:tc>
        <w:tc>
          <w:tcPr>
            <w:tcW w:w="7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35,783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41,887</w:t>
            </w:r>
          </w:p>
        </w:tc>
      </w:tr>
      <w:tr>
        <w:trPr>
          <w:trHeight w:val="223"/>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7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23,075</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13,732</w:t>
            </w:r>
          </w:p>
        </w:tc>
      </w:tr>
      <w:tr>
        <w:trPr>
          <w:trHeight w:val="216"/>
        </w:trPr>
        <w:tc>
          <w:tcPr>
            <w:tcW w:w="8680" w:type="dxa"/>
            <w:vAlign w:val="bottom"/>
            <w:tcBorders>
              <w:top w:val="single" w:sz="8" w:color="CCEEFF"/>
            </w:tcBorders>
            <w:gridSpan w:val="2"/>
          </w:tcPr>
          <w:p>
            <w:pPr>
              <w:ind w:left="34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212,230</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207,573</w:t>
            </w: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00" w:type="dxa"/>
            <w:vAlign w:val="bottom"/>
            <w:shd w:val="clear" w:color="auto" w:fill="CCEEFF"/>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Equity:</w:t>
            </w:r>
          </w:p>
        </w:tc>
        <w:tc>
          <w:tcPr>
            <w:tcW w:w="7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Preferred stock, $0.01 par value, 2,000 shares authorized, none issued and outstanding</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68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1"/>
              </w:rPr>
              <w:t>Common stock, $0.01 par value, 150,000 shares authorized, 66,215 shares issued and 64,751 outstanding at May 3,</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2020 and 65,595 shares issued and outstanding at October 31, 2019</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656</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530,117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524,319</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270,506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253,922</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Treasury stock, 1,464 shares at May 3, 2020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(16,894)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(15,200)</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(9,005)</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Photronics, Inc. shareholders’ equity</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769,191</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769,892</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Noncontrolling interests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152,467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141,200</w:t>
            </w:r>
          </w:p>
        </w:tc>
      </w:tr>
      <w:tr>
        <w:trPr>
          <w:trHeight w:val="223"/>
        </w:trPr>
        <w:tc>
          <w:tcPr>
            <w:tcW w:w="1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equity</w:t>
            </w:r>
          </w:p>
        </w:tc>
        <w:tc>
          <w:tcPr>
            <w:tcW w:w="73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921,658</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911,092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Total liabilities and equity</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1,133,888</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1,118,665</w:t>
            </w:r>
          </w:p>
        </w:tc>
      </w:tr>
      <w:tr>
        <w:trPr>
          <w:trHeight w:val="20"/>
        </w:trPr>
        <w:tc>
          <w:tcPr>
            <w:tcW w:w="130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 w:name="page6"/>
    <w:bookmarkEnd w:id="5"/>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0"/>
                <w:szCs w:val="20"/>
                <w:color w:val="auto"/>
              </w:rPr>
            </w:pPr>
          </w:p>
        </w:tc>
        <w:tc>
          <w:tcPr>
            <w:tcW w:w="234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Six Months Ended</w:t>
            </w:r>
          </w:p>
        </w:tc>
      </w:tr>
      <w:tr>
        <w:trPr>
          <w:trHeight w:val="198"/>
        </w:trPr>
        <w:tc>
          <w:tcPr>
            <w:tcW w:w="59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right"/>
              <w:ind w:right="560"/>
              <w:spacing w:after="0" w:line="198" w:lineRule="exact"/>
              <w:rPr>
                <w:sz w:val="20"/>
                <w:szCs w:val="20"/>
                <w:color w:val="auto"/>
              </w:rPr>
            </w:pPr>
            <w:r>
              <w:rPr>
                <w:rFonts w:ascii="Arial" w:cs="Arial" w:eastAsia="Arial" w:hAnsi="Arial"/>
                <w:sz w:val="18"/>
                <w:szCs w:val="18"/>
                <w:b w:val="1"/>
                <w:bCs w:val="1"/>
                <w:color w:val="auto"/>
              </w:rPr>
              <w:t>May 3,</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rPr>
              <w:t>April 28,</w:t>
            </w: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94"/>
              </w:rPr>
              <w:t>May 3,</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rPr>
              <w:t>April 28,</w:t>
            </w:r>
          </w:p>
        </w:tc>
        <w:tc>
          <w:tcPr>
            <w:tcW w:w="100" w:type="dxa"/>
            <w:vAlign w:val="bottom"/>
          </w:tcPr>
          <w:p>
            <w:pPr>
              <w:spacing w:after="0"/>
              <w:rPr>
                <w:sz w:val="17"/>
                <w:szCs w:val="17"/>
                <w:color w:val="auto"/>
              </w:rPr>
            </w:pPr>
          </w:p>
        </w:tc>
      </w:tr>
      <w:tr>
        <w:trPr>
          <w:trHeight w:val="241"/>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142,774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131,580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302,510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256,291</w:t>
            </w: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2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112,341</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105,570</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237,475</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204,179</w:t>
            </w:r>
          </w:p>
        </w:tc>
      </w:tr>
      <w:tr>
        <w:trPr>
          <w:trHeight w:val="216"/>
        </w:trPr>
        <w:tc>
          <w:tcPr>
            <w:tcW w:w="59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30,433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26,010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65,035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52,112</w:t>
            </w: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13,269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27,486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27,061</w:t>
            </w: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23"/>
        </w:trPr>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4,462</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3,542</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8,541</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7,805</w:t>
            </w:r>
          </w:p>
        </w:tc>
      </w:tr>
      <w:tr>
        <w:trPr>
          <w:trHeight w:val="216"/>
        </w:trPr>
        <w:tc>
          <w:tcPr>
            <w:tcW w:w="59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17,729</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16,811</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36,027</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34,866</w:t>
            </w:r>
          </w:p>
        </w:tc>
      </w:tr>
      <w:tr>
        <w:trPr>
          <w:trHeight w:val="216"/>
        </w:trPr>
        <w:tc>
          <w:tcPr>
            <w:tcW w:w="59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income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9,199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29,008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17,246</w:t>
            </w: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60"/>
              <w:spacing w:after="0"/>
              <w:rPr>
                <w:sz w:val="20"/>
                <w:szCs w:val="20"/>
                <w:color w:val="auto"/>
              </w:rPr>
            </w:pPr>
            <w:r>
              <w:rPr>
                <w:rFonts w:ascii="Arial" w:cs="Arial" w:eastAsia="Arial" w:hAnsi="Arial"/>
                <w:sz w:val="18"/>
                <w:szCs w:val="18"/>
                <w:color w:val="auto"/>
              </w:rPr>
              <w:t>Foreign currency transaction (losses) gains, net</w:t>
            </w: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(1,433)</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3,961</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3,304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5,052</w:t>
            </w:r>
          </w:p>
        </w:tc>
      </w:tr>
      <w:tr>
        <w:trPr>
          <w:trHeight w:val="216"/>
        </w:trPr>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net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(886)</w:t>
            </w:r>
          </w:p>
        </w:tc>
      </w:tr>
      <w:tr>
        <w:trPr>
          <w:trHeight w:val="223"/>
        </w:trPr>
        <w:tc>
          <w:tcPr>
            <w:tcW w:w="5980" w:type="dxa"/>
            <w:vAlign w:val="bottom"/>
          </w:tcPr>
          <w:p>
            <w:pPr>
              <w:ind w:left="160"/>
              <w:spacing w:after="0"/>
              <w:rPr>
                <w:sz w:val="20"/>
                <w:szCs w:val="20"/>
                <w:color w:val="auto"/>
              </w:rPr>
            </w:pPr>
            <w:r>
              <w:rPr>
                <w:rFonts w:ascii="Arial" w:cs="Arial" w:eastAsia="Arial" w:hAnsi="Arial"/>
                <w:sz w:val="18"/>
                <w:szCs w:val="18"/>
                <w:color w:val="auto"/>
              </w:rPr>
              <w:t>Interest income and other income (expense), net</w:t>
            </w:r>
          </w:p>
        </w:tc>
        <w:tc>
          <w:tcPr>
            <w:tcW w:w="2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(293)</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325</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464</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873</w:t>
            </w:r>
          </w:p>
        </w:tc>
      </w:tr>
      <w:tr>
        <w:trPr>
          <w:trHeight w:val="216"/>
        </w:trPr>
        <w:tc>
          <w:tcPr>
            <w:tcW w:w="59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11,753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13,130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31,753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22,285</w:t>
            </w: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Income tax provision</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3,781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3,278</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12,853</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4,665</w:t>
            </w:r>
          </w:p>
        </w:tc>
      </w:tr>
      <w:tr>
        <w:trPr>
          <w:trHeight w:val="216"/>
        </w:trPr>
        <w:tc>
          <w:tcPr>
            <w:tcW w:w="59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7,972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9,852</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18,900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17,620</w:t>
            </w: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1,688</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1,373</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2,316</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3,874</w:t>
            </w:r>
          </w:p>
        </w:tc>
      </w:tr>
      <w:tr>
        <w:trPr>
          <w:trHeight w:val="216"/>
        </w:trPr>
        <w:tc>
          <w:tcPr>
            <w:tcW w:w="59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6,284</w:t>
            </w:r>
          </w:p>
        </w:tc>
        <w:tc>
          <w:tcPr>
            <w:tcW w:w="26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8,479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16,584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13,746</w:t>
            </w: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Earnings per share: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16"/>
        </w:trPr>
        <w:tc>
          <w:tcPr>
            <w:tcW w:w="5980" w:type="dxa"/>
            <w:vAlign w:val="bottom"/>
          </w:tcPr>
          <w:p>
            <w:pPr>
              <w:ind w:left="16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0.10</w:t>
            </w:r>
          </w:p>
        </w:tc>
        <w:tc>
          <w:tcPr>
            <w:tcW w:w="26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0.13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0.25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0.21</w:t>
            </w: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16"/>
        </w:trPr>
        <w:tc>
          <w:tcPr>
            <w:tcW w:w="5980" w:type="dxa"/>
            <w:vAlign w:val="bottom"/>
          </w:tcPr>
          <w:p>
            <w:pPr>
              <w:ind w:left="160"/>
              <w:spacing w:after="0"/>
              <w:rPr>
                <w:sz w:val="20"/>
                <w:szCs w:val="20"/>
                <w:color w:val="auto"/>
              </w:rPr>
            </w:pPr>
            <w:r>
              <w:rPr>
                <w:rFonts w:ascii="Arial" w:cs="Arial" w:eastAsia="Arial" w:hAnsi="Arial"/>
                <w:sz w:val="18"/>
                <w:szCs w:val="18"/>
                <w:color w:val="auto"/>
              </w:rPr>
              <w:t>Diluted</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0.10</w:t>
            </w:r>
          </w:p>
        </w:tc>
        <w:tc>
          <w:tcPr>
            <w:tcW w:w="26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0.13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0.25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0.20</w:t>
            </w: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Weighted-average number of common shares outstanding:</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16"/>
        </w:trPr>
        <w:tc>
          <w:tcPr>
            <w:tcW w:w="5980" w:type="dxa"/>
            <w:vAlign w:val="bottom"/>
          </w:tcPr>
          <w:p>
            <w:pPr>
              <w:ind w:left="16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64,937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66,261</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65,246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66,422</w:t>
            </w:r>
          </w:p>
        </w:tc>
      </w:tr>
      <w:tr>
        <w:trPr>
          <w:trHeight w:val="21"/>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16"/>
        </w:trPr>
        <w:tc>
          <w:tcPr>
            <w:tcW w:w="5980" w:type="dxa"/>
            <w:vAlign w:val="bottom"/>
          </w:tcPr>
          <w:p>
            <w:pPr>
              <w:ind w:left="16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65,417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70,597</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65,933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71,593</w:t>
            </w: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0"/>
                <w:szCs w:val="20"/>
                <w:color w:val="auto"/>
              </w:rPr>
            </w:pPr>
          </w:p>
        </w:tc>
        <w:tc>
          <w:tcPr>
            <w:tcW w:w="234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Six Months Ended</w:t>
            </w:r>
          </w:p>
        </w:tc>
      </w:tr>
      <w:tr>
        <w:trPr>
          <w:trHeight w:val="198"/>
        </w:trPr>
        <w:tc>
          <w:tcPr>
            <w:tcW w:w="59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center"/>
              <w:ind w:right="460"/>
              <w:spacing w:after="0" w:line="198" w:lineRule="exact"/>
              <w:rPr>
                <w:sz w:val="20"/>
                <w:szCs w:val="20"/>
                <w:color w:val="auto"/>
              </w:rPr>
            </w:pPr>
            <w:r>
              <w:rPr>
                <w:rFonts w:ascii="Arial" w:cs="Arial" w:eastAsia="Arial" w:hAnsi="Arial"/>
                <w:sz w:val="18"/>
                <w:szCs w:val="18"/>
                <w:b w:val="1"/>
                <w:bCs w:val="1"/>
                <w:color w:val="auto"/>
                <w:w w:val="94"/>
              </w:rPr>
              <w:t>May 3,</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rPr>
              <w:t>April 28,</w:t>
            </w: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94"/>
              </w:rPr>
              <w:t>May 3,</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rPr>
              <w:t>April 28,</w:t>
            </w:r>
          </w:p>
        </w:tc>
        <w:tc>
          <w:tcPr>
            <w:tcW w:w="100" w:type="dxa"/>
            <w:vAlign w:val="bottom"/>
          </w:tcPr>
          <w:p>
            <w:pPr>
              <w:spacing w:after="0"/>
              <w:rPr>
                <w:sz w:val="17"/>
                <w:szCs w:val="17"/>
                <w:color w:val="auto"/>
              </w:rPr>
            </w:pPr>
          </w:p>
        </w:tc>
      </w:tr>
      <w:tr>
        <w:trPr>
          <w:trHeight w:val="241"/>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7,972</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9,852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17,620</w:t>
            </w: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tax of $0:</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(2,405)</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(7,054)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(3,970)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(482)</w:t>
            </w: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23"/>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r>
      <w:tr>
        <w:trPr>
          <w:trHeight w:val="216"/>
        </w:trPr>
        <w:tc>
          <w:tcPr>
            <w:tcW w:w="59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other comprehensive loss</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(2,404)</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(7,029)</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(3,951)</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(438)</w:t>
            </w:r>
          </w:p>
        </w:tc>
      </w:tr>
      <w:tr>
        <w:trPr>
          <w:trHeight w:val="216"/>
        </w:trPr>
        <w:tc>
          <w:tcPr>
            <w:tcW w:w="59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5,568</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2,823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14,949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17,182</w:t>
            </w: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23"/>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2,742</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1,515</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4,560</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5,298</w:t>
            </w:r>
          </w:p>
        </w:tc>
      </w:tr>
      <w:tr>
        <w:trPr>
          <w:trHeight w:val="216"/>
        </w:trPr>
        <w:tc>
          <w:tcPr>
            <w:tcW w:w="59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Comprehensive income attributable to Photronics, Inc. shareholders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2,826</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10,389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11,884</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Three Months Ended May 3, 2020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20"/>
                <w:szCs w:val="20"/>
                <w:color w:val="auto"/>
              </w:rPr>
            </w:pPr>
          </w:p>
        </w:tc>
        <w:tc>
          <w:tcPr>
            <w:tcW w:w="90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2380" w:type="dxa"/>
            <w:vAlign w:val="bottom"/>
            <w:tcBorders>
              <w:top w:val="single" w:sz="8" w:color="auto"/>
              <w:bottom w:val="single" w:sz="8" w:color="auto"/>
            </w:tcBorders>
            <w:gridSpan w:val="7"/>
          </w:tcPr>
          <w:p>
            <w:pPr>
              <w:ind w:left="60"/>
              <w:spacing w:after="0"/>
              <w:rPr>
                <w:sz w:val="20"/>
                <w:szCs w:val="20"/>
                <w:color w:val="auto"/>
              </w:rPr>
            </w:pPr>
            <w:r>
              <w:rPr>
                <w:rFonts w:ascii="Arial" w:cs="Arial" w:eastAsia="Arial" w:hAnsi="Arial"/>
                <w:sz w:val="18"/>
                <w:szCs w:val="18"/>
                <w:b w:val="1"/>
                <w:bCs w:val="1"/>
                <w:color w:val="auto"/>
                <w:w w:val="90"/>
              </w:rPr>
              <w:t>Photronics, Inc. Shareholders</w:t>
            </w: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66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Common Stock</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5"/>
              </w:rPr>
              <w:t>Additional</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Non-</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300" w:type="dxa"/>
            <w:vAlign w:val="bottom"/>
          </w:tcPr>
          <w:p>
            <w:pPr>
              <w:spacing w:after="0"/>
              <w:rPr>
                <w:sz w:val="18"/>
                <w:szCs w:val="18"/>
                <w:color w:val="auto"/>
              </w:rPr>
            </w:pPr>
          </w:p>
        </w:tc>
        <w:tc>
          <w:tcPr>
            <w:tcW w:w="1660" w:type="dxa"/>
            <w:vAlign w:val="bottom"/>
            <w:tcBorders>
              <w:bottom w:val="single" w:sz="8" w:color="auto"/>
            </w:tcBorders>
            <w:gridSpan w:val="3"/>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89"/>
              </w:rPr>
              <w:t>Paid-in</w:t>
            </w:r>
          </w:p>
        </w:tc>
        <w:tc>
          <w:tcPr>
            <w:tcW w:w="10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Retained</w:t>
            </w:r>
          </w:p>
        </w:tc>
        <w:tc>
          <w:tcPr>
            <w:tcW w:w="960" w:type="dxa"/>
            <w:vAlign w:val="bottom"/>
            <w:gridSpan w:val="3"/>
          </w:tcPr>
          <w:p>
            <w:pPr>
              <w:jc w:val="right"/>
              <w:ind w:right="161"/>
              <w:spacing w:after="0"/>
              <w:rPr>
                <w:sz w:val="20"/>
                <w:szCs w:val="20"/>
                <w:color w:val="auto"/>
              </w:rPr>
            </w:pPr>
            <w:r>
              <w:rPr>
                <w:rFonts w:ascii="Arial" w:cs="Arial" w:eastAsia="Arial" w:hAnsi="Arial"/>
                <w:sz w:val="18"/>
                <w:szCs w:val="18"/>
                <w:b w:val="1"/>
                <w:bCs w:val="1"/>
                <w:color w:val="auto"/>
                <w:w w:val="92"/>
              </w:rPr>
              <w:t>Treasury</w:t>
            </w:r>
          </w:p>
        </w:tc>
        <w:tc>
          <w:tcPr>
            <w:tcW w:w="13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Comprehensive</w:t>
            </w:r>
          </w:p>
        </w:tc>
        <w:tc>
          <w:tcPr>
            <w:tcW w:w="120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0"/>
              </w:rPr>
              <w:t>controlling</w:t>
            </w: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19"/>
                <w:szCs w:val="19"/>
                <w:color w:val="auto"/>
              </w:rPr>
            </w:pPr>
          </w:p>
        </w:tc>
        <w:tc>
          <w:tcPr>
            <w:tcW w:w="9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w w:val="99"/>
              </w:rPr>
              <w:t>Amount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9"/>
              </w:rPr>
              <w:t>Capital</w:t>
            </w:r>
          </w:p>
        </w:tc>
        <w:tc>
          <w:tcPr>
            <w:tcW w:w="220" w:type="dxa"/>
            <w:vAlign w:val="bottom"/>
          </w:tcPr>
          <w:p>
            <w:pPr>
              <w:spacing w:after="0"/>
              <w:rPr>
                <w:sz w:val="19"/>
                <w:szCs w:val="19"/>
                <w:color w:val="auto"/>
              </w:rPr>
            </w:pPr>
          </w:p>
        </w:tc>
        <w:tc>
          <w:tcPr>
            <w:tcW w:w="9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3"/>
              </w:rPr>
              <w:t>Earnings</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7"/>
              </w:rPr>
              <w:t>Stock</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5"/>
              </w:rPr>
              <w:t>Loss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bottom w:val="single" w:sz="8" w:color="auto"/>
            </w:tcBorders>
            <w:gridSpan w:val="2"/>
          </w:tcPr>
          <w:p>
            <w:pPr>
              <w:jc w:val="center"/>
              <w:ind w:right="50"/>
              <w:spacing w:after="0"/>
              <w:rPr>
                <w:sz w:val="20"/>
                <w:szCs w:val="20"/>
                <w:color w:val="auto"/>
              </w:rPr>
            </w:pPr>
            <w:r>
              <w:rPr>
                <w:rFonts w:ascii="Arial" w:cs="Arial" w:eastAsia="Arial" w:hAnsi="Arial"/>
                <w:sz w:val="18"/>
                <w:szCs w:val="18"/>
                <w:b w:val="1"/>
                <w:bCs w:val="1"/>
                <w:color w:val="auto"/>
                <w:w w:val="87"/>
              </w:rPr>
              <w:t>Interests</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rPr>
              <w:t>Balance at February 3, 2020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66,144</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528,535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264,222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36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(11,742)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142,125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912,801</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6,284</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7,972</w:t>
            </w:r>
          </w:p>
        </w:tc>
        <w:tc>
          <w:tcPr>
            <w:tcW w:w="0" w:type="dxa"/>
            <w:vAlign w:val="bottom"/>
          </w:tcPr>
          <w:p>
            <w:pPr>
              <w:spacing w:after="0"/>
              <w:rPr>
                <w:sz w:val="1"/>
                <w:szCs w:val="1"/>
                <w:color w:val="auto"/>
              </w:rPr>
            </w:pPr>
          </w:p>
        </w:tc>
      </w:tr>
      <w:tr>
        <w:trPr>
          <w:trHeight w:val="202"/>
        </w:trPr>
        <w:tc>
          <w:tcPr>
            <w:tcW w:w="2300" w:type="dxa"/>
            <w:vAlign w:val="bottom"/>
          </w:tcPr>
          <w:p>
            <w:pPr>
              <w:spacing w:after="0" w:line="201" w:lineRule="exact"/>
              <w:rPr>
                <w:sz w:val="20"/>
                <w:szCs w:val="20"/>
                <w:color w:val="auto"/>
              </w:rPr>
            </w:pPr>
            <w:r>
              <w:rPr>
                <w:rFonts w:ascii="Arial" w:cs="Arial" w:eastAsia="Arial" w:hAnsi="Arial"/>
                <w:sz w:val="18"/>
                <w:szCs w:val="18"/>
                <w:color w:val="auto"/>
              </w:rPr>
              <w:t>Other comprehensive (loss)</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140"/>
              <w:spacing w:after="0"/>
              <w:rPr>
                <w:sz w:val="20"/>
                <w:szCs w:val="20"/>
                <w:color w:val="auto"/>
              </w:rPr>
            </w:pPr>
            <w:r>
              <w:rPr>
                <w:rFonts w:ascii="Arial" w:cs="Arial" w:eastAsia="Arial" w:hAnsi="Arial"/>
                <w:sz w:val="18"/>
                <w:szCs w:val="18"/>
                <w:color w:val="auto"/>
              </w:rPr>
              <w:t>income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(3,458)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1,054</w:t>
            </w:r>
          </w:p>
        </w:tc>
        <w:tc>
          <w:tcPr>
            <w:tcW w:w="1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(2,404)</w:t>
            </w:r>
          </w:p>
        </w:tc>
        <w:tc>
          <w:tcPr>
            <w:tcW w:w="0" w:type="dxa"/>
            <w:vAlign w:val="bottom"/>
          </w:tcPr>
          <w:p>
            <w:pPr>
              <w:spacing w:after="0"/>
              <w:rPr>
                <w:sz w:val="1"/>
                <w:szCs w:val="1"/>
                <w:color w:val="auto"/>
              </w:rPr>
            </w:pPr>
          </w:p>
        </w:tc>
      </w:tr>
      <w:tr>
        <w:trPr>
          <w:trHeight w:val="202"/>
        </w:trPr>
        <w:tc>
          <w:tcPr>
            <w:tcW w:w="2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 of common stock</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through employee stock</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option and purchase plans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363</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02"/>
        </w:trPr>
        <w:tc>
          <w:tcPr>
            <w:tcW w:w="2300" w:type="dxa"/>
            <w:vAlign w:val="bottom"/>
          </w:tcPr>
          <w:p>
            <w:pPr>
              <w:spacing w:after="0" w:line="201" w:lineRule="exact"/>
              <w:rPr>
                <w:sz w:val="20"/>
                <w:szCs w:val="20"/>
                <w:color w:val="auto"/>
              </w:rPr>
            </w:pPr>
            <w:r>
              <w:rPr>
                <w:rFonts w:ascii="Arial" w:cs="Arial" w:eastAsia="Arial" w:hAnsi="Arial"/>
                <w:sz w:val="18"/>
                <w:szCs w:val="18"/>
                <w:color w:val="auto"/>
              </w:rPr>
              <w:t>Restricted stock awards</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140"/>
              <w:spacing w:after="0"/>
              <w:rPr>
                <w:sz w:val="20"/>
                <w:szCs w:val="20"/>
                <w:color w:val="auto"/>
              </w:rPr>
            </w:pPr>
            <w:r>
              <w:rPr>
                <w:rFonts w:ascii="Arial" w:cs="Arial" w:eastAsia="Arial" w:hAnsi="Arial"/>
                <w:sz w:val="18"/>
                <w:szCs w:val="18"/>
                <w:color w:val="auto"/>
              </w:rPr>
              <w:t>vesting and expense</w:t>
            </w:r>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1,071</w:t>
            </w: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02"/>
        </w:trPr>
        <w:tc>
          <w:tcPr>
            <w:tcW w:w="2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Share-based compensation</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expense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Purchase of treasury stock</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(5,894)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(5,894)</w:t>
            </w:r>
          </w:p>
        </w:tc>
        <w:tc>
          <w:tcPr>
            <w:tcW w:w="0" w:type="dxa"/>
            <w:vAlign w:val="bottom"/>
          </w:tcPr>
          <w:p>
            <w:pPr>
              <w:spacing w:after="0"/>
              <w:rPr>
                <w:sz w:val="1"/>
                <w:szCs w:val="1"/>
                <w:color w:val="auto"/>
              </w:rPr>
            </w:pPr>
          </w:p>
        </w:tc>
      </w:tr>
      <w:tr>
        <w:trPr>
          <w:trHeight w:val="202"/>
        </w:trPr>
        <w:tc>
          <w:tcPr>
            <w:tcW w:w="2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Contribution from</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noncontrolling interest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7,600</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7,600</w:t>
            </w: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260" w:type="dxa"/>
            <w:vAlign w:val="bottom"/>
            <w:gridSpan w:val="2"/>
          </w:tcPr>
          <w:p>
            <w:pPr>
              <w:spacing w:after="0"/>
              <w:rPr>
                <w:sz w:val="19"/>
                <w:szCs w:val="19"/>
                <w:color w:val="auto"/>
              </w:rPr>
            </w:pPr>
          </w:p>
        </w:tc>
        <w:tc>
          <w:tcPr>
            <w:tcW w:w="100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spacing w:after="0"/>
              <w:rPr>
                <w:sz w:val="19"/>
                <w:szCs w:val="19"/>
                <w:color w:val="auto"/>
              </w:rPr>
            </w:pPr>
          </w:p>
        </w:tc>
        <w:tc>
          <w:tcPr>
            <w:tcW w:w="360" w:type="dxa"/>
            <w:vAlign w:val="bottom"/>
            <w:gridSpan w:val="2"/>
          </w:tcPr>
          <w:p>
            <w:pPr>
              <w:spacing w:after="0"/>
              <w:rPr>
                <w:sz w:val="19"/>
                <w:szCs w:val="19"/>
                <w:color w:val="auto"/>
              </w:rPr>
            </w:pPr>
          </w:p>
        </w:tc>
        <w:tc>
          <w:tcPr>
            <w:tcW w:w="980" w:type="dxa"/>
            <w:vAlign w:val="bottom"/>
            <w:gridSpan w:val="2"/>
          </w:tcPr>
          <w:p>
            <w:pPr>
              <w:spacing w:after="0"/>
              <w:rPr>
                <w:sz w:val="19"/>
                <w:szCs w:val="19"/>
                <w:color w:val="auto"/>
              </w:rPr>
            </w:pPr>
          </w:p>
        </w:tc>
        <w:tc>
          <w:tcPr>
            <w:tcW w:w="260" w:type="dxa"/>
            <w:vAlign w:val="bottom"/>
            <w:gridSpan w:val="2"/>
          </w:tcPr>
          <w:p>
            <w:pPr>
              <w:spacing w:after="0"/>
              <w:rPr>
                <w:sz w:val="19"/>
                <w:szCs w:val="19"/>
                <w:color w:val="auto"/>
              </w:rPr>
            </w:pPr>
          </w:p>
        </w:tc>
        <w:tc>
          <w:tcPr>
            <w:tcW w:w="94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May 3, 2020</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66,215</w:t>
            </w:r>
          </w:p>
        </w:tc>
        <w:tc>
          <w:tcPr>
            <w:tcW w:w="2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530,117</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270,506</w:t>
            </w:r>
          </w:p>
        </w:tc>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(16,894</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152,467</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921,658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60"/>
        </w:trPr>
        <w:tc>
          <w:tcPr>
            <w:tcW w:w="23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10"/>
          </w:tcPr>
          <w:p>
            <w:pPr>
              <w:jc w:val="right"/>
              <w:spacing w:after="0"/>
              <w:rPr>
                <w:sz w:val="20"/>
                <w:szCs w:val="20"/>
                <w:color w:val="auto"/>
              </w:rPr>
            </w:pPr>
            <w:r>
              <w:rPr>
                <w:rFonts w:ascii="Arial" w:cs="Arial" w:eastAsia="Arial" w:hAnsi="Arial"/>
                <w:sz w:val="18"/>
                <w:szCs w:val="18"/>
                <w:b w:val="1"/>
                <w:bCs w:val="1"/>
                <w:color w:val="auto"/>
              </w:rPr>
              <w:t>Three Months Ended April 28, 2019</w:t>
            </w: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7"/>
          </w:tcPr>
          <w:p>
            <w:pPr>
              <w:ind w:left="60"/>
              <w:spacing w:after="0"/>
              <w:rPr>
                <w:sz w:val="20"/>
                <w:szCs w:val="20"/>
                <w:color w:val="auto"/>
              </w:rPr>
            </w:pPr>
            <w:r>
              <w:rPr>
                <w:rFonts w:ascii="Arial" w:cs="Arial" w:eastAsia="Arial" w:hAnsi="Arial"/>
                <w:sz w:val="18"/>
                <w:szCs w:val="18"/>
                <w:b w:val="1"/>
                <w:bCs w:val="1"/>
                <w:color w:val="auto"/>
                <w:w w:val="90"/>
              </w:rPr>
              <w:t>Photronics, Inc. Shareholders</w:t>
            </w: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66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Common Stock</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5"/>
              </w:rPr>
              <w:t>Additional</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Non-</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300" w:type="dxa"/>
            <w:vAlign w:val="bottom"/>
          </w:tcPr>
          <w:p>
            <w:pPr>
              <w:spacing w:after="0"/>
              <w:rPr>
                <w:sz w:val="18"/>
                <w:szCs w:val="18"/>
                <w:color w:val="auto"/>
              </w:rPr>
            </w:pPr>
          </w:p>
        </w:tc>
        <w:tc>
          <w:tcPr>
            <w:tcW w:w="1660" w:type="dxa"/>
            <w:vAlign w:val="bottom"/>
            <w:tcBorders>
              <w:bottom w:val="single" w:sz="8" w:color="auto"/>
            </w:tcBorders>
            <w:gridSpan w:val="3"/>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89"/>
              </w:rPr>
              <w:t>Paid-in</w:t>
            </w:r>
          </w:p>
        </w:tc>
        <w:tc>
          <w:tcPr>
            <w:tcW w:w="10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Retained</w:t>
            </w:r>
          </w:p>
        </w:tc>
        <w:tc>
          <w:tcPr>
            <w:tcW w:w="80" w:type="dxa"/>
            <w:vAlign w:val="bottom"/>
          </w:tcPr>
          <w:p>
            <w:pPr>
              <w:spacing w:after="0"/>
              <w:rPr>
                <w:sz w:val="18"/>
                <w:szCs w:val="18"/>
                <w:color w:val="auto"/>
              </w:rPr>
            </w:pPr>
          </w:p>
        </w:tc>
        <w:tc>
          <w:tcPr>
            <w:tcW w:w="880" w:type="dxa"/>
            <w:vAlign w:val="bottom"/>
            <w:gridSpan w:val="2"/>
          </w:tcPr>
          <w:p>
            <w:pPr>
              <w:jc w:val="right"/>
              <w:ind w:right="101"/>
              <w:spacing w:after="0"/>
              <w:rPr>
                <w:sz w:val="20"/>
                <w:szCs w:val="20"/>
                <w:color w:val="auto"/>
              </w:rPr>
            </w:pPr>
            <w:r>
              <w:rPr>
                <w:rFonts w:ascii="Arial" w:cs="Arial" w:eastAsia="Arial" w:hAnsi="Arial"/>
                <w:sz w:val="18"/>
                <w:szCs w:val="18"/>
                <w:b w:val="1"/>
                <w:bCs w:val="1"/>
                <w:color w:val="auto"/>
                <w:w w:val="89"/>
              </w:rPr>
              <w:t>Treasury</w:t>
            </w:r>
          </w:p>
        </w:tc>
        <w:tc>
          <w:tcPr>
            <w:tcW w:w="13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Comprehensive</w:t>
            </w:r>
          </w:p>
        </w:tc>
        <w:tc>
          <w:tcPr>
            <w:tcW w:w="120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0"/>
              </w:rPr>
              <w:t>controlling</w:t>
            </w: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19"/>
                <w:szCs w:val="19"/>
                <w:color w:val="auto"/>
              </w:rPr>
            </w:pPr>
          </w:p>
        </w:tc>
        <w:tc>
          <w:tcPr>
            <w:tcW w:w="90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w w:val="99"/>
              </w:rPr>
              <w:t>Amount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Capital</w:t>
            </w:r>
          </w:p>
        </w:tc>
        <w:tc>
          <w:tcPr>
            <w:tcW w:w="220" w:type="dxa"/>
            <w:vAlign w:val="bottom"/>
          </w:tcPr>
          <w:p>
            <w:pPr>
              <w:spacing w:after="0"/>
              <w:rPr>
                <w:sz w:val="19"/>
                <w:szCs w:val="19"/>
                <w:color w:val="auto"/>
              </w:rPr>
            </w:pPr>
          </w:p>
        </w:tc>
        <w:tc>
          <w:tcPr>
            <w:tcW w:w="9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3"/>
              </w:rPr>
              <w:t>Earnings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w w:val="97"/>
              </w:rPr>
              <w:t>Stock</w:t>
            </w:r>
          </w:p>
        </w:tc>
        <w:tc>
          <w:tcPr>
            <w:tcW w:w="80" w:type="dxa"/>
            <w:vAlign w:val="bottom"/>
          </w:tcPr>
          <w:p>
            <w:pPr>
              <w:spacing w:after="0"/>
              <w:rPr>
                <w:sz w:val="19"/>
                <w:szCs w:val="19"/>
                <w:color w:val="auto"/>
              </w:rPr>
            </w:pPr>
          </w:p>
        </w:tc>
        <w:tc>
          <w:tcPr>
            <w:tcW w:w="13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Income (Loss)</w:t>
            </w:r>
          </w:p>
        </w:tc>
        <w:tc>
          <w:tcPr>
            <w:tcW w:w="100" w:type="dxa"/>
            <w:vAlign w:val="bottom"/>
          </w:tcPr>
          <w:p>
            <w:pPr>
              <w:spacing w:after="0"/>
              <w:rPr>
                <w:sz w:val="19"/>
                <w:szCs w:val="19"/>
                <w:color w:val="auto"/>
              </w:rPr>
            </w:pPr>
          </w:p>
        </w:tc>
        <w:tc>
          <w:tcPr>
            <w:tcW w:w="110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7"/>
              </w:rPr>
              <w:t>Interests</w:t>
            </w:r>
          </w:p>
        </w:tc>
        <w:tc>
          <w:tcPr>
            <w:tcW w:w="100" w:type="dxa"/>
            <w:vAlign w:val="bottom"/>
          </w:tcPr>
          <w:p>
            <w:pPr>
              <w:spacing w:after="0"/>
              <w:rPr>
                <w:sz w:val="19"/>
                <w:szCs w:val="19"/>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Balance at January 28, 2019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69,917</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557,188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236,665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(33,807)</w:t>
            </w:r>
          </w:p>
        </w:tc>
        <w:tc>
          <w:tcPr>
            <w:tcW w:w="36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152,082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913,170</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8,479</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9,852</w:t>
            </w:r>
          </w:p>
        </w:tc>
        <w:tc>
          <w:tcPr>
            <w:tcW w:w="0" w:type="dxa"/>
            <w:vAlign w:val="bottom"/>
          </w:tcPr>
          <w:p>
            <w:pPr>
              <w:spacing w:after="0"/>
              <w:rPr>
                <w:sz w:val="1"/>
                <w:szCs w:val="1"/>
                <w:color w:val="auto"/>
              </w:rPr>
            </w:pPr>
          </w:p>
        </w:tc>
      </w:tr>
      <w:tr>
        <w:trPr>
          <w:trHeight w:val="202"/>
        </w:trPr>
        <w:tc>
          <w:tcPr>
            <w:tcW w:w="2300" w:type="dxa"/>
            <w:vAlign w:val="bottom"/>
          </w:tcPr>
          <w:p>
            <w:pPr>
              <w:spacing w:after="0" w:line="201" w:lineRule="exact"/>
              <w:rPr>
                <w:sz w:val="20"/>
                <w:szCs w:val="20"/>
                <w:color w:val="auto"/>
              </w:rPr>
            </w:pPr>
            <w:r>
              <w:rPr>
                <w:rFonts w:ascii="Arial" w:cs="Arial" w:eastAsia="Arial" w:hAnsi="Arial"/>
                <w:sz w:val="18"/>
                <w:szCs w:val="18"/>
                <w:color w:val="auto"/>
              </w:rPr>
              <w:t>Other comprehensive (loss)</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140"/>
              <w:spacing w:after="0"/>
              <w:rPr>
                <w:sz w:val="20"/>
                <w:szCs w:val="20"/>
                <w:color w:val="auto"/>
              </w:rPr>
            </w:pPr>
            <w:r>
              <w:rPr>
                <w:rFonts w:ascii="Arial" w:cs="Arial" w:eastAsia="Arial" w:hAnsi="Arial"/>
                <w:sz w:val="18"/>
                <w:szCs w:val="18"/>
                <w:color w:val="auto"/>
              </w:rPr>
              <w:t>income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(7,171)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(7,029)</w:t>
            </w:r>
          </w:p>
        </w:tc>
        <w:tc>
          <w:tcPr>
            <w:tcW w:w="0" w:type="dxa"/>
            <w:vAlign w:val="bottom"/>
          </w:tcPr>
          <w:p>
            <w:pPr>
              <w:spacing w:after="0"/>
              <w:rPr>
                <w:sz w:val="1"/>
                <w:szCs w:val="1"/>
                <w:color w:val="auto"/>
              </w:rPr>
            </w:pPr>
          </w:p>
        </w:tc>
      </w:tr>
      <w:tr>
        <w:trPr>
          <w:trHeight w:val="202"/>
        </w:trPr>
        <w:tc>
          <w:tcPr>
            <w:tcW w:w="2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 of common stock</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through employee stock</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option and purchase plans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02"/>
        </w:trPr>
        <w:tc>
          <w:tcPr>
            <w:tcW w:w="2300" w:type="dxa"/>
            <w:vAlign w:val="bottom"/>
          </w:tcPr>
          <w:p>
            <w:pPr>
              <w:spacing w:after="0" w:line="201" w:lineRule="exact"/>
              <w:rPr>
                <w:sz w:val="20"/>
                <w:szCs w:val="20"/>
                <w:color w:val="auto"/>
              </w:rPr>
            </w:pPr>
            <w:r>
              <w:rPr>
                <w:rFonts w:ascii="Arial" w:cs="Arial" w:eastAsia="Arial" w:hAnsi="Arial"/>
                <w:sz w:val="18"/>
                <w:szCs w:val="18"/>
                <w:color w:val="auto"/>
              </w:rPr>
              <w:t>Restricted stock awards</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140"/>
              <w:spacing w:after="0"/>
              <w:rPr>
                <w:sz w:val="20"/>
                <w:szCs w:val="20"/>
                <w:color w:val="auto"/>
              </w:rPr>
            </w:pPr>
            <w:r>
              <w:rPr>
                <w:rFonts w:ascii="Arial" w:cs="Arial" w:eastAsia="Arial" w:hAnsi="Arial"/>
                <w:sz w:val="18"/>
                <w:szCs w:val="18"/>
                <w:color w:val="auto"/>
              </w:rPr>
              <w:t>vesting and expense</w:t>
            </w:r>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02"/>
        </w:trPr>
        <w:tc>
          <w:tcPr>
            <w:tcW w:w="2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Share-based compensation</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expense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Subsidiary dividend payable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(18,837)</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(18,837)</w:t>
            </w:r>
          </w:p>
        </w:tc>
        <w:tc>
          <w:tcPr>
            <w:tcW w:w="0" w:type="dxa"/>
            <w:vAlign w:val="bottom"/>
          </w:tcPr>
          <w:p>
            <w:pPr>
              <w:spacing w:after="0"/>
              <w:rPr>
                <w:sz w:val="1"/>
                <w:szCs w:val="1"/>
                <w:color w:val="auto"/>
              </w:rPr>
            </w:pPr>
          </w:p>
        </w:tc>
      </w:tr>
      <w:tr>
        <w:trPr>
          <w:trHeight w:val="223"/>
        </w:trPr>
        <w:tc>
          <w:tcPr>
            <w:tcW w:w="23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b w:val="1"/>
                <w:bCs w:val="1"/>
                <w:color w:val="auto"/>
              </w:rPr>
              <w:t>Balance at April 28, 2019</w:t>
            </w:r>
          </w:p>
        </w:tc>
        <w:tc>
          <w:tcPr>
            <w:tcW w:w="900" w:type="dxa"/>
            <w:vAlign w:val="bottom"/>
          </w:tcPr>
          <w:p>
            <w:pPr>
              <w:jc w:val="right"/>
              <w:spacing w:after="0"/>
              <w:rPr>
                <w:sz w:val="20"/>
                <w:szCs w:val="20"/>
                <w:color w:val="auto"/>
              </w:rPr>
            </w:pPr>
            <w:r>
              <w:rPr>
                <w:rFonts w:ascii="Arial" w:cs="Arial" w:eastAsia="Arial" w:hAnsi="Arial"/>
                <w:sz w:val="18"/>
                <w:szCs w:val="18"/>
                <w:color w:val="auto"/>
              </w:rPr>
              <w:t>69,984</w:t>
            </w:r>
          </w:p>
        </w:tc>
        <w:tc>
          <w:tcPr>
            <w:tcW w:w="200" w:type="dxa"/>
            <w:vAlign w:val="bottom"/>
          </w:tcPr>
          <w:p>
            <w:pPr>
              <w:spacing w:after="0"/>
              <w:rPr>
                <w:sz w:val="18"/>
                <w:szCs w:val="18"/>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700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558,359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245,144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(33,807)</w:t>
            </w:r>
          </w:p>
        </w:tc>
        <w:tc>
          <w:tcPr>
            <w:tcW w:w="360" w:type="dxa"/>
            <w:vAlign w:val="bottom"/>
            <w:gridSpan w:val="2"/>
          </w:tcPr>
          <w:p>
            <w:pPr>
              <w:jc w:val="right"/>
              <w:ind w:right="58"/>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(6,828)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134,760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898,328</w:t>
            </w: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81"/>
        </w:trPr>
        <w:tc>
          <w:tcPr>
            <w:tcW w:w="2300" w:type="dxa"/>
            <w:vAlign w:val="bottom"/>
          </w:tcPr>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Index</w:t>
              </w:r>
            </w:hyperlink>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2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rPr>
              <w:t>PHOTRONICS, INC.</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300" w:type="dxa"/>
            <w:vAlign w:val="bottom"/>
            <w:gridSpan w:val="14"/>
          </w:tcPr>
          <w:p>
            <w:pPr>
              <w:jc w:val="center"/>
              <w:ind w:left="50"/>
              <w:spacing w:after="0"/>
              <w:rPr>
                <w:sz w:val="20"/>
                <w:szCs w:val="20"/>
                <w:color w:val="auto"/>
              </w:rPr>
            </w:pPr>
            <w:r>
              <w:rPr>
                <w:rFonts w:ascii="Arial" w:cs="Arial" w:eastAsia="Arial" w:hAnsi="Arial"/>
                <w:sz w:val="18"/>
                <w:szCs w:val="18"/>
                <w:b w:val="1"/>
                <w:bCs w:val="1"/>
                <w:color w:val="auto"/>
                <w:w w:val="88"/>
              </w:rPr>
              <w:t>Condensed Consolidated Statements of Equity</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88"/>
              </w:rPr>
              <w:t>(in thousands)</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2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91"/>
              </w:rPr>
              <w:t>(unaudited)</w:t>
            </w: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3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9"/>
          </w:tcPr>
          <w:p>
            <w:pPr>
              <w:jc w:val="right"/>
              <w:ind w:right="50"/>
              <w:spacing w:after="0"/>
              <w:rPr>
                <w:sz w:val="20"/>
                <w:szCs w:val="20"/>
                <w:color w:val="auto"/>
              </w:rPr>
            </w:pPr>
            <w:r>
              <w:rPr>
                <w:rFonts w:ascii="Arial" w:cs="Arial" w:eastAsia="Arial" w:hAnsi="Arial"/>
                <w:sz w:val="18"/>
                <w:szCs w:val="18"/>
                <w:b w:val="1"/>
                <w:bCs w:val="1"/>
                <w:color w:val="auto"/>
                <w:w w:val="91"/>
              </w:rPr>
              <w:t>Six Months Ended May 3, 2020</w:t>
            </w: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8"/>
          </w:tcPr>
          <w:p>
            <w:pPr>
              <w:jc w:val="right"/>
              <w:ind w:right="60"/>
              <w:spacing w:after="0"/>
              <w:rPr>
                <w:sz w:val="20"/>
                <w:szCs w:val="20"/>
                <w:color w:val="auto"/>
              </w:rPr>
            </w:pPr>
            <w:r>
              <w:rPr>
                <w:rFonts w:ascii="Arial" w:cs="Arial" w:eastAsia="Arial" w:hAnsi="Arial"/>
                <w:sz w:val="18"/>
                <w:szCs w:val="18"/>
                <w:b w:val="1"/>
                <w:bCs w:val="1"/>
                <w:color w:val="auto"/>
                <w:w w:val="90"/>
              </w:rPr>
              <w:t>Photronics, Inc. Shareholders</w:t>
            </w: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66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Common Stock</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95"/>
              </w:rPr>
              <w:t>Additional</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Non-</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300" w:type="dxa"/>
            <w:vAlign w:val="bottom"/>
          </w:tcPr>
          <w:p>
            <w:pPr>
              <w:spacing w:after="0"/>
              <w:rPr>
                <w:sz w:val="18"/>
                <w:szCs w:val="18"/>
                <w:color w:val="auto"/>
              </w:rPr>
            </w:pPr>
          </w:p>
        </w:tc>
        <w:tc>
          <w:tcPr>
            <w:tcW w:w="1660" w:type="dxa"/>
            <w:vAlign w:val="bottom"/>
            <w:tcBorders>
              <w:bottom w:val="single" w:sz="8" w:color="auto"/>
            </w:tcBorders>
            <w:gridSpan w:val="3"/>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9"/>
              </w:rPr>
              <w:t>Paid-in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9"/>
              </w:rPr>
              <w:t>Retained</w:t>
            </w:r>
          </w:p>
        </w:tc>
        <w:tc>
          <w:tcPr>
            <w:tcW w:w="9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2"/>
              </w:rPr>
              <w:t>Treasury</w:t>
            </w:r>
          </w:p>
        </w:tc>
        <w:tc>
          <w:tcPr>
            <w:tcW w:w="13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Comprehensive</w:t>
            </w:r>
          </w:p>
        </w:tc>
        <w:tc>
          <w:tcPr>
            <w:tcW w:w="120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0"/>
              </w:rPr>
              <w:t>controlling</w:t>
            </w: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1100" w:type="dxa"/>
            <w:vAlign w:val="bottom"/>
            <w:gridSpan w:val="2"/>
          </w:tcPr>
          <w:p>
            <w:pPr>
              <w:ind w:left="120"/>
              <w:spacing w:after="0"/>
              <w:rPr>
                <w:sz w:val="20"/>
                <w:szCs w:val="20"/>
                <w:color w:val="auto"/>
              </w:rPr>
            </w:pPr>
            <w:r>
              <w:rPr>
                <w:rFonts w:ascii="Arial" w:cs="Arial" w:eastAsia="Arial" w:hAnsi="Arial"/>
                <w:sz w:val="18"/>
                <w:szCs w:val="18"/>
                <w:b w:val="1"/>
                <w:bCs w:val="1"/>
                <w:color w:val="auto"/>
              </w:rPr>
              <w:t>Shares</w:t>
            </w:r>
          </w:p>
        </w:tc>
        <w:tc>
          <w:tcPr>
            <w:tcW w:w="90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9"/>
              </w:rPr>
              <w:t>Capital</w:t>
            </w:r>
          </w:p>
        </w:tc>
        <w:tc>
          <w:tcPr>
            <w:tcW w:w="180" w:type="dxa"/>
            <w:vAlign w:val="bottom"/>
          </w:tcPr>
          <w:p>
            <w:pPr>
              <w:spacing w:after="0"/>
              <w:rPr>
                <w:sz w:val="19"/>
                <w:szCs w:val="19"/>
                <w:color w:val="auto"/>
              </w:rPr>
            </w:pPr>
          </w:p>
        </w:tc>
        <w:tc>
          <w:tcPr>
            <w:tcW w:w="112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93"/>
              </w:rPr>
              <w:t>Earnings</w:t>
            </w:r>
          </w:p>
        </w:tc>
        <w:tc>
          <w:tcPr>
            <w:tcW w:w="80" w:type="dxa"/>
            <w:vAlign w:val="bottom"/>
          </w:tcPr>
          <w:p>
            <w:pPr>
              <w:spacing w:after="0"/>
              <w:rPr>
                <w:sz w:val="19"/>
                <w:szCs w:val="19"/>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7"/>
              </w:rPr>
              <w:t>Stock</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5"/>
              </w:rPr>
              <w:t>Loss</w:t>
            </w:r>
          </w:p>
        </w:tc>
        <w:tc>
          <w:tcPr>
            <w:tcW w:w="100" w:type="dxa"/>
            <w:vAlign w:val="bottom"/>
          </w:tcPr>
          <w:p>
            <w:pPr>
              <w:spacing w:after="0"/>
              <w:rPr>
                <w:sz w:val="19"/>
                <w:szCs w:val="19"/>
                <w:color w:val="auto"/>
              </w:rPr>
            </w:pPr>
          </w:p>
        </w:tc>
        <w:tc>
          <w:tcPr>
            <w:tcW w:w="110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7"/>
              </w:rPr>
              <w:t>Interests</w:t>
            </w:r>
          </w:p>
        </w:tc>
        <w:tc>
          <w:tcPr>
            <w:tcW w:w="100" w:type="dxa"/>
            <w:vAlign w:val="bottom"/>
          </w:tcPr>
          <w:p>
            <w:pPr>
              <w:spacing w:after="0"/>
              <w:rPr>
                <w:sz w:val="19"/>
                <w:szCs w:val="19"/>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3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at November 1,</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2019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65,595</w:t>
            </w: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524,319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253,922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(9,005)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141,200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911,092</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16,584</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18,900</w:t>
            </w:r>
          </w:p>
        </w:tc>
        <w:tc>
          <w:tcPr>
            <w:tcW w:w="0" w:type="dxa"/>
            <w:vAlign w:val="bottom"/>
          </w:tcPr>
          <w:p>
            <w:pPr>
              <w:spacing w:after="0"/>
              <w:rPr>
                <w:sz w:val="1"/>
                <w:szCs w:val="1"/>
                <w:color w:val="auto"/>
              </w:rPr>
            </w:pPr>
          </w:p>
        </w:tc>
      </w:tr>
      <w:tr>
        <w:trPr>
          <w:trHeight w:val="202"/>
        </w:trPr>
        <w:tc>
          <w:tcPr>
            <w:tcW w:w="2300" w:type="dxa"/>
            <w:vAlign w:val="bottom"/>
          </w:tcPr>
          <w:p>
            <w:pPr>
              <w:spacing w:after="0" w:line="201" w:lineRule="exact"/>
              <w:rPr>
                <w:sz w:val="20"/>
                <w:szCs w:val="20"/>
                <w:color w:val="auto"/>
              </w:rPr>
            </w:pPr>
            <w:r>
              <w:rPr>
                <w:rFonts w:ascii="Arial" w:cs="Arial" w:eastAsia="Arial" w:hAnsi="Arial"/>
                <w:sz w:val="18"/>
                <w:szCs w:val="18"/>
                <w:color w:val="auto"/>
              </w:rPr>
              <w:t>Other comprehensive (loss)</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140"/>
              <w:spacing w:after="0"/>
              <w:rPr>
                <w:sz w:val="20"/>
                <w:szCs w:val="20"/>
                <w:color w:val="auto"/>
              </w:rPr>
            </w:pPr>
            <w:r>
              <w:rPr>
                <w:rFonts w:ascii="Arial" w:cs="Arial" w:eastAsia="Arial" w:hAnsi="Arial"/>
                <w:sz w:val="18"/>
                <w:szCs w:val="18"/>
                <w:color w:val="auto"/>
              </w:rPr>
              <w:t>income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(6,195)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2,244</w:t>
            </w:r>
          </w:p>
        </w:tc>
        <w:tc>
          <w:tcPr>
            <w:tcW w:w="1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(3,951)</w:t>
            </w:r>
          </w:p>
        </w:tc>
        <w:tc>
          <w:tcPr>
            <w:tcW w:w="0" w:type="dxa"/>
            <w:vAlign w:val="bottom"/>
          </w:tcPr>
          <w:p>
            <w:pPr>
              <w:spacing w:after="0"/>
              <w:rPr>
                <w:sz w:val="1"/>
                <w:szCs w:val="1"/>
                <w:color w:val="auto"/>
              </w:rPr>
            </w:pPr>
          </w:p>
        </w:tc>
      </w:tr>
      <w:tr>
        <w:trPr>
          <w:trHeight w:val="202"/>
        </w:trPr>
        <w:tc>
          <w:tcPr>
            <w:tcW w:w="2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 of common stock</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through employee stock</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option and purchase plans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3,217</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3,221</w:t>
            </w:r>
          </w:p>
        </w:tc>
        <w:tc>
          <w:tcPr>
            <w:tcW w:w="0" w:type="dxa"/>
            <w:vAlign w:val="bottom"/>
          </w:tcPr>
          <w:p>
            <w:pPr>
              <w:spacing w:after="0"/>
              <w:rPr>
                <w:sz w:val="1"/>
                <w:szCs w:val="1"/>
                <w:color w:val="auto"/>
              </w:rPr>
            </w:pPr>
          </w:p>
        </w:tc>
      </w:tr>
      <w:tr>
        <w:trPr>
          <w:trHeight w:val="202"/>
        </w:trPr>
        <w:tc>
          <w:tcPr>
            <w:tcW w:w="2300" w:type="dxa"/>
            <w:vAlign w:val="bottom"/>
          </w:tcPr>
          <w:p>
            <w:pPr>
              <w:spacing w:after="0" w:line="201" w:lineRule="exact"/>
              <w:rPr>
                <w:sz w:val="20"/>
                <w:szCs w:val="20"/>
                <w:color w:val="auto"/>
              </w:rPr>
            </w:pPr>
            <w:r>
              <w:rPr>
                <w:rFonts w:ascii="Arial" w:cs="Arial" w:eastAsia="Arial" w:hAnsi="Arial"/>
                <w:sz w:val="18"/>
                <w:szCs w:val="18"/>
                <w:color w:val="auto"/>
              </w:rPr>
              <w:t>Restricted stock awards</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140"/>
              <w:spacing w:after="0"/>
              <w:rPr>
                <w:sz w:val="20"/>
                <w:szCs w:val="20"/>
                <w:color w:val="auto"/>
              </w:rPr>
            </w:pPr>
            <w:r>
              <w:rPr>
                <w:rFonts w:ascii="Arial" w:cs="Arial" w:eastAsia="Arial" w:hAnsi="Arial"/>
                <w:sz w:val="18"/>
                <w:szCs w:val="18"/>
                <w:color w:val="auto"/>
              </w:rPr>
              <w:t>vesting and expense</w:t>
            </w:r>
          </w:p>
        </w:tc>
        <w:tc>
          <w:tcPr>
            <w:tcW w:w="900" w:type="dxa"/>
            <w:vAlign w:val="bottom"/>
          </w:tcPr>
          <w:p>
            <w:pPr>
              <w:jc w:val="right"/>
              <w:spacing w:after="0"/>
              <w:rPr>
                <w:sz w:val="20"/>
                <w:szCs w:val="20"/>
                <w:color w:val="auto"/>
              </w:rPr>
            </w:pPr>
            <w:r>
              <w:rPr>
                <w:rFonts w:ascii="Arial" w:cs="Arial" w:eastAsia="Arial" w:hAnsi="Arial"/>
                <w:sz w:val="18"/>
                <w:szCs w:val="18"/>
                <w:color w:val="auto"/>
              </w:rPr>
              <w:t>217</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1,827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1,829</w:t>
            </w:r>
          </w:p>
        </w:tc>
        <w:tc>
          <w:tcPr>
            <w:tcW w:w="0" w:type="dxa"/>
            <w:vAlign w:val="bottom"/>
          </w:tcPr>
          <w:p>
            <w:pPr>
              <w:spacing w:after="0"/>
              <w:rPr>
                <w:sz w:val="1"/>
                <w:szCs w:val="1"/>
                <w:color w:val="auto"/>
              </w:rPr>
            </w:pPr>
          </w:p>
        </w:tc>
      </w:tr>
      <w:tr>
        <w:trPr>
          <w:trHeight w:val="202"/>
        </w:trPr>
        <w:tc>
          <w:tcPr>
            <w:tcW w:w="2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Share-based compensation</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expense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499</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Purchase of treasury stock</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(16,894)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(16,894)</w:t>
            </w:r>
          </w:p>
        </w:tc>
        <w:tc>
          <w:tcPr>
            <w:tcW w:w="0" w:type="dxa"/>
            <w:vAlign w:val="bottom"/>
          </w:tcPr>
          <w:p>
            <w:pPr>
              <w:spacing w:after="0"/>
              <w:rPr>
                <w:sz w:val="1"/>
                <w:szCs w:val="1"/>
                <w:color w:val="auto"/>
              </w:rPr>
            </w:pPr>
          </w:p>
        </w:tc>
      </w:tr>
      <w:tr>
        <w:trPr>
          <w:trHeight w:val="202"/>
        </w:trPr>
        <w:tc>
          <w:tcPr>
            <w:tcW w:w="2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Contribution from</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noncontrolling interest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7,600</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7,600</w:t>
            </w:r>
          </w:p>
        </w:tc>
        <w:tc>
          <w:tcPr>
            <w:tcW w:w="0" w:type="dxa"/>
            <w:vAlign w:val="bottom"/>
          </w:tcPr>
          <w:p>
            <w:pPr>
              <w:spacing w:after="0"/>
              <w:rPr>
                <w:sz w:val="1"/>
                <w:szCs w:val="1"/>
                <w:color w:val="auto"/>
              </w:rPr>
            </w:pPr>
          </w:p>
        </w:tc>
      </w:tr>
      <w:tr>
        <w:trPr>
          <w:trHeight w:val="202"/>
        </w:trPr>
        <w:tc>
          <w:tcPr>
            <w:tcW w:w="2300" w:type="dxa"/>
            <w:vAlign w:val="bottom"/>
          </w:tcPr>
          <w:p>
            <w:pPr>
              <w:spacing w:after="0" w:line="201" w:lineRule="exact"/>
              <w:rPr>
                <w:sz w:val="20"/>
                <w:szCs w:val="20"/>
                <w:color w:val="auto"/>
              </w:rPr>
            </w:pPr>
            <w:r>
              <w:rPr>
                <w:rFonts w:ascii="Arial" w:cs="Arial" w:eastAsia="Arial" w:hAnsi="Arial"/>
                <w:sz w:val="18"/>
                <w:szCs w:val="18"/>
                <w:color w:val="auto"/>
                <w:w w:val="95"/>
              </w:rPr>
              <w:t>Repurchase of common stock</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140"/>
              <w:spacing w:after="0"/>
              <w:rPr>
                <w:sz w:val="20"/>
                <w:szCs w:val="20"/>
                <w:color w:val="auto"/>
              </w:rPr>
            </w:pPr>
            <w:r>
              <w:rPr>
                <w:rFonts w:ascii="Arial" w:cs="Arial" w:eastAsia="Arial" w:hAnsi="Arial"/>
                <w:sz w:val="18"/>
                <w:szCs w:val="18"/>
                <w:color w:val="auto"/>
              </w:rPr>
              <w:t>of subsidiary</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255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(893)</w:t>
            </w:r>
          </w:p>
        </w:tc>
        <w:tc>
          <w:tcPr>
            <w:tcW w:w="1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23"/>
        </w:trPr>
        <w:tc>
          <w:tcPr>
            <w:tcW w:w="23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b w:val="1"/>
                <w:bCs w:val="1"/>
                <w:color w:val="auto"/>
              </w:rPr>
              <w:t>Balance at May 3, 2020</w:t>
            </w:r>
          </w:p>
        </w:tc>
        <w:tc>
          <w:tcPr>
            <w:tcW w:w="900" w:type="dxa"/>
            <w:vAlign w:val="bottom"/>
          </w:tcPr>
          <w:p>
            <w:pPr>
              <w:jc w:val="right"/>
              <w:spacing w:after="0"/>
              <w:rPr>
                <w:sz w:val="20"/>
                <w:szCs w:val="20"/>
                <w:color w:val="auto"/>
              </w:rPr>
            </w:pPr>
            <w:r>
              <w:rPr>
                <w:rFonts w:ascii="Arial" w:cs="Arial" w:eastAsia="Arial" w:hAnsi="Arial"/>
                <w:sz w:val="18"/>
                <w:szCs w:val="18"/>
                <w:color w:val="auto"/>
              </w:rPr>
              <w:t>66,215</w:t>
            </w:r>
          </w:p>
        </w:tc>
        <w:tc>
          <w:tcPr>
            <w:tcW w:w="200" w:type="dxa"/>
            <w:vAlign w:val="bottom"/>
          </w:tcPr>
          <w:p>
            <w:pPr>
              <w:spacing w:after="0"/>
              <w:rPr>
                <w:sz w:val="18"/>
                <w:szCs w:val="18"/>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662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530,117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270,506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(16,894)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(15,200)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152,467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921,658</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23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11"/>
          </w:tcPr>
          <w:p>
            <w:pPr>
              <w:jc w:val="right"/>
              <w:spacing w:after="0"/>
              <w:rPr>
                <w:sz w:val="20"/>
                <w:szCs w:val="20"/>
                <w:color w:val="auto"/>
              </w:rPr>
            </w:pPr>
            <w:r>
              <w:rPr>
                <w:rFonts w:ascii="Arial" w:cs="Arial" w:eastAsia="Arial" w:hAnsi="Arial"/>
                <w:sz w:val="18"/>
                <w:szCs w:val="18"/>
                <w:b w:val="1"/>
                <w:bCs w:val="1"/>
                <w:color w:val="auto"/>
              </w:rPr>
              <w:t>Six Months Ended April 28, 2019</w:t>
            </w: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8"/>
          </w:tcPr>
          <w:p>
            <w:pPr>
              <w:jc w:val="right"/>
              <w:ind w:right="60"/>
              <w:spacing w:after="0"/>
              <w:rPr>
                <w:sz w:val="20"/>
                <w:szCs w:val="20"/>
                <w:color w:val="auto"/>
              </w:rPr>
            </w:pPr>
            <w:r>
              <w:rPr>
                <w:rFonts w:ascii="Arial" w:cs="Arial" w:eastAsia="Arial" w:hAnsi="Arial"/>
                <w:sz w:val="18"/>
                <w:szCs w:val="18"/>
                <w:b w:val="1"/>
                <w:bCs w:val="1"/>
                <w:color w:val="auto"/>
                <w:w w:val="90"/>
              </w:rPr>
              <w:t>Photronics, Inc. Shareholders</w:t>
            </w: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66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Common Stock</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95"/>
              </w:rPr>
              <w:t>Additional</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Non-</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300" w:type="dxa"/>
            <w:vAlign w:val="bottom"/>
          </w:tcPr>
          <w:p>
            <w:pPr>
              <w:spacing w:after="0"/>
              <w:rPr>
                <w:sz w:val="18"/>
                <w:szCs w:val="18"/>
                <w:color w:val="auto"/>
              </w:rPr>
            </w:pPr>
          </w:p>
        </w:tc>
        <w:tc>
          <w:tcPr>
            <w:tcW w:w="1660" w:type="dxa"/>
            <w:vAlign w:val="bottom"/>
            <w:tcBorders>
              <w:bottom w:val="single" w:sz="8" w:color="auto"/>
            </w:tcBorders>
            <w:gridSpan w:val="3"/>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9"/>
              </w:rPr>
              <w:t>Paid-in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9"/>
              </w:rPr>
              <w:t>Retained</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9"/>
              </w:rPr>
              <w:t>Treasury</w:t>
            </w:r>
          </w:p>
        </w:tc>
        <w:tc>
          <w:tcPr>
            <w:tcW w:w="13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Comprehensive</w:t>
            </w:r>
          </w:p>
        </w:tc>
        <w:tc>
          <w:tcPr>
            <w:tcW w:w="120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0"/>
              </w:rPr>
              <w:t>controlling</w:t>
            </w: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1100" w:type="dxa"/>
            <w:vAlign w:val="bottom"/>
            <w:gridSpan w:val="2"/>
          </w:tcPr>
          <w:p>
            <w:pPr>
              <w:ind w:left="120"/>
              <w:spacing w:after="0"/>
              <w:rPr>
                <w:sz w:val="20"/>
                <w:szCs w:val="20"/>
                <w:color w:val="auto"/>
              </w:rPr>
            </w:pPr>
            <w:r>
              <w:rPr>
                <w:rFonts w:ascii="Arial" w:cs="Arial" w:eastAsia="Arial" w:hAnsi="Arial"/>
                <w:sz w:val="18"/>
                <w:szCs w:val="18"/>
                <w:b w:val="1"/>
                <w:bCs w:val="1"/>
                <w:color w:val="auto"/>
              </w:rPr>
              <w:t>Shares</w:t>
            </w:r>
          </w:p>
        </w:tc>
        <w:tc>
          <w:tcPr>
            <w:tcW w:w="90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9"/>
              </w:rPr>
              <w:t>Capital</w:t>
            </w:r>
          </w:p>
        </w:tc>
        <w:tc>
          <w:tcPr>
            <w:tcW w:w="180" w:type="dxa"/>
            <w:vAlign w:val="bottom"/>
          </w:tcPr>
          <w:p>
            <w:pPr>
              <w:spacing w:after="0"/>
              <w:rPr>
                <w:sz w:val="19"/>
                <w:szCs w:val="19"/>
                <w:color w:val="auto"/>
              </w:rPr>
            </w:pPr>
          </w:p>
        </w:tc>
        <w:tc>
          <w:tcPr>
            <w:tcW w:w="112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93"/>
              </w:rPr>
              <w:t>Earnings</w:t>
            </w:r>
          </w:p>
        </w:tc>
        <w:tc>
          <w:tcPr>
            <w:tcW w:w="80" w:type="dxa"/>
            <w:vAlign w:val="bottom"/>
          </w:tcPr>
          <w:p>
            <w:pPr>
              <w:spacing w:after="0"/>
              <w:rPr>
                <w:sz w:val="19"/>
                <w:szCs w:val="19"/>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7"/>
              </w:rPr>
              <w:t>Stock</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5"/>
              </w:rPr>
              <w:t>Loss</w:t>
            </w:r>
          </w:p>
        </w:tc>
        <w:tc>
          <w:tcPr>
            <w:tcW w:w="100" w:type="dxa"/>
            <w:vAlign w:val="bottom"/>
          </w:tcPr>
          <w:p>
            <w:pPr>
              <w:spacing w:after="0"/>
              <w:rPr>
                <w:sz w:val="19"/>
                <w:szCs w:val="19"/>
                <w:color w:val="auto"/>
              </w:rPr>
            </w:pPr>
          </w:p>
        </w:tc>
        <w:tc>
          <w:tcPr>
            <w:tcW w:w="110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7"/>
              </w:rPr>
              <w:t>Interests</w:t>
            </w:r>
          </w:p>
        </w:tc>
        <w:tc>
          <w:tcPr>
            <w:tcW w:w="100" w:type="dxa"/>
            <w:vAlign w:val="bottom"/>
          </w:tcPr>
          <w:p>
            <w:pPr>
              <w:spacing w:after="0"/>
              <w:rPr>
                <w:sz w:val="19"/>
                <w:szCs w:val="19"/>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3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at November 1,</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2018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69,700</w:t>
            </w: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555,606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231,445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(23,111)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(4,966)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144,898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904,569</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Adoption of ASU 2014-09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1,083</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Adoption of ASU 2016-16</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(1,130)</w:t>
            </w:r>
          </w:p>
        </w:tc>
        <w:tc>
          <w:tcPr>
            <w:tcW w:w="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13,746</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3,874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17,620</w:t>
            </w:r>
          </w:p>
        </w:tc>
        <w:tc>
          <w:tcPr>
            <w:tcW w:w="0" w:type="dxa"/>
            <w:vAlign w:val="bottom"/>
          </w:tcPr>
          <w:p>
            <w:pPr>
              <w:spacing w:after="0"/>
              <w:rPr>
                <w:sz w:val="1"/>
                <w:szCs w:val="1"/>
                <w:color w:val="auto"/>
              </w:rPr>
            </w:pPr>
          </w:p>
        </w:tc>
      </w:tr>
      <w:tr>
        <w:trPr>
          <w:trHeight w:val="202"/>
        </w:trPr>
        <w:tc>
          <w:tcPr>
            <w:tcW w:w="2300" w:type="dxa"/>
            <w:vAlign w:val="bottom"/>
          </w:tcPr>
          <w:p>
            <w:pPr>
              <w:spacing w:after="0" w:line="201" w:lineRule="exact"/>
              <w:rPr>
                <w:sz w:val="20"/>
                <w:szCs w:val="20"/>
                <w:color w:val="auto"/>
              </w:rPr>
            </w:pPr>
            <w:r>
              <w:rPr>
                <w:rFonts w:ascii="Arial" w:cs="Arial" w:eastAsia="Arial" w:hAnsi="Arial"/>
                <w:sz w:val="18"/>
                <w:szCs w:val="18"/>
                <w:color w:val="auto"/>
              </w:rPr>
              <w:t>Other comprehensive (loss)</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140"/>
              <w:spacing w:after="0"/>
              <w:rPr>
                <w:sz w:val="20"/>
                <w:szCs w:val="20"/>
                <w:color w:val="auto"/>
              </w:rPr>
            </w:pPr>
            <w:r>
              <w:rPr>
                <w:rFonts w:ascii="Arial" w:cs="Arial" w:eastAsia="Arial" w:hAnsi="Arial"/>
                <w:sz w:val="18"/>
                <w:szCs w:val="18"/>
                <w:color w:val="auto"/>
              </w:rPr>
              <w:t>income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(1,862)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1,424</w:t>
            </w:r>
          </w:p>
        </w:tc>
        <w:tc>
          <w:tcPr>
            <w:tcW w:w="1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02"/>
        </w:trPr>
        <w:tc>
          <w:tcPr>
            <w:tcW w:w="2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 of common stock</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through employee stock</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option and purchase plans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792</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02"/>
        </w:trPr>
        <w:tc>
          <w:tcPr>
            <w:tcW w:w="2300" w:type="dxa"/>
            <w:vAlign w:val="bottom"/>
          </w:tcPr>
          <w:p>
            <w:pPr>
              <w:spacing w:after="0" w:line="201" w:lineRule="exact"/>
              <w:rPr>
                <w:sz w:val="20"/>
                <w:szCs w:val="20"/>
                <w:color w:val="auto"/>
              </w:rPr>
            </w:pPr>
            <w:r>
              <w:rPr>
                <w:rFonts w:ascii="Arial" w:cs="Arial" w:eastAsia="Arial" w:hAnsi="Arial"/>
                <w:sz w:val="18"/>
                <w:szCs w:val="18"/>
                <w:color w:val="auto"/>
              </w:rPr>
              <w:t>Restricted stock awards</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140"/>
              <w:spacing w:after="0"/>
              <w:rPr>
                <w:sz w:val="20"/>
                <w:szCs w:val="20"/>
                <w:color w:val="auto"/>
              </w:rPr>
            </w:pPr>
            <w:r>
              <w:rPr>
                <w:rFonts w:ascii="Arial" w:cs="Arial" w:eastAsia="Arial" w:hAnsi="Arial"/>
                <w:sz w:val="18"/>
                <w:szCs w:val="18"/>
                <w:color w:val="auto"/>
              </w:rPr>
              <w:t>vesting and expense</w:t>
            </w:r>
          </w:p>
        </w:tc>
        <w:tc>
          <w:tcPr>
            <w:tcW w:w="900" w:type="dxa"/>
            <w:vAlign w:val="bottom"/>
          </w:tcPr>
          <w:p>
            <w:pPr>
              <w:jc w:val="right"/>
              <w:spacing w:after="0"/>
              <w:rPr>
                <w:sz w:val="20"/>
                <w:szCs w:val="20"/>
                <w:color w:val="auto"/>
              </w:rPr>
            </w:pPr>
            <w:r>
              <w:rPr>
                <w:rFonts w:ascii="Arial" w:cs="Arial" w:eastAsia="Arial" w:hAnsi="Arial"/>
                <w:sz w:val="18"/>
                <w:szCs w:val="18"/>
                <w:color w:val="auto"/>
              </w:rPr>
              <w:t>148</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1,217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1,219</w:t>
            </w:r>
          </w:p>
        </w:tc>
        <w:tc>
          <w:tcPr>
            <w:tcW w:w="0" w:type="dxa"/>
            <w:vAlign w:val="bottom"/>
          </w:tcPr>
          <w:p>
            <w:pPr>
              <w:spacing w:after="0"/>
              <w:rPr>
                <w:sz w:val="1"/>
                <w:szCs w:val="1"/>
                <w:color w:val="auto"/>
              </w:rPr>
            </w:pPr>
          </w:p>
        </w:tc>
      </w:tr>
      <w:tr>
        <w:trPr>
          <w:trHeight w:val="202"/>
        </w:trPr>
        <w:tc>
          <w:tcPr>
            <w:tcW w:w="2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Share-based compensation</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expense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744</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02"/>
        </w:trPr>
        <w:tc>
          <w:tcPr>
            <w:tcW w:w="2300" w:type="dxa"/>
            <w:vAlign w:val="bottom"/>
          </w:tcPr>
          <w:p>
            <w:pPr>
              <w:spacing w:after="0" w:line="201" w:lineRule="exact"/>
              <w:rPr>
                <w:sz w:val="20"/>
                <w:szCs w:val="20"/>
                <w:color w:val="auto"/>
              </w:rPr>
            </w:pPr>
            <w:r>
              <w:rPr>
                <w:rFonts w:ascii="Arial" w:cs="Arial" w:eastAsia="Arial" w:hAnsi="Arial"/>
                <w:sz w:val="18"/>
                <w:szCs w:val="18"/>
                <w:color w:val="auto"/>
              </w:rPr>
              <w:t>Contribution from</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140"/>
              <w:spacing w:after="0"/>
              <w:rPr>
                <w:sz w:val="20"/>
                <w:szCs w:val="20"/>
                <w:color w:val="auto"/>
              </w:rPr>
            </w:pPr>
            <w:r>
              <w:rPr>
                <w:rFonts w:ascii="Arial" w:cs="Arial" w:eastAsia="Arial" w:hAnsi="Arial"/>
                <w:sz w:val="18"/>
                <w:szCs w:val="18"/>
                <w:color w:val="auto"/>
              </w:rPr>
              <w:t>noncontrolling interest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29,394</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29,394</w:t>
            </w:r>
          </w:p>
        </w:tc>
        <w:tc>
          <w:tcPr>
            <w:tcW w:w="0" w:type="dxa"/>
            <w:vAlign w:val="bottom"/>
          </w:tcPr>
          <w:p>
            <w:pPr>
              <w:spacing w:after="0"/>
              <w:rPr>
                <w:sz w:val="1"/>
                <w:szCs w:val="1"/>
                <w:color w:val="auto"/>
              </w:rPr>
            </w:pPr>
          </w:p>
        </w:tc>
      </w:tr>
      <w:tr>
        <w:trPr>
          <w:trHeight w:val="202"/>
        </w:trPr>
        <w:tc>
          <w:tcPr>
            <w:tcW w:w="2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Dividends to noncontrolling</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(26,102)</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(26,102)</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Subsidiary dividend payable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(18,837)</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(18,837)</w:t>
            </w:r>
          </w:p>
        </w:tc>
        <w:tc>
          <w:tcPr>
            <w:tcW w:w="0" w:type="dxa"/>
            <w:vAlign w:val="bottom"/>
          </w:tcPr>
          <w:p>
            <w:pPr>
              <w:spacing w:after="0"/>
              <w:rPr>
                <w:sz w:val="1"/>
                <w:szCs w:val="1"/>
                <w:color w:val="auto"/>
              </w:rPr>
            </w:pPr>
          </w:p>
        </w:tc>
      </w:tr>
      <w:tr>
        <w:trPr>
          <w:trHeight w:val="202"/>
        </w:trPr>
        <w:tc>
          <w:tcPr>
            <w:tcW w:w="2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Repurchase of common stock</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of subsidiary</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Purchase of treasury stock</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(10,696)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(10,696)</w:t>
            </w:r>
          </w:p>
        </w:tc>
        <w:tc>
          <w:tcPr>
            <w:tcW w:w="0" w:type="dxa"/>
            <w:vAlign w:val="bottom"/>
          </w:tcPr>
          <w:p>
            <w:pPr>
              <w:spacing w:after="0"/>
              <w:rPr>
                <w:sz w:val="1"/>
                <w:szCs w:val="1"/>
                <w:color w:val="auto"/>
              </w:rPr>
            </w:pPr>
          </w:p>
        </w:tc>
      </w:tr>
      <w:tr>
        <w:trPr>
          <w:trHeight w:val="223"/>
        </w:trPr>
        <w:tc>
          <w:tcPr>
            <w:tcW w:w="23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b w:val="1"/>
                <w:bCs w:val="1"/>
                <w:color w:val="auto"/>
              </w:rPr>
              <w:t>Balance at April 28, 2019</w:t>
            </w:r>
          </w:p>
        </w:tc>
        <w:tc>
          <w:tcPr>
            <w:tcW w:w="900" w:type="dxa"/>
            <w:vAlign w:val="bottom"/>
          </w:tcPr>
          <w:p>
            <w:pPr>
              <w:jc w:val="right"/>
              <w:spacing w:after="0"/>
              <w:rPr>
                <w:sz w:val="20"/>
                <w:szCs w:val="20"/>
                <w:color w:val="auto"/>
              </w:rPr>
            </w:pPr>
            <w:r>
              <w:rPr>
                <w:rFonts w:ascii="Arial" w:cs="Arial" w:eastAsia="Arial" w:hAnsi="Arial"/>
                <w:sz w:val="18"/>
                <w:szCs w:val="18"/>
                <w:color w:val="auto"/>
              </w:rPr>
              <w:t>69,984</w:t>
            </w:r>
          </w:p>
        </w:tc>
        <w:tc>
          <w:tcPr>
            <w:tcW w:w="200" w:type="dxa"/>
            <w:vAlign w:val="bottom"/>
          </w:tcPr>
          <w:p>
            <w:pPr>
              <w:spacing w:after="0"/>
              <w:rPr>
                <w:sz w:val="18"/>
                <w:szCs w:val="18"/>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700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558,359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245,144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(33,807)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(6,828)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134,760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898,328</w:t>
            </w: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ectPr>
          <w:pgSz w:w="11900" w:h="16838" w:orient="portrait"/>
          <w:cols w:equalWidth="0" w:num="1">
            <w:col w:w="11240"/>
          </w:cols>
          <w:pgMar w:left="320" w:top="121" w:right="339" w:bottom="1007" w:gutter="0" w:footer="0" w:header="0"/>
        </w:sect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007" w:gutter="0" w:footer="0" w:header="0"/>
          <w:type w:val="continuous"/>
        </w:sectPr>
      </w:pPr>
    </w:p>
    <w:bookmarkStart w:id="9" w:name="page10"/>
    <w:bookmarkEnd w:id="9"/>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6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Six Months Ended</w:t>
            </w:r>
          </w:p>
        </w:tc>
      </w:tr>
      <w:tr>
        <w:trPr>
          <w:trHeight w:val="198"/>
        </w:trPr>
        <w:tc>
          <w:tcPr>
            <w:tcW w:w="86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ind w:right="520"/>
              <w:spacing w:after="0" w:line="198" w:lineRule="exact"/>
              <w:rPr>
                <w:sz w:val="20"/>
                <w:szCs w:val="20"/>
                <w:color w:val="auto"/>
              </w:rPr>
            </w:pPr>
            <w:r>
              <w:rPr>
                <w:rFonts w:ascii="Arial" w:cs="Arial" w:eastAsia="Arial" w:hAnsi="Arial"/>
                <w:sz w:val="18"/>
                <w:szCs w:val="18"/>
                <w:b w:val="1"/>
                <w:bCs w:val="1"/>
                <w:color w:val="auto"/>
              </w:rPr>
              <w:t>May 3,</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rPr>
              <w:t>April 28,</w:t>
            </w:r>
          </w:p>
        </w:tc>
        <w:tc>
          <w:tcPr>
            <w:tcW w:w="100" w:type="dxa"/>
            <w:vAlign w:val="bottom"/>
          </w:tcPr>
          <w:p>
            <w:pPr>
              <w:spacing w:after="0"/>
              <w:rPr>
                <w:sz w:val="17"/>
                <w:szCs w:val="17"/>
                <w:color w:val="auto"/>
              </w:rPr>
            </w:pPr>
          </w:p>
        </w:tc>
      </w:tr>
      <w:tr>
        <w:trPr>
          <w:trHeight w:val="241"/>
        </w:trPr>
        <w:tc>
          <w:tcPr>
            <w:tcW w:w="8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648"/>
        </w:trPr>
        <w:tc>
          <w:tcPr>
            <w:tcW w:w="868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17,620</w:t>
            </w: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47,896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38,515</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Share-based compensation</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2,576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1,962</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assets and liabilities: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(2,295)</w:t>
            </w:r>
          </w:p>
        </w:tc>
      </w:tr>
      <w:tr>
        <w:trPr>
          <w:trHeight w:val="216"/>
        </w:trPr>
        <w:tc>
          <w:tcPr>
            <w:tcW w:w="86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(8,989)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(9,447)</w:t>
            </w:r>
          </w:p>
        </w:tc>
      </w:tr>
      <w:tr>
        <w:trPr>
          <w:trHeight w:val="216"/>
        </w:trPr>
        <w:tc>
          <w:tcPr>
            <w:tcW w:w="8680" w:type="dxa"/>
            <w:vAlign w:val="bottom"/>
          </w:tcPr>
          <w:p>
            <w:pPr>
              <w:ind w:left="48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(6,887)</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(6,114)</w:t>
            </w:r>
          </w:p>
        </w:tc>
      </w:tr>
      <w:tr>
        <w:trPr>
          <w:trHeight w:val="223"/>
        </w:trPr>
        <w:tc>
          <w:tcPr>
            <w:tcW w:w="86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payable, accrued liabilities, and other</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7,840</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(42,528)</w:t>
            </w:r>
          </w:p>
        </w:tc>
      </w:tr>
      <w:tr>
        <w:trPr>
          <w:trHeight w:val="216"/>
        </w:trPr>
        <w:tc>
          <w:tcPr>
            <w:tcW w:w="86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61,323</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(2,287)</w:t>
            </w:r>
          </w:p>
        </w:tc>
      </w:tr>
      <w:tr>
        <w:trPr>
          <w:trHeight w:val="216"/>
        </w:trPr>
        <w:tc>
          <w:tcPr>
            <w:tcW w:w="86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Purchases of property, plant and equipment</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(30,127)</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(140,436)</w:t>
            </w: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Government incentives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5,698</w:t>
            </w: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(139)</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223"/>
        </w:trPr>
        <w:tc>
          <w:tcPr>
            <w:tcW w:w="86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(25,006)</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(134,761)</w:t>
            </w:r>
          </w:p>
        </w:tc>
      </w:tr>
      <w:tr>
        <w:trPr>
          <w:trHeight w:val="216"/>
        </w:trPr>
        <w:tc>
          <w:tcPr>
            <w:tcW w:w="86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debt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39,633</w:t>
            </w: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Contribution from noncontrolling interest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29,394</w:t>
            </w: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treasury stock</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(16,894)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(10,696)</w:t>
            </w: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Repayments of long-term debt</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(389)</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(61,220)</w:t>
            </w: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share-based arrangements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1,033</w:t>
            </w: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Dividends paid to noncontrolling interests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(26,102)</w:t>
            </w:r>
          </w:p>
        </w:tc>
      </w:tr>
      <w:tr>
        <w:trPr>
          <w:trHeight w:val="223"/>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(251)</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r>
      <w:tr>
        <w:trPr>
          <w:trHeight w:val="216"/>
        </w:trPr>
        <w:tc>
          <w:tcPr>
            <w:tcW w:w="86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(5,371)</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(28,003)</w:t>
            </w:r>
          </w:p>
        </w:tc>
      </w:tr>
      <w:tr>
        <w:trPr>
          <w:trHeight w:val="216"/>
        </w:trPr>
        <w:tc>
          <w:tcPr>
            <w:tcW w:w="86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475</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2,843</w:t>
            </w:r>
          </w:p>
        </w:tc>
      </w:tr>
      <w:tr>
        <w:trPr>
          <w:trHeight w:val="216"/>
        </w:trPr>
        <w:tc>
          <w:tcPr>
            <w:tcW w:w="86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31,421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(162,208)</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209,291</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331,989</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240,712</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169,781</w:t>
            </w:r>
          </w:p>
        </w:tc>
      </w:tr>
      <w:tr>
        <w:trPr>
          <w:trHeight w:val="20"/>
        </w:trPr>
        <w:tc>
          <w:tcPr>
            <w:tcW w:w="8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Supplemental disclosure information:</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Accrual for property, plant and equipment purchased during the period</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2,891</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17,454</w:t>
            </w: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Accrual for property, plant and equipment purchased with funds receivable from government incentives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13,402</w:t>
            </w:r>
          </w:p>
        </w:tc>
      </w:tr>
      <w:tr>
        <w:trPr>
          <w:trHeight w:val="230"/>
        </w:trPr>
        <w:tc>
          <w:tcPr>
            <w:tcW w:w="8680" w:type="dxa"/>
            <w:vAlign w:val="bottom"/>
          </w:tcPr>
          <w:p>
            <w:pPr>
              <w:ind w:left="160"/>
              <w:spacing w:after="0"/>
              <w:rPr>
                <w:sz w:val="20"/>
                <w:szCs w:val="20"/>
                <w:color w:val="auto"/>
              </w:rPr>
            </w:pPr>
            <w:r>
              <w:rPr>
                <w:rFonts w:ascii="Arial" w:cs="Arial" w:eastAsia="Arial" w:hAnsi="Arial"/>
                <w:sz w:val="18"/>
                <w:szCs w:val="18"/>
                <w:color w:val="auto"/>
              </w:rPr>
              <w:t>Subsidiary dividend payable</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18,837</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ectPr>
          <w:pgSz w:w="11900" w:h="16838" w:orient="portrait"/>
          <w:cols w:equalWidth="0" w:num="1">
            <w:col w:w="11240"/>
          </w:cols>
          <w:pgMar w:left="320" w:top="121" w:right="339" w:bottom="144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 and per share data)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FINANCIAL STATEMENT PRESENTATION</w:t>
      </w:r>
    </w:p>
    <w:p>
      <w:pPr>
        <w:spacing w:after="0" w:line="256" w:lineRule="exact"/>
        <w:rPr>
          <w:sz w:val="20"/>
          <w:szCs w:val="20"/>
          <w:color w:val="auto"/>
        </w:rPr>
      </w:pPr>
    </w:p>
    <w:p>
      <w:pPr>
        <w:ind w:right="20" w:firstLine="156"/>
        <w:spacing w:after="0" w:line="254" w:lineRule="auto"/>
        <w:rPr>
          <w:sz w:val="20"/>
          <w:szCs w:val="20"/>
          <w:color w:val="auto"/>
        </w:rPr>
      </w:pPr>
      <w:r>
        <w:rPr>
          <w:rFonts w:ascii="Arial" w:cs="Arial" w:eastAsia="Arial" w:hAnsi="Arial"/>
          <w:sz w:val="18"/>
          <w:szCs w:val="18"/>
          <w:color w:val="auto"/>
        </w:rPr>
        <w:t>Photronics, Inc. (“Photronics”, “the Company”, “we”, “our”, or “us”) is one of the world's leading manufacturers of photomasks, which are high-precision photographic quartz or glass plates containing microscopic images of electronic circuits. Photomasks are a key element in the manufacture of semiconductors and flat-panel displays (“FPDs”), and are used as masters to transfer circuit patterns onto semiconductor wafers and FPD substrates during the fabrication of integrated circuits (“ICs” or “semiconductors”), a variety of FPDs and, to a lesser extent, other types of electrical and optical components. We currently have eleven manufacturing facilities, which are located in Taiwan (3), Korea, the United States (3), Europe (2), and two recently constructed facilities in China. Our FPD facility in Hefei, China, commenced production in the second quarter of fiscal 2019 and our IC facility in Xiamen, China, commenced production in the third quarter of fiscal 2019.</w:t>
      </w:r>
    </w:p>
    <w:p>
      <w:pPr>
        <w:spacing w:after="0" w:line="222" w:lineRule="exact"/>
        <w:rPr>
          <w:sz w:val="20"/>
          <w:szCs w:val="20"/>
          <w:color w:val="auto"/>
        </w:rPr>
      </w:pPr>
    </w:p>
    <w:p>
      <w:pPr>
        <w:ind w:right="40" w:firstLine="162"/>
        <w:spacing w:after="0" w:line="293" w:lineRule="auto"/>
        <w:rPr>
          <w:sz w:val="20"/>
          <w:szCs w:val="20"/>
          <w:color w:val="auto"/>
        </w:rPr>
      </w:pPr>
      <w:r>
        <w:rPr>
          <w:rFonts w:ascii="Arial" w:cs="Arial" w:eastAsia="Arial" w:hAnsi="Arial"/>
          <w:sz w:val="16"/>
          <w:szCs w:val="16"/>
          <w:color w:val="auto"/>
        </w:rPr>
        <w:t>The accompanying unaudited condensed consolidated financial statements (“the financial statements”) have been prepared in accordance with accounting principles generally accepted in the United States of America for interim financial information, and with the instructions to Form 10-Q and Article 10 of Regulation S-X. Accordingly, they do not include all of the information and footnotes required by accounting principles generally accepted in the United States of America for annual financial statements. In the opinion of management, adjustments, all of which are of a normal recurring nature, considered necessary for a fair presentation have been included. The financial statements include the accounts of Photronics, its wholly owned subsidiaries, and the majority-owned subsidiaries which it controls. All intercompany balances and transactions have been eliminated in consolidation.</w:t>
      </w:r>
    </w:p>
    <w:p>
      <w:pPr>
        <w:spacing w:after="0" w:line="191" w:lineRule="exact"/>
        <w:rPr>
          <w:sz w:val="20"/>
          <w:szCs w:val="20"/>
          <w:color w:val="auto"/>
        </w:rPr>
      </w:pPr>
    </w:p>
    <w:p>
      <w:pPr>
        <w:ind w:right="120" w:firstLine="162"/>
        <w:spacing w:after="0" w:line="257"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us to make estimates and assumptions that affect amounts reported in them. Estimates are based on historical experience and on various assumptions that are believed to be reasonable under the circumstances. Our estimates are based on the facts and circumstances available at the time they are made. Actual results we report may differ from such estimates. We review these estimates periodically and reflect any effects of revisions in the period in which they are determined.</w:t>
      </w:r>
    </w:p>
    <w:p>
      <w:pPr>
        <w:spacing w:after="0" w:line="215" w:lineRule="exact"/>
        <w:rPr>
          <w:sz w:val="20"/>
          <w:szCs w:val="20"/>
          <w:color w:val="auto"/>
        </w:rPr>
      </w:pPr>
    </w:p>
    <w:p>
      <w:pPr>
        <w:ind w:right="220" w:firstLine="162"/>
        <w:spacing w:after="0" w:line="259" w:lineRule="auto"/>
        <w:rPr>
          <w:sz w:val="20"/>
          <w:szCs w:val="20"/>
          <w:color w:val="auto"/>
        </w:rPr>
      </w:pPr>
      <w:r>
        <w:rPr>
          <w:rFonts w:ascii="Arial" w:cs="Arial" w:eastAsia="Arial" w:hAnsi="Arial"/>
          <w:sz w:val="18"/>
          <w:szCs w:val="18"/>
          <w:color w:val="auto"/>
        </w:rPr>
        <w:t>Certain reclassifications of prior period amounts have been made to conform to the current period presentation. These reclassifications included separating, as its own line item, Foreign currency transaction (losses) gains, net, from Interest income and other income (expense), net, on the condensed consolidated statements of income, and separating Share-based compensation from Accounts payable, accrued liabilities, and other, in the condensed consolidated statements of cash flows.</w:t>
      </w:r>
    </w:p>
    <w:p>
      <w:pPr>
        <w:spacing w:after="0" w:line="214" w:lineRule="exact"/>
        <w:rPr>
          <w:sz w:val="20"/>
          <w:szCs w:val="20"/>
          <w:color w:val="auto"/>
        </w:rPr>
      </w:pPr>
    </w:p>
    <w:p>
      <w:pPr>
        <w:ind w:right="260" w:firstLine="162"/>
        <w:spacing w:after="0" w:line="279" w:lineRule="auto"/>
        <w:rPr>
          <w:sz w:val="20"/>
          <w:szCs w:val="20"/>
          <w:color w:val="auto"/>
        </w:rPr>
      </w:pPr>
      <w:r>
        <w:rPr>
          <w:rFonts w:ascii="Arial" w:cs="Arial" w:eastAsia="Arial" w:hAnsi="Arial"/>
          <w:sz w:val="17"/>
          <w:szCs w:val="17"/>
          <w:color w:val="auto"/>
        </w:rPr>
        <w:t>Our business is typically impacted during the first, and sometimes the second, quarters of our fiscal year by the North American, European, and Asian holiday periods, as some customers reduce their development and buying activities during those periods. Operating results for the interim period are not necessarily indicative of the results that may be expected for the fiscal year ending October 31, 2020. For further information, refer to the consolidated financial statements, and notes thereto, included in our Annual Report on Form 10-K for the year ended October 31, 2019.</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INVENTORIES</w:t>
      </w:r>
    </w:p>
    <w:p>
      <w:pPr>
        <w:spacing w:after="0" w:line="256"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Inventories are stated at the lower of cost, determined under the first-in, first-out ("FIFO") method, or net realizable value. Presented below are the components of inventory at the balance sheet dates: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b w:val="1"/>
                <w:bCs w:val="1"/>
                <w:color w:val="auto"/>
              </w:rPr>
              <w:t>May 3,</w:t>
            </w:r>
          </w:p>
        </w:tc>
        <w:tc>
          <w:tcPr>
            <w:tcW w:w="960" w:type="dxa"/>
            <w:vAlign w:val="bottom"/>
            <w:gridSpan w:val="2"/>
          </w:tcPr>
          <w:p>
            <w:pPr>
              <w:spacing w:after="0"/>
              <w:rPr>
                <w:sz w:val="20"/>
                <w:szCs w:val="20"/>
                <w:color w:val="auto"/>
              </w:rPr>
            </w:pPr>
            <w:r>
              <w:rPr>
                <w:rFonts w:ascii="Arial" w:cs="Arial" w:eastAsia="Arial" w:hAnsi="Arial"/>
                <w:sz w:val="18"/>
                <w:szCs w:val="18"/>
                <w:b w:val="1"/>
                <w:bCs w:val="1"/>
                <w:color w:val="auto"/>
                <w:w w:val="92"/>
              </w:rPr>
              <w:t>October 31,</w:t>
            </w:r>
          </w:p>
        </w:tc>
        <w:tc>
          <w:tcPr>
            <w:tcW w:w="3380" w:type="dxa"/>
            <w:vAlign w:val="bottom"/>
          </w:tcPr>
          <w:p>
            <w:pPr>
              <w:spacing w:after="0"/>
              <w:rPr>
                <w:sz w:val="18"/>
                <w:szCs w:val="18"/>
                <w:color w:val="auto"/>
              </w:rPr>
            </w:pPr>
          </w:p>
        </w:tc>
      </w:tr>
      <w:tr>
        <w:trPr>
          <w:trHeight w:val="241"/>
        </w:trPr>
        <w:tc>
          <w:tcPr>
            <w:tcW w:w="33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3380" w:type="dxa"/>
            <w:vAlign w:val="bottom"/>
          </w:tcPr>
          <w:p>
            <w:pPr>
              <w:spacing w:after="0"/>
              <w:rPr>
                <w:sz w:val="20"/>
                <w:szCs w:val="20"/>
                <w:color w:val="auto"/>
              </w:rPr>
            </w:pPr>
          </w:p>
        </w:tc>
      </w:tr>
      <w:tr>
        <w:trPr>
          <w:trHeight w:val="216"/>
        </w:trPr>
        <w:tc>
          <w:tcPr>
            <w:tcW w:w="3360" w:type="dxa"/>
            <w:vAlign w:val="bottom"/>
          </w:tcPr>
          <w:p>
            <w:pPr>
              <w:spacing w:after="0"/>
              <w:rPr>
                <w:sz w:val="18"/>
                <w:szCs w:val="18"/>
                <w:color w:val="auto"/>
              </w:rPr>
            </w:pPr>
          </w:p>
        </w:tc>
        <w:tc>
          <w:tcPr>
            <w:tcW w:w="2720" w:type="dxa"/>
            <w:vAlign w:val="bottom"/>
            <w:gridSpan w:val="2"/>
          </w:tcPr>
          <w:p>
            <w:pPr>
              <w:spacing w:after="0"/>
              <w:rPr>
                <w:sz w:val="18"/>
                <w:szCs w:val="18"/>
                <w:color w:val="auto"/>
              </w:rPr>
            </w:pPr>
          </w:p>
        </w:tc>
        <w:tc>
          <w:tcPr>
            <w:tcW w:w="8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55,110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46,027</w:t>
            </w:r>
          </w:p>
        </w:tc>
        <w:tc>
          <w:tcPr>
            <w:tcW w:w="3380" w:type="dxa"/>
            <w:vAlign w:val="bottom"/>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Work in process</w:t>
            </w: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1,818</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2,122</w:t>
            </w:r>
          </w:p>
        </w:tc>
        <w:tc>
          <w:tcPr>
            <w:tcW w:w="3380" w:type="dxa"/>
            <w:vAlign w:val="bottom"/>
          </w:tcPr>
          <w:p>
            <w:pPr>
              <w:spacing w:after="0"/>
              <w:rPr>
                <w:sz w:val="18"/>
                <w:szCs w:val="18"/>
                <w:color w:val="auto"/>
              </w:rPr>
            </w:pPr>
          </w:p>
        </w:tc>
      </w:tr>
      <w:tr>
        <w:trPr>
          <w:trHeight w:val="223"/>
        </w:trPr>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6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380" w:type="dxa"/>
            <w:vAlign w:val="bottom"/>
          </w:tcPr>
          <w:p>
            <w:pPr>
              <w:spacing w:after="0"/>
              <w:rPr>
                <w:sz w:val="19"/>
                <w:szCs w:val="19"/>
                <w:color w:val="auto"/>
              </w:rPr>
            </w:pPr>
          </w:p>
        </w:tc>
      </w:tr>
      <w:tr>
        <w:trPr>
          <w:trHeight w:val="216"/>
        </w:trPr>
        <w:tc>
          <w:tcPr>
            <w:tcW w:w="3360" w:type="dxa"/>
            <w:vAlign w:val="bottom"/>
          </w:tcPr>
          <w:p>
            <w:pPr>
              <w:spacing w:after="0"/>
              <w:rPr>
                <w:sz w:val="18"/>
                <w:szCs w:val="18"/>
                <w:color w:val="auto"/>
              </w:rPr>
            </w:pPr>
          </w:p>
        </w:tc>
        <w:tc>
          <w:tcPr>
            <w:tcW w:w="2720" w:type="dxa"/>
            <w:vAlign w:val="bottom"/>
            <w:gridSpan w:val="2"/>
          </w:tcPr>
          <w:p>
            <w:pPr>
              <w:spacing w:after="0"/>
              <w:rPr>
                <w:sz w:val="18"/>
                <w:szCs w:val="18"/>
                <w:color w:val="auto"/>
              </w:rPr>
            </w:pPr>
          </w:p>
        </w:tc>
        <w:tc>
          <w:tcPr>
            <w:tcW w:w="8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56"/>
        </w:trPr>
        <w:tc>
          <w:tcPr>
            <w:tcW w:w="3360" w:type="dxa"/>
            <w:vAlign w:val="bottom"/>
            <w:shd w:val="clear" w:color="auto" w:fill="CCEEFF"/>
          </w:tcPr>
          <w:p>
            <w:pPr>
              <w:spacing w:after="0"/>
              <w:rPr>
                <w:sz w:val="22"/>
                <w:szCs w:val="22"/>
                <w:color w:val="auto"/>
              </w:rPr>
            </w:pPr>
          </w:p>
        </w:tc>
        <w:tc>
          <w:tcPr>
            <w:tcW w:w="2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56,968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48,155</w:t>
            </w:r>
          </w:p>
        </w:tc>
        <w:tc>
          <w:tcPr>
            <w:tcW w:w="3380" w:type="dxa"/>
            <w:vAlign w:val="bottom"/>
          </w:tcPr>
          <w:p>
            <w:pPr>
              <w:spacing w:after="0"/>
              <w:rPr>
                <w:sz w:val="22"/>
                <w:szCs w:val="22"/>
                <w:color w:val="auto"/>
              </w:rPr>
            </w:pPr>
          </w:p>
        </w:tc>
      </w:tr>
      <w:tr>
        <w:trPr>
          <w:trHeight w:val="832"/>
        </w:trPr>
        <w:tc>
          <w:tcPr>
            <w:tcW w:w="3360" w:type="dxa"/>
            <w:vAlign w:val="bottom"/>
            <w:tcBorders>
              <w:top w:val="single" w:sz="8" w:color="CCEEFF"/>
            </w:tcBorders>
          </w:tcPr>
          <w:p>
            <w:pPr>
              <w:spacing w:after="0"/>
              <w:rPr>
                <w:sz w:val="24"/>
                <w:szCs w:val="24"/>
                <w:color w:val="auto"/>
              </w:rPr>
            </w:pPr>
          </w:p>
        </w:tc>
        <w:tc>
          <w:tcPr>
            <w:tcW w:w="2600" w:type="dxa"/>
            <w:vAlign w:val="bottom"/>
            <w:tcBorders>
              <w:top w:val="single" w:sz="8" w:color="CCEEFF"/>
            </w:tcBorders>
          </w:tcPr>
          <w:p>
            <w:pPr>
              <w:jc w:val="right"/>
              <w:ind w:right="176"/>
              <w:spacing w:after="0"/>
              <w:rPr>
                <w:sz w:val="20"/>
                <w:szCs w:val="20"/>
                <w:color w:val="auto"/>
              </w:rPr>
            </w:pPr>
            <w:r>
              <w:rPr>
                <w:rFonts w:ascii="Arial" w:cs="Arial" w:eastAsia="Arial" w:hAnsi="Arial"/>
                <w:sz w:val="14"/>
                <w:szCs w:val="14"/>
                <w:color w:val="auto"/>
              </w:rPr>
              <w:t>10</w:t>
            </w: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380" w:type="dxa"/>
            <w:vAlign w:val="bottom"/>
          </w:tcPr>
          <w:p>
            <w:pPr>
              <w:spacing w:after="0"/>
              <w:rPr>
                <w:sz w:val="24"/>
                <w:szCs w:val="24"/>
                <w:color w:val="auto"/>
              </w:rPr>
            </w:pPr>
          </w:p>
        </w:tc>
      </w:tr>
      <w:tr>
        <w:trPr>
          <w:trHeight w:val="46"/>
        </w:trPr>
        <w:tc>
          <w:tcPr>
            <w:tcW w:w="3360" w:type="dxa"/>
            <w:vAlign w:val="bottom"/>
            <w:tcBorders>
              <w:bottom w:val="single" w:sz="8" w:color="auto"/>
            </w:tcBorders>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38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440" w:type="dxa"/>
            <w:vAlign w:val="bottom"/>
          </w:tcPr>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Index</w:t>
              </w:r>
            </w:hyperlink>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377"/>
        </w:trPr>
        <w:tc>
          <w:tcPr>
            <w:tcW w:w="5440" w:type="dxa"/>
            <w:vAlign w:val="bottom"/>
          </w:tcPr>
          <w:p>
            <w:pPr>
              <w:spacing w:after="0"/>
              <w:rPr>
                <w:sz w:val="20"/>
                <w:szCs w:val="20"/>
                <w:color w:val="auto"/>
              </w:rPr>
            </w:pPr>
            <w:r>
              <w:rPr>
                <w:rFonts w:ascii="Arial" w:cs="Arial" w:eastAsia="Arial" w:hAnsi="Arial"/>
                <w:sz w:val="18"/>
                <w:szCs w:val="18"/>
                <w:b w:val="1"/>
                <w:bCs w:val="1"/>
                <w:color w:val="auto"/>
              </w:rPr>
              <w:t>NOTE 3 - PROPERTY, PLANT AND EQUIPMENT</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5440" w:type="dxa"/>
            <w:vAlign w:val="bottom"/>
          </w:tcPr>
          <w:p>
            <w:pPr>
              <w:ind w:left="340"/>
              <w:spacing w:after="0"/>
              <w:rPr>
                <w:sz w:val="20"/>
                <w:szCs w:val="20"/>
                <w:color w:val="auto"/>
              </w:rPr>
            </w:pPr>
            <w:r>
              <w:rPr>
                <w:rFonts w:ascii="Arial" w:cs="Arial" w:eastAsia="Arial" w:hAnsi="Arial"/>
                <w:sz w:val="18"/>
                <w:szCs w:val="18"/>
                <w:color w:val="auto"/>
              </w:rPr>
              <w:t>Property, plant and equipment consists of the following:</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41"/>
        </w:trPr>
        <w:tc>
          <w:tcPr>
            <w:tcW w:w="5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May 3,</w:t>
            </w:r>
          </w:p>
        </w:tc>
        <w:tc>
          <w:tcPr>
            <w:tcW w:w="40" w:type="dxa"/>
            <w:vAlign w:val="bottom"/>
          </w:tcPr>
          <w:p>
            <w:pPr>
              <w:spacing w:after="0"/>
              <w:rPr>
                <w:sz w:val="24"/>
                <w:szCs w:val="24"/>
                <w:color w:val="auto"/>
              </w:rPr>
            </w:pPr>
          </w:p>
        </w:tc>
        <w:tc>
          <w:tcPr>
            <w:tcW w:w="98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October 31,</w:t>
            </w:r>
          </w:p>
        </w:tc>
      </w:tr>
      <w:tr>
        <w:trPr>
          <w:trHeight w:val="241"/>
        </w:trPr>
        <w:tc>
          <w:tcPr>
            <w:tcW w:w="54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20"/>
                <w:szCs w:val="20"/>
                <w:color w:val="auto"/>
              </w:rPr>
            </w:pPr>
          </w:p>
        </w:tc>
      </w:tr>
      <w:tr>
        <w:trPr>
          <w:trHeight w:val="216"/>
        </w:trPr>
        <w:tc>
          <w:tcPr>
            <w:tcW w:w="5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860" w:type="dxa"/>
            <w:vAlign w:val="bottom"/>
            <w:gridSpan w:val="2"/>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11,916</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12,085</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172,689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172,340</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1,746,552</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1,748,483</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20,344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19,921</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14,501</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14,404</w:t>
            </w: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30,257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28,135</w:t>
            </w:r>
          </w:p>
        </w:tc>
        <w:tc>
          <w:tcPr>
            <w:tcW w:w="60" w:type="dxa"/>
            <w:vAlign w:val="bottom"/>
          </w:tcPr>
          <w:p>
            <w:pPr>
              <w:spacing w:after="0"/>
              <w:rPr>
                <w:sz w:val="19"/>
                <w:szCs w:val="19"/>
                <w:color w:val="auto"/>
              </w:rPr>
            </w:pPr>
          </w:p>
        </w:tc>
      </w:tr>
      <w:tr>
        <w:trPr>
          <w:trHeight w:val="216"/>
        </w:trPr>
        <w:tc>
          <w:tcPr>
            <w:tcW w:w="5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spacing w:after="0"/>
              <w:rPr>
                <w:sz w:val="18"/>
                <w:szCs w:val="18"/>
                <w:color w:val="auto"/>
              </w:rPr>
            </w:pPr>
          </w:p>
        </w:tc>
      </w:tr>
      <w:tr>
        <w:trPr>
          <w:trHeight w:val="216"/>
        </w:trPr>
        <w:tc>
          <w:tcPr>
            <w:tcW w:w="5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1,996,259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1,995,368</w:t>
            </w:r>
          </w:p>
        </w:tc>
      </w:tr>
      <w:tr>
        <w:trPr>
          <w:trHeight w:val="223"/>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(1,391,714)</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(1,362,927)</w:t>
            </w:r>
          </w:p>
        </w:tc>
      </w:tr>
      <w:tr>
        <w:trPr>
          <w:trHeight w:val="216"/>
        </w:trPr>
        <w:tc>
          <w:tcPr>
            <w:tcW w:w="54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57"/>
        </w:trPr>
        <w:tc>
          <w:tcPr>
            <w:tcW w:w="54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604,545</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632,441</w:t>
            </w:r>
          </w:p>
        </w:tc>
        <w:tc>
          <w:tcPr>
            <w:tcW w:w="6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right="400" w:firstLine="324"/>
        <w:spacing w:after="0" w:line="342" w:lineRule="auto"/>
        <w:rPr>
          <w:sz w:val="20"/>
          <w:szCs w:val="20"/>
          <w:color w:val="auto"/>
        </w:rPr>
      </w:pPr>
      <w:r>
        <w:rPr>
          <w:rFonts w:ascii="Arial" w:cs="Arial" w:eastAsia="Arial" w:hAnsi="Arial"/>
          <w:sz w:val="16"/>
          <w:szCs w:val="16"/>
          <w:color w:val="auto"/>
        </w:rPr>
        <w:t>Depreciation and amortization expense for property, plant and equipment was $22.1 million and $45.6 million for the three and six-month periods ended May 3, 2020 respectively, and $18.6 million and $36.2 million for the three and six-month periods ended April 28, 2019, respectively.</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PDMCX JOINT VENTURE</w:t>
      </w:r>
    </w:p>
    <w:p>
      <w:pPr>
        <w:spacing w:after="0" w:line="256"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In January 2018, Photronics, through its wholly owned Singapore subsidiary (hereinafter, within this Note “we”, “Photronics”, or “our”), and Dai Nippon Printing Co., Ltd., through its wholly owned subsidiary “DNP Asia Pacific PTE, Ltd.” (hereinafter, within this Note, “DNP”) entered into a joint venture under which DNP obtained a 49.99% interest in our IC business in Xiamen, China. The joint venture, known as “Xiamen American Japan Photronics Mask Co., Ltd.” (hereinafter, “PDMCX”), was established to develop and manufacture photomasks for leading edge and advanced generation semiconductors. We entered into this joint venture to enable us to compete more effectively for the merchant photomask business in China, and to benefit from the additional resources and investment that DNP provides to enable us to offer advanced-process technology to our customers. No gain or loss was recorded upon the formation of this joint venture.</w:t>
      </w:r>
    </w:p>
    <w:p>
      <w:pPr>
        <w:spacing w:after="0" w:line="22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total investment per the PDMCX operating agreement (“the Agreement”) is $160 million. As of May 3, 2020, Photronics and DNP had each contributed cash of approximately $55 million, and PDMCX obtained local financing of approximately $35 million. The remaining $15 million investment was funded, in May 2020, with additional cash contributions from Photronics and DNP. As discussed in Note 5, liens were granted to the local financing entity on assets with a total carrying value of $94.1 million, as collateral for the loans.</w:t>
      </w:r>
    </w:p>
    <w:p>
      <w:pPr>
        <w:spacing w:after="0" w:line="214"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Under the Agreement, DNP is afforded, under certain circumstances, the right to put its interest in PDMCX to Photronics. These circumstances include disputes regarding the strategic direction of PDMCX that may arise after the initial two-year term of the Agreement and cannot be resolved between the two parties. As of the date of issuance of these financial statements, DNP had not indicated its intention to exercise this right. In addition, both Photronics and DNP have the option to purchase, or put, their interest from, or to, the other party, should their ownership interest fall below twenty percent for a period of more than six consecutive months. Under all such circumstances, the sales of ownership interests would be at the exiting party’s ownership percentage of the joint venture’s net book value, with closing to take place within three business days of obtaining required approvals and clearance.</w:t>
      </w:r>
    </w:p>
    <w:p>
      <w:pPr>
        <w:spacing w:after="0" w:line="19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recorded net losses from the operations of PDMCX of $0.4 million, and $4.1 million during the three and six-month periods ended May 3, 2020, respectively, and losses of $0.6 million and $1.9 million during the three and six-month periods ended April 28, 2019, respectively. General creditors of PDMCX do not have recourse to the assets of Photronics (other than the net assets of PDMCX), and our maximum exposure to loss from PDMCX at May 3, 2020, was $43.0 million.</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As required by the guidance in Topic 810 - “Consolidation” of the Accounting Standards Codification (“ASC”), we evaluated our involvement in PDMCX for the purpose of determining whether we should consolidate its results in our financial statements. The initial step of our evaluation was to determine whether PDMCX was a variable interest entity (“VIE”). Due to its lack of sufficient equity at risk to finance its activities without additional subordinated financial support, we determined that it was a VIE. Having made this determination, we then assessed whether we were the primary beneficiary of the VIE, and concluded that we were the primary beneficiary during the current and prior year reporting periods; thus, as required, the PDMCX financial results have been consolidated with those of Photronics. Our conclusion was based on the facts that we held a controlling financial interest in PDMCX (which resulted from our having the power to direct the activities that most significantly impacted its economic performance) and had the obligation to absorb losses and the right to receive benefits that could potentially be significant to PDMCX. Our conclusions that we had the power to direct the activities that most significantly affected the economic performance of PDMCX during the current and prior year reporting periods was based on our right to appoint the majority of its board of directors, which has, among others, the powers to manage the business (through its rights to appoint and evaluate PDMCX's management), incur indebtedness, enter into agreements and commitments, and acquire and dispose of PDMCX’s assets. In addition, as a result of the 50.01% variable interest we held during the current and prior-year periods, we had the obligation to absorb losses, and the right to receive benefits, that could potentially be significant to PDMCX.</w:t>
      </w:r>
    </w:p>
    <w:p>
      <w:pPr>
        <w:spacing w:after="0" w:line="213"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carrying amounts of PDMCX assets and liabilities included in our condensed consolidated balance sheets are presented in the following table, together with our exposure to loss related to these assets and liabilities.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gridSpan w:val="8"/>
          </w:tcPr>
          <w:p>
            <w:pPr>
              <w:jc w:val="right"/>
              <w:ind w:right="640"/>
              <w:spacing w:after="0"/>
              <w:rPr>
                <w:sz w:val="20"/>
                <w:szCs w:val="20"/>
                <w:color w:val="auto"/>
              </w:rPr>
            </w:pPr>
            <w:r>
              <w:rPr>
                <w:rFonts w:ascii="Arial" w:cs="Arial" w:eastAsia="Arial" w:hAnsi="Arial"/>
                <w:sz w:val="18"/>
                <w:szCs w:val="18"/>
                <w:b w:val="1"/>
                <w:bCs w:val="1"/>
                <w:color w:val="auto"/>
              </w:rPr>
              <w:t>May 3, 2020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rPr>
              <w:t>October 31, 2019</w:t>
            </w:r>
          </w:p>
        </w:tc>
        <w:tc>
          <w:tcPr>
            <w:tcW w:w="2260" w:type="dxa"/>
            <w:vAlign w:val="bottom"/>
          </w:tcPr>
          <w:p>
            <w:pPr>
              <w:spacing w:after="0"/>
              <w:rPr>
                <w:sz w:val="20"/>
                <w:szCs w:val="20"/>
                <w:color w:val="auto"/>
              </w:rPr>
            </w:pPr>
          </w:p>
        </w:tc>
      </w:tr>
      <w:tr>
        <w:trPr>
          <w:trHeight w:val="198"/>
        </w:trPr>
        <w:tc>
          <w:tcPr>
            <w:tcW w:w="4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2"/>
          </w:tcPr>
          <w:p>
            <w:pPr>
              <w:spacing w:after="0" w:line="198" w:lineRule="exact"/>
              <w:rPr>
                <w:sz w:val="20"/>
                <w:szCs w:val="20"/>
                <w:color w:val="auto"/>
              </w:rPr>
            </w:pPr>
            <w:r>
              <w:rPr>
                <w:rFonts w:ascii="Arial" w:cs="Arial" w:eastAsia="Arial" w:hAnsi="Arial"/>
                <w:sz w:val="18"/>
                <w:szCs w:val="18"/>
                <w:b w:val="1"/>
                <w:bCs w:val="1"/>
                <w:color w:val="auto"/>
              </w:rPr>
              <w:t>Carrying</w:t>
            </w: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4"/>
          </w:tcPr>
          <w:p>
            <w:pPr>
              <w:jc w:val="center"/>
              <w:spacing w:after="0" w:line="198" w:lineRule="exact"/>
              <w:rPr>
                <w:sz w:val="20"/>
                <w:szCs w:val="20"/>
                <w:color w:val="auto"/>
              </w:rPr>
            </w:pPr>
            <w:r>
              <w:rPr>
                <w:rFonts w:ascii="Arial" w:cs="Arial" w:eastAsia="Arial" w:hAnsi="Arial"/>
                <w:sz w:val="18"/>
                <w:szCs w:val="18"/>
                <w:b w:val="1"/>
                <w:bCs w:val="1"/>
                <w:color w:val="auto"/>
                <w:w w:val="89"/>
              </w:rPr>
              <w:t>Photronics</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gridSpan w:val="2"/>
          </w:tcPr>
          <w:p>
            <w:pPr>
              <w:jc w:val="right"/>
              <w:ind w:right="100"/>
              <w:spacing w:after="0" w:line="198" w:lineRule="exact"/>
              <w:rPr>
                <w:sz w:val="20"/>
                <w:szCs w:val="20"/>
                <w:color w:val="auto"/>
              </w:rPr>
            </w:pPr>
            <w:r>
              <w:rPr>
                <w:rFonts w:ascii="Arial" w:cs="Arial" w:eastAsia="Arial" w:hAnsi="Arial"/>
                <w:sz w:val="18"/>
                <w:szCs w:val="18"/>
                <w:b w:val="1"/>
                <w:bCs w:val="1"/>
                <w:color w:val="auto"/>
                <w:w w:val="91"/>
              </w:rPr>
              <w:t>Carrying</w:t>
            </w: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89"/>
              </w:rPr>
              <w:t>Photronics</w:t>
            </w:r>
          </w:p>
        </w:tc>
        <w:tc>
          <w:tcPr>
            <w:tcW w:w="8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41"/>
        </w:trPr>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Classification</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4"/>
              </w:rPr>
              <w:t>Amount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8"/>
                <w:szCs w:val="18"/>
                <w:b w:val="1"/>
                <w:bCs w:val="1"/>
                <w:color w:val="auto"/>
                <w:w w:val="92"/>
              </w:rPr>
              <w:t>Interest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w w:val="94"/>
              </w:rPr>
              <w:t>Amount</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Interest</w:t>
            </w:r>
          </w:p>
        </w:tc>
        <w:tc>
          <w:tcPr>
            <w:tcW w:w="8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216"/>
        </w:trPr>
        <w:tc>
          <w:tcPr>
            <w:tcW w:w="468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160" w:type="dxa"/>
            <w:vAlign w:val="bottom"/>
            <w:gridSpan w:val="2"/>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840" w:type="dxa"/>
            <w:vAlign w:val="bottom"/>
            <w:gridSpan w:val="2"/>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45,646</w:t>
            </w:r>
          </w:p>
        </w:tc>
        <w:tc>
          <w:tcPr>
            <w:tcW w:w="8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22,828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24,142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12,074</w:t>
            </w:r>
          </w:p>
        </w:tc>
        <w:tc>
          <w:tcPr>
            <w:tcW w:w="2260" w:type="dxa"/>
            <w:vAlign w:val="bottom"/>
          </w:tcPr>
          <w:p>
            <w:pPr>
              <w:spacing w:after="0"/>
              <w:rPr>
                <w:sz w:val="18"/>
                <w:szCs w:val="18"/>
                <w:color w:val="auto"/>
              </w:rPr>
            </w:pPr>
          </w:p>
        </w:tc>
      </w:tr>
      <w:tr>
        <w:trPr>
          <w:trHeight w:val="223"/>
        </w:trPr>
        <w:tc>
          <w:tcPr>
            <w:tcW w:w="4680" w:type="dxa"/>
            <w:vAlign w:val="bottom"/>
          </w:tcPr>
          <w:p>
            <w:pPr>
              <w:spacing w:after="0"/>
              <w:rPr>
                <w:sz w:val="20"/>
                <w:szCs w:val="20"/>
                <w:color w:val="auto"/>
              </w:rPr>
            </w:pPr>
            <w:r>
              <w:rPr>
                <w:rFonts w:ascii="Arial" w:cs="Arial" w:eastAsia="Arial" w:hAnsi="Arial"/>
                <w:sz w:val="18"/>
                <w:szCs w:val="18"/>
                <w:color w:val="auto"/>
              </w:rPr>
              <w:t>Non-current assets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104,972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52,496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114,015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57,019</w:t>
            </w:r>
          </w:p>
        </w:tc>
        <w:tc>
          <w:tcPr>
            <w:tcW w:w="2260" w:type="dxa"/>
            <w:vAlign w:val="bottom"/>
          </w:tcPr>
          <w:p>
            <w:pPr>
              <w:spacing w:after="0"/>
              <w:rPr>
                <w:sz w:val="19"/>
                <w:szCs w:val="19"/>
                <w:color w:val="auto"/>
              </w:rPr>
            </w:pPr>
          </w:p>
        </w:tc>
      </w:tr>
      <w:tr>
        <w:trPr>
          <w:trHeight w:val="216"/>
        </w:trPr>
        <w:tc>
          <w:tcPr>
            <w:tcW w:w="4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23"/>
        </w:trPr>
        <w:tc>
          <w:tcPr>
            <w:tcW w:w="468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150,618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75,324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138,157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69,093</w:t>
            </w:r>
          </w:p>
        </w:tc>
        <w:tc>
          <w:tcPr>
            <w:tcW w:w="2260" w:type="dxa"/>
            <w:vAlign w:val="bottom"/>
          </w:tcPr>
          <w:p>
            <w:pPr>
              <w:spacing w:after="0"/>
              <w:rPr>
                <w:sz w:val="19"/>
                <w:szCs w:val="19"/>
                <w:color w:val="auto"/>
              </w:rPr>
            </w:pPr>
          </w:p>
        </w:tc>
      </w:tr>
      <w:tr>
        <w:trPr>
          <w:trHeight w:val="216"/>
        </w:trPr>
        <w:tc>
          <w:tcPr>
            <w:tcW w:w="4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28,785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14,395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16,889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8,446</w:t>
            </w:r>
          </w:p>
        </w:tc>
        <w:tc>
          <w:tcPr>
            <w:tcW w:w="2260" w:type="dxa"/>
            <w:vAlign w:val="bottom"/>
          </w:tcPr>
          <w:p>
            <w:pPr>
              <w:spacing w:after="0"/>
              <w:rPr>
                <w:sz w:val="18"/>
                <w:szCs w:val="18"/>
                <w:color w:val="auto"/>
              </w:rPr>
            </w:pPr>
          </w:p>
        </w:tc>
      </w:tr>
      <w:tr>
        <w:trPr>
          <w:trHeight w:val="223"/>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35,831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17,919</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42,094</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21,051</w:t>
            </w:r>
          </w:p>
        </w:tc>
        <w:tc>
          <w:tcPr>
            <w:tcW w:w="2260" w:type="dxa"/>
            <w:vAlign w:val="bottom"/>
          </w:tcPr>
          <w:p>
            <w:pPr>
              <w:spacing w:after="0"/>
              <w:rPr>
                <w:sz w:val="19"/>
                <w:szCs w:val="19"/>
                <w:color w:val="auto"/>
              </w:rPr>
            </w:pPr>
          </w:p>
        </w:tc>
      </w:tr>
      <w:tr>
        <w:trPr>
          <w:trHeight w:val="216"/>
        </w:trPr>
        <w:tc>
          <w:tcPr>
            <w:tcW w:w="46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60" w:type="dxa"/>
            <w:vAlign w:val="bottom"/>
          </w:tcPr>
          <w:p>
            <w:pPr>
              <w:spacing w:after="0"/>
              <w:rPr>
                <w:sz w:val="18"/>
                <w:szCs w:val="18"/>
                <w:color w:val="auto"/>
              </w:rPr>
            </w:pPr>
          </w:p>
        </w:tc>
      </w:tr>
      <w:tr>
        <w:trPr>
          <w:trHeight w:val="223"/>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64,616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32,314</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58,983</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29,497</w:t>
            </w:r>
          </w:p>
        </w:tc>
        <w:tc>
          <w:tcPr>
            <w:tcW w:w="2260" w:type="dxa"/>
            <w:vAlign w:val="bottom"/>
          </w:tcPr>
          <w:p>
            <w:pPr>
              <w:spacing w:after="0"/>
              <w:rPr>
                <w:sz w:val="19"/>
                <w:szCs w:val="19"/>
                <w:color w:val="auto"/>
              </w:rPr>
            </w:pPr>
          </w:p>
        </w:tc>
      </w:tr>
      <w:tr>
        <w:trPr>
          <w:trHeight w:val="216"/>
        </w:trPr>
        <w:tc>
          <w:tcPr>
            <w:tcW w:w="46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60" w:type="dxa"/>
            <w:vAlign w:val="bottom"/>
          </w:tcPr>
          <w:p>
            <w:pPr>
              <w:spacing w:after="0"/>
              <w:rPr>
                <w:sz w:val="18"/>
                <w:szCs w:val="18"/>
                <w:color w:val="auto"/>
              </w:rPr>
            </w:pPr>
          </w:p>
        </w:tc>
      </w:tr>
      <w:tr>
        <w:trPr>
          <w:trHeight w:val="25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assets</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86,002</w:t>
            </w:r>
          </w:p>
        </w:tc>
        <w:tc>
          <w:tcPr>
            <w:tcW w:w="80" w:type="dxa"/>
            <w:vAlign w:val="bottom"/>
            <w:shd w:val="clear" w:color="auto" w:fill="CCEEFF"/>
          </w:tcPr>
          <w:p>
            <w:pPr>
              <w:spacing w:after="0"/>
              <w:rPr>
                <w:sz w:val="22"/>
                <w:szCs w:val="22"/>
                <w:color w:val="auto"/>
              </w:rPr>
            </w:pPr>
          </w:p>
        </w:tc>
        <w:tc>
          <w:tcPr>
            <w:tcW w:w="3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43,010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79,174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39,596</w:t>
            </w:r>
          </w:p>
        </w:tc>
        <w:tc>
          <w:tcPr>
            <w:tcW w:w="2260" w:type="dxa"/>
            <w:vAlign w:val="bottom"/>
          </w:tcPr>
          <w:p>
            <w:pPr>
              <w:spacing w:after="0"/>
              <w:rPr>
                <w:sz w:val="22"/>
                <w:szCs w:val="22"/>
                <w:color w:val="auto"/>
              </w:rPr>
            </w:pPr>
          </w:p>
        </w:tc>
      </w:tr>
      <w:tr>
        <w:trPr>
          <w:trHeight w:val="453"/>
        </w:trPr>
        <w:tc>
          <w:tcPr>
            <w:tcW w:w="46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NOTE 5 – LONG-TERM DEBT</w:t>
            </w: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260" w:type="dxa"/>
            <w:vAlign w:val="bottom"/>
          </w:tcPr>
          <w:p>
            <w:pPr>
              <w:spacing w:after="0"/>
              <w:rPr>
                <w:sz w:val="24"/>
                <w:szCs w:val="24"/>
                <w:color w:val="auto"/>
              </w:rPr>
            </w:pPr>
          </w:p>
        </w:tc>
      </w:tr>
      <w:tr>
        <w:trPr>
          <w:trHeight w:val="459"/>
        </w:trPr>
        <w:tc>
          <w:tcPr>
            <w:tcW w:w="4680" w:type="dxa"/>
            <w:vAlign w:val="bottom"/>
          </w:tcPr>
          <w:p>
            <w:pPr>
              <w:ind w:left="340"/>
              <w:spacing w:after="0"/>
              <w:rPr>
                <w:sz w:val="20"/>
                <w:szCs w:val="20"/>
                <w:color w:val="auto"/>
              </w:rPr>
            </w:pPr>
            <w:r>
              <w:rPr>
                <w:rFonts w:ascii="Arial" w:cs="Arial" w:eastAsia="Arial" w:hAnsi="Arial"/>
                <w:sz w:val="18"/>
                <w:szCs w:val="18"/>
                <w:color w:val="auto"/>
              </w:rPr>
              <w:t>Long-term debt consists of the following:</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41"/>
        </w:trPr>
        <w:tc>
          <w:tcPr>
            <w:tcW w:w="4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4"/>
              </w:rPr>
              <w:t>May 3,</w:t>
            </w:r>
          </w:p>
        </w:tc>
        <w:tc>
          <w:tcPr>
            <w:tcW w:w="960" w:type="dxa"/>
            <w:vAlign w:val="bottom"/>
            <w:gridSpan w:val="4"/>
          </w:tcPr>
          <w:p>
            <w:pPr>
              <w:spacing w:after="0"/>
              <w:rPr>
                <w:sz w:val="20"/>
                <w:szCs w:val="20"/>
                <w:color w:val="auto"/>
              </w:rPr>
            </w:pPr>
            <w:r>
              <w:rPr>
                <w:rFonts w:ascii="Arial" w:cs="Arial" w:eastAsia="Arial" w:hAnsi="Arial"/>
                <w:sz w:val="18"/>
                <w:szCs w:val="18"/>
                <w:b w:val="1"/>
                <w:bCs w:val="1"/>
                <w:color w:val="auto"/>
                <w:w w:val="94"/>
              </w:rPr>
              <w:t>October 31,</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41"/>
        </w:trPr>
        <w:tc>
          <w:tcPr>
            <w:tcW w:w="4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432"/>
        </w:trPr>
        <w:tc>
          <w:tcPr>
            <w:tcW w:w="4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gridSpan w:val="3"/>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gridSpan w:val="2"/>
          </w:tcPr>
          <w:p>
            <w:pPr>
              <w:spacing w:after="0"/>
              <w:rPr>
                <w:sz w:val="24"/>
                <w:szCs w:val="24"/>
                <w:color w:val="auto"/>
              </w:rPr>
            </w:pPr>
          </w:p>
        </w:tc>
        <w:tc>
          <w:tcPr>
            <w:tcW w:w="80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Project Loans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34,452</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34,490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23"/>
        </w:trPr>
        <w:tc>
          <w:tcPr>
            <w:tcW w:w="4680" w:type="dxa"/>
            <w:vAlign w:val="bottom"/>
          </w:tcPr>
          <w:p>
            <w:pPr>
              <w:spacing w:after="0"/>
              <w:rPr>
                <w:sz w:val="20"/>
                <w:szCs w:val="20"/>
                <w:color w:val="auto"/>
              </w:rPr>
            </w:pPr>
            <w:r>
              <w:rPr>
                <w:rFonts w:ascii="Arial" w:cs="Arial" w:eastAsia="Arial" w:hAnsi="Arial"/>
                <w:sz w:val="18"/>
                <w:szCs w:val="18"/>
                <w:color w:val="auto"/>
              </w:rPr>
              <w:t>Working Capital Loans (value added tax component)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16"/>
        </w:trPr>
        <w:tc>
          <w:tcPr>
            <w:tcW w:w="4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43,596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44,029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23"/>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(7,813)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16"/>
        </w:trPr>
        <w:tc>
          <w:tcPr>
            <w:tcW w:w="46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gridSpan w:val="2"/>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gridSpan w:val="2"/>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57"/>
        </w:trPr>
        <w:tc>
          <w:tcPr>
            <w:tcW w:w="4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35,783</w:t>
            </w:r>
          </w:p>
        </w:tc>
        <w:tc>
          <w:tcPr>
            <w:tcW w:w="100" w:type="dxa"/>
            <w:vAlign w:val="bottom"/>
            <w:shd w:val="clear" w:color="auto" w:fill="CCEEFF"/>
          </w:tcPr>
          <w:p>
            <w:pPr>
              <w:spacing w:after="0"/>
              <w:rPr>
                <w:sz w:val="22"/>
                <w:szCs w:val="22"/>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41,887</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60" w:type="dxa"/>
            <w:vAlign w:val="bottom"/>
          </w:tcPr>
          <w:p>
            <w:pPr>
              <w:spacing w:after="0"/>
              <w:rPr>
                <w:sz w:val="22"/>
                <w:szCs w:val="22"/>
                <w:color w:val="auto"/>
              </w:rPr>
            </w:pPr>
          </w:p>
        </w:tc>
      </w:tr>
      <w:tr>
        <w:trPr>
          <w:trHeight w:val="589"/>
        </w:trPr>
        <w:tc>
          <w:tcPr>
            <w:tcW w:w="46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4"/>
                <w:szCs w:val="14"/>
                <w:color w:val="auto"/>
              </w:rPr>
              <w:t>12</w:t>
            </w: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6"/>
        </w:trPr>
        <w:tc>
          <w:tcPr>
            <w:tcW w:w="4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May 3, 2020, maturities of our long-term debt over the next five fiscal years and thereafter were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2020 (remainder of)</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6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8,294</w:t>
            </w:r>
          </w:p>
        </w:tc>
        <w:tc>
          <w:tcPr>
            <w:tcW w:w="6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12,417</w:t>
            </w:r>
          </w:p>
        </w:tc>
        <w:tc>
          <w:tcPr>
            <w:tcW w:w="6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3,437</w:t>
            </w:r>
          </w:p>
        </w:tc>
        <w:tc>
          <w:tcPr>
            <w:tcW w:w="6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6,582</w:t>
            </w:r>
          </w:p>
        </w:tc>
        <w:tc>
          <w:tcPr>
            <w:tcW w:w="60" w:type="dxa"/>
            <w:vAlign w:val="bottom"/>
            <w:shd w:val="clear" w:color="auto" w:fill="CCEEFF"/>
          </w:tcPr>
          <w:p>
            <w:pPr>
              <w:spacing w:after="0"/>
              <w:rPr>
                <w:sz w:val="18"/>
                <w:szCs w:val="18"/>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11,111</w:t>
            </w:r>
          </w:p>
        </w:tc>
        <w:tc>
          <w:tcPr>
            <w:tcW w:w="60" w:type="dxa"/>
            <w:vAlign w:val="bottom"/>
          </w:tcPr>
          <w:p>
            <w:pPr>
              <w:spacing w:after="0"/>
              <w:rPr>
                <w:sz w:val="19"/>
                <w:szCs w:val="19"/>
                <w:color w:val="auto"/>
              </w:rPr>
            </w:pPr>
          </w:p>
        </w:tc>
      </w:tr>
      <w:tr>
        <w:trPr>
          <w:trHeight w:val="257"/>
        </w:trPr>
        <w:tc>
          <w:tcPr>
            <w:tcW w:w="4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43,596</w:t>
            </w:r>
          </w:p>
        </w:tc>
        <w:tc>
          <w:tcPr>
            <w:tcW w:w="6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May 3, 2020 and October 31, 2019, the weighted-average interest rates of our short-term debt were 3.51% and 3.84%, respectively.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Project Loans</w:t>
      </w:r>
    </w:p>
    <w:p>
      <w:pPr>
        <w:spacing w:after="0" w:line="252"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In November 2018, PDMCX was approved for credit of the equivalent of $50 million, subject to certain limitations related to PDMCX registered capital at the time of the initial approval, pursuant to which PDMCX has and will enter into separate loan agreements (“the Project Loans”) for intermittent borrowings. The Project Loans, which are denominated in Chinese renminbi (RMB), are being used to finance certain capital expenditures in China. PDMCX granted liens on its interest in land, building, and certain equipment, which had a combined carrying value of $94.1 million as of May 3, 2020, as collateral for the Project Loans. As of May 3, 2020, PDMCX had borrowed 243.4 million RMB ($34.5 million) against this approval. Payments on these borrowings are due semi-annually through December 2025; the initial payment is scheduled for June 2020. The table below presents, in U.S. dollars, the timing of future payments against the borrowings.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w w:val="96"/>
              </w:rPr>
              <w:t>Fiscal Year</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2023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2024</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2026</w:t>
            </w:r>
          </w:p>
        </w:tc>
        <w:tc>
          <w:tcPr>
            <w:tcW w:w="80" w:type="dxa"/>
            <w:vAlign w:val="bottom"/>
          </w:tcPr>
          <w:p>
            <w:pPr>
              <w:spacing w:after="0"/>
              <w:rPr>
                <w:sz w:val="19"/>
                <w:szCs w:val="19"/>
                <w:color w:val="auto"/>
              </w:rPr>
            </w:pPr>
          </w:p>
        </w:tc>
      </w:tr>
      <w:tr>
        <w:trPr>
          <w:trHeight w:val="216"/>
        </w:trPr>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1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Principal</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1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w:t>
            </w: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6,369</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5,679</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3,437</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6,582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6,299</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4,812</w:t>
            </w:r>
          </w:p>
        </w:tc>
      </w:tr>
      <w:tr>
        <w:trPr>
          <w:trHeight w:val="27"/>
        </w:trPr>
        <w:tc>
          <w:tcPr>
            <w:tcW w:w="1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interest rates on the Project Loans are based on the benchmark lending rate of the People’s Bank of China (4.9% at May 3, 2020). Interest incurred on the loans will be reimbursed through incentives provided by the Xiamen Torch Hi-Tech Industrial Development Zone, which provide for such reimbursements up to a prescribed limit.</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Working Capital Loans</w:t>
      </w:r>
    </w:p>
    <w:p>
      <w:pPr>
        <w:spacing w:after="0" w:line="252"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In November 2018, PDMCX received approval for unsecured credit of the equivalent of $25.0 million, pursuant to which PDMCX may enter into separate loan agreements. Under this credit agreement (the “Working Capital Loans”), PDMCX can borrow up to 140.0 million RMB to pay value-added taxes (“VAT”), and up to 60.0 million RMB to fund operations; combined total borrowings are limited to the equivalent of $25.0 million. As of May 3, 2020, PDMCX had 64.6 million RMB ($9.1 million) outstanding against the approval to pay VAT. Payments on these borrowings are due semiannually, in increasing amounts, through January 2022. The table below presents, in U.S. dollars, the timing of future payments against these borrowings.</w:t>
      </w:r>
    </w:p>
    <w:p>
      <w:pPr>
        <w:spacing w:after="0" w:line="184" w:lineRule="exact"/>
        <w:rPr>
          <w:sz w:val="20"/>
          <w:szCs w:val="20"/>
          <w:color w:val="auto"/>
        </w:rPr>
      </w:pPr>
    </w:p>
    <w:p>
      <w:pPr>
        <w:jc w:val="center"/>
        <w:ind w:left="2560"/>
        <w:spacing w:after="0"/>
        <w:rPr>
          <w:sz w:val="20"/>
          <w:szCs w:val="20"/>
          <w:color w:val="auto"/>
        </w:rPr>
      </w:pPr>
      <w:r>
        <w:rPr>
          <w:rFonts w:ascii="Arial" w:cs="Arial" w:eastAsia="Arial" w:hAnsi="Arial"/>
          <w:sz w:val="18"/>
          <w:szCs w:val="18"/>
          <w:b w:val="1"/>
          <w:bCs w:val="1"/>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17145</wp:posOffset>
            </wp:positionV>
            <wp:extent cx="182562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25625" cy="17145"/>
                    </a:xfrm>
                    <a:prstGeom prst="rect">
                      <a:avLst/>
                    </a:prstGeom>
                    <a:noFill/>
                  </pic:spPr>
                </pic:pic>
              </a:graphicData>
            </a:graphic>
          </wp:anchor>
        </w:drawing>
      </w:r>
    </w:p>
    <w:p>
      <w:pPr>
        <w:spacing w:after="0" w:line="16" w:lineRule="exact"/>
        <w:rPr>
          <w:sz w:val="20"/>
          <w:szCs w:val="20"/>
          <w:color w:val="auto"/>
        </w:rPr>
      </w:pPr>
    </w:p>
    <w:p>
      <w:pPr>
        <w:ind w:left="5720"/>
        <w:spacing w:after="0"/>
        <w:tabs>
          <w:tab w:leader="none" w:pos="6720" w:val="left"/>
          <w:tab w:leader="none" w:pos="772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2021</w:t>
      </w:r>
      <w:r>
        <w:rPr>
          <w:sz w:val="20"/>
          <w:szCs w:val="20"/>
          <w:color w:val="auto"/>
        </w:rPr>
        <w:tab/>
      </w:r>
      <w:r>
        <w:rPr>
          <w:rFonts w:ascii="Arial" w:cs="Arial" w:eastAsia="Arial" w:hAnsi="Arial"/>
          <w:sz w:val="16"/>
          <w:szCs w:val="16"/>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17145</wp:posOffset>
            </wp:positionV>
            <wp:extent cx="182562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25625" cy="17145"/>
                    </a:xfrm>
                    <a:prstGeom prst="rect">
                      <a:avLst/>
                    </a:prstGeom>
                    <a:noFill/>
                  </pic:spPr>
                </pic:pic>
              </a:graphicData>
            </a:graphic>
          </wp:anchor>
        </w:drawing>
      </w:r>
    </w:p>
    <w:p>
      <w:pPr>
        <w:spacing w:after="0" w:line="236" w:lineRule="exact"/>
        <w:rPr>
          <w:sz w:val="20"/>
          <w:szCs w:val="20"/>
          <w:color w:val="auto"/>
        </w:rPr>
      </w:pPr>
    </w:p>
    <w:p>
      <w:pPr>
        <w:spacing w:after="0"/>
        <w:tabs>
          <w:tab w:leader="none" w:pos="5460" w:val="left"/>
          <w:tab w:leader="none" w:pos="6040" w:val="left"/>
          <w:tab w:leader="none" w:pos="6460" w:val="left"/>
          <w:tab w:leader="none" w:pos="6920" w:val="left"/>
          <w:tab w:leader="none" w:pos="7480" w:val="left"/>
          <w:tab w:leader="none" w:pos="7920" w:val="left"/>
        </w:tabs>
        <w:rPr>
          <w:sz w:val="20"/>
          <w:szCs w:val="20"/>
          <w:color w:val="auto"/>
        </w:rPr>
      </w:pPr>
      <w:r>
        <w:rPr>
          <w:rFonts w:ascii="Arial" w:cs="Arial" w:eastAsia="Arial" w:hAnsi="Arial"/>
          <w:sz w:val="18"/>
          <w:szCs w:val="18"/>
          <w:color w:val="auto"/>
        </w:rPr>
        <w:t>Principal payments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481</w:t>
        <w:tab/>
        <w:t>$</w:t>
      </w:r>
      <w:r>
        <w:rPr>
          <w:sz w:val="20"/>
          <w:szCs w:val="20"/>
          <w:color w:val="auto"/>
        </w:rPr>
        <w:tab/>
      </w:r>
      <w:r>
        <w:rPr>
          <w:rFonts w:ascii="Arial" w:cs="Arial" w:eastAsia="Arial" w:hAnsi="Arial"/>
          <w:sz w:val="18"/>
          <w:szCs w:val="18"/>
          <w:color w:val="auto"/>
        </w:rPr>
        <w:t>1,925</w:t>
        <w:tab/>
        <w:t>$</w:t>
      </w:r>
      <w:r>
        <w:rPr>
          <w:sz w:val="20"/>
          <w:szCs w:val="20"/>
          <w:color w:val="auto"/>
        </w:rPr>
        <w:tab/>
      </w:r>
      <w:r>
        <w:rPr>
          <w:rFonts w:ascii="Arial" w:cs="Arial" w:eastAsia="Arial" w:hAnsi="Arial"/>
          <w:sz w:val="16"/>
          <w:szCs w:val="16"/>
          <w:color w:val="auto"/>
        </w:rPr>
        <w:t>6,738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34924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49240" cy="154305"/>
                    </a:xfrm>
                    <a:prstGeom prst="rect">
                      <a:avLst/>
                    </a:prstGeom>
                    <a:noFill/>
                  </pic:spPr>
                </pic:pic>
              </a:graphicData>
            </a:graphic>
          </wp:anchor>
        </w:drawing>
      </w:r>
    </w:p>
    <w:p>
      <w:pPr>
        <w:spacing w:after="0" w:line="259"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As of May 3, 2020, PDMCX had borrowed, in several transactions to fund operations, 44.8 million RMB ($6.3 million) against the approval, all of which was outstanding as of that date repayments are due one year from the borrowing dates.</w:t>
      </w:r>
    </w:p>
    <w:p>
      <w:pPr>
        <w:spacing w:after="0" w:line="197"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The interest rates on borrowings to fund operations are approximately 4.37 to 4.60%, and interest rates on borrowings to pay VAT are approximately 4.53 to 4.73%; both rates are based on the RMB Loan Prime Rate of the National Interbank Funding Center, plus spreads that range from 25.75 to 67.75 basis points. Interest incurred on the loans will be reimbursed through incentives provided by the Xiamen Torch Hi-Tech Industrial Development Zone, which provide for such reimbursements up to a prescribed limit.</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Equipment Loan</w:t>
      </w:r>
    </w:p>
    <w:p>
      <w:pPr>
        <w:spacing w:after="0" w:line="25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Effective July 2019, the Company entered into a Master Lease Agreement (“MLA”) which enables us to request advance payments or other funds to finance equipment to be leased or purchased in the U.S. In connection with this MLA, we were approved for financing of $35 million for the purchase of a high-end lithography tool. In the fourth quarter of fiscal 2019, the financing entity, upon our request, made an advance payment of $3.5 million to the equipment vendor on our behalf. Interest on this borrowing is payable monthly at thirty-day LIBOR plus 1% (1.79% at May 3, 2020), and will continue to accrue until the borrowing is repaid or, as allowed under the MLA, we enter into a lease for the equipment. We intend to enter into a lease agreement for the related equipment in fiscal year 2020; as such, we have classified this borrowing as current debt. All borrowings under the MLA are secured by the equipment to be leased or purchased.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52"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In September 2018, we entered into a five-year amended and restated credit agreement (the “Credit Agreement”), which has a $50 million borrowing limit, with an expansion capacity to $100 million. The Credit Agreement is secured by substantially all of our assets located in the United States and common stock we own in certain foreign subsidiaries. The Credit Agreement includes minimum interest coverage ratio, total leverage ratio, and minimum unrestricted cash balance covenants (all of which we were in compliance with at May 3, 2020), and limits the amount of cash dividends, distributions, and redemptions we can pay on our common stock to an aggregate annual amount of $50 million. We had no outstanding borrowings against the Credit Agreement at May 3, 2020, and $50 million was available for borrowing. The interest rate on the Credit Agreement (1.37% at May 3, 2020) is based on our total leverage ratio at LIBOR plus a spread, as defined in the Credit Agreement.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REVENUE</w:t>
      </w:r>
    </w:p>
    <w:p>
      <w:pPr>
        <w:spacing w:after="0" w:line="256"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We recognize revenue when, or as, control of a good or service transfers to a customer, in an amount that reflects the consideration to which we expect to be entitled in exchange for transferring those goods or services. We account for an arrangement as a revenue contract when each party has approved and is committed to perform under the contract, the rights of the contracting parties regarding the goods or services to be transferred and the payment terms are identifiable, the arrangement has commercial substance, and collection of consideration is probable. Substantially all of our revenue comes from the sales of photomasks. We typically contract with our customers to sell sets of photomasks, which are comprised of multiple layers, the predominance of which we invoice as they ship to customers. As the photomasks are manufactured to customer specifications, they have no alternative use to us and, as our contracts generally provide us with the right to payment for work completed to date, we recognize revenue as we perform, or “over time,” on most of our contracts. We measure our performance to date using an input method, which is based on our estimated costs to complete the various manufacturing phases of a photomask. At the end of a reporting period, there will be a number of uncompleted revenue contracts on which we have performed; for any such contracts under which we are entitled to be compensated for our costs incurred plus a reasonable profit, we recognize revenue and a corresponding contract asset for such performance. We account for shipping and handling activities that we perform after a customer obtains control of a good as being activities to fulfill our promise to transfer the good to the customer, rather than as promised services, or performance obligations, under the contract.</w:t>
      </w:r>
    </w:p>
    <w:p>
      <w:pPr>
        <w:spacing w:after="0" w:line="195"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As stated above, photomasks are manufactured to customer specifications in accordance with their proprietary designs; thus, they are individually unique. Due to their uniqueness and other factors, their transaction prices are individually established through negotiations with customers; consequently, our photomasks do not have standard or “list” prices. The transaction prices of the vast majority of our revenue contracts include only fixed amounts of consideration. In certain instances, such as when we offer a customer an early payment discount, an estimate of variable consideration would be included in the transaction price, but only to the extent that a significant reversal of revenue would not occur when the uncertainty related to the variability is resolved.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Contract Liabilities, and Accounts Receivable</w:t>
      </w:r>
    </w:p>
    <w:p>
      <w:pPr>
        <w:spacing w:after="0" w:line="252"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recognize a contract asset when our performance under a contract precedes our receipt of consideration from a customer, or before payment is due, and our receipt of consideration is conditional upon factors other than the passage of time. Contract assets reflect our transfer of control to customers of photomasks that are in process or completed but not yet shipped. A receivable is recognized when we have an unconditional right to payment for our performance, which generally occurs when we ship the photomasks. Our contract assets primarily consist of a significant amount of our in-process production orders and fully manufactured photomasks which have not yet shipped, for which we have an enforceable right to collect consideration (including a reasonable profit) in the event the in-process orders are cancelled by customers. On an individual contract basis, we net contract assets with contract liabilities (deferred revenue) for financial reporting purposes. Our contract assets and liabilities are typically classified as current, as our production cycle and our lead times are both under one year. Contract assets of $6.5 million are included in “Other” current assets, and contract liabilities of $10.7 and $5.0 million are included in Accrued Liabilities and Other Liabilities, respectively, in our May 3, 2020 condensed consolidated balance sheet. Our October 31, 2019 condensed consolidated balance sheet includes contract assets of $7.6 million, included in “Other” current assets, and contract liabilities of $11.5 million, included in Accrued liabilities. We did not impair any contract assets during the six-month periods ended May 3, 2020 or April 28, 2019. We recognized $0.9 million and $1.8 million of revenue from the settlement of contract liabilities that existed at the beginning of the three and six-month periods ended May 3, 2020, and recognized $0.5 million and $1.2 million of revenue in the respective prior year periods, that related to the settlement of contract liabilities that existed at the beginning of those periods.</w:t>
      </w:r>
    </w:p>
    <w:p>
      <w:pPr>
        <w:sectPr>
          <w:pgSz w:w="11900" w:h="16838" w:orient="portrait"/>
          <w:cols w:equalWidth="0" w:num="1">
            <w:col w:w="11240"/>
          </w:cols>
          <w:pgMar w:left="320" w:top="122" w:right="33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5" w:name="page16"/>
    <w:bookmarkEnd w:id="15"/>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120" w:firstLine="324"/>
        <w:spacing w:after="0" w:line="296" w:lineRule="auto"/>
        <w:rPr>
          <w:sz w:val="20"/>
          <w:szCs w:val="20"/>
          <w:color w:val="auto"/>
        </w:rPr>
      </w:pPr>
      <w:r>
        <w:rPr>
          <w:rFonts w:ascii="Arial" w:cs="Arial" w:eastAsia="Arial" w:hAnsi="Arial"/>
          <w:sz w:val="16"/>
          <w:szCs w:val="16"/>
          <w:color w:val="auto"/>
        </w:rPr>
        <w:t>We generally record our accounts receivable at their billed amounts. All outstanding past due customer invoices are reviewed for collectibility during, and at the end of, every reporting period. To the extent we believe a loss on the collection of a customer invoice is probable, we record the loss and credit the allowance for doubtful accounts. In the event that an amount is determined to be uncollectible, we charge the allowance for doubtful accounts and derecognize the related receivable. Credit losses incurred on our accounts receivable during the three and six-month periods ended May 3, 2020, were immaterial, and we did not incur any credit losses on our accounts receivable during the three and six-month periods ended April 28, 2019.</w:t>
      </w:r>
    </w:p>
    <w:p>
      <w:pPr>
        <w:spacing w:after="0" w:line="188" w:lineRule="exact"/>
        <w:rPr>
          <w:sz w:val="20"/>
          <w:szCs w:val="20"/>
          <w:color w:val="auto"/>
        </w:rPr>
      </w:pPr>
    </w:p>
    <w:p>
      <w:pPr>
        <w:ind w:right="220" w:firstLine="324"/>
        <w:spacing w:after="0" w:line="255" w:lineRule="auto"/>
        <w:rPr>
          <w:sz w:val="20"/>
          <w:szCs w:val="20"/>
          <w:color w:val="auto"/>
        </w:rPr>
      </w:pPr>
      <w:r>
        <w:rPr>
          <w:rFonts w:ascii="Arial" w:cs="Arial" w:eastAsia="Arial" w:hAnsi="Arial"/>
          <w:sz w:val="18"/>
          <w:szCs w:val="18"/>
          <w:color w:val="auto"/>
        </w:rPr>
        <w:t>Our invoice terms generally range from net thirty to ninety days, depending on both the geographic market in which the transaction occurs and our payment agreements with specific customers. In the event that our evaluation of a customer’s business prospects and financial condition indicate that the customer presents a collectibility risk, we modify terms of sale, which may require payment in advance of performance. We have elected the practical expedient allowed under ASC Topic 606 “Revenue from Contracts with Customers” (“Topic 606”) that permits us not to adjust a contract’s promised amount of consideration to reflect a financing component when the period between when we transfer control of goods or services to customers and when we are paid is one year or less.</w:t>
      </w:r>
    </w:p>
    <w:p>
      <w:pPr>
        <w:spacing w:after="0" w:line="21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instances when we are paid in advance of our performance, we record a contract liability and, as allowed under the practical expedient in Topic 606, recognize interest expense only if the period between when we receive payment from the customer and the date when we expect to be entitled to the payment is greater than one year. Historically, advance payments we’ve received from customers have generally not preceded the completion of our performance obligations by more than one year.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52"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The following tables present our revenue for the three and six-month periods ended May 3, 2020 and April 28, 2019, disaggregated by product type, geographic origin, and timing of recognition. At the beginning of fiscal year 2020, we changed the threshold for the definition of high-end FPD, from G8 and above and active matrix organic light-emitting diode (AMOLED) display screens, to G10.5 and above, AMOLED, and low-temperature polysilicon display screens (LTPS), to reflect the overall advancement of technology in the FPD industry. Our definition of high-end IC products remains as 28 nanometer or smaller. The revenue by product type for the three and six-month periods ended April 28, 2019, presented below has been reclassified to conform to the current period presentation.</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4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20"/>
                <w:szCs w:val="20"/>
                <w:color w:val="auto"/>
              </w:rPr>
            </w:pPr>
          </w:p>
        </w:tc>
        <w:tc>
          <w:tcPr>
            <w:tcW w:w="2240" w:type="dxa"/>
            <w:vAlign w:val="bottom"/>
            <w:gridSpan w:val="5"/>
          </w:tcPr>
          <w:p>
            <w:pPr>
              <w:ind w:left="200"/>
              <w:spacing w:after="0"/>
              <w:rPr>
                <w:sz w:val="20"/>
                <w:szCs w:val="20"/>
                <w:color w:val="auto"/>
              </w:rPr>
            </w:pPr>
            <w:r>
              <w:rPr>
                <w:rFonts w:ascii="Arial" w:cs="Arial" w:eastAsia="Arial" w:hAnsi="Arial"/>
                <w:sz w:val="18"/>
                <w:szCs w:val="18"/>
                <w:b w:val="1"/>
                <w:bCs w:val="1"/>
                <w:color w:val="auto"/>
              </w:rPr>
              <w:t>Six Months Ended</w:t>
            </w:r>
          </w:p>
        </w:tc>
      </w:tr>
      <w:tr>
        <w:trPr>
          <w:trHeight w:val="223"/>
        </w:trPr>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May 3, 2020</w:t>
            </w:r>
          </w:p>
        </w:tc>
        <w:tc>
          <w:tcPr>
            <w:tcW w:w="112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3"/>
              </w:rPr>
              <w:t>April 28, 2019</w:t>
            </w:r>
          </w:p>
        </w:tc>
        <w:tc>
          <w:tcPr>
            <w:tcW w:w="220" w:type="dxa"/>
            <w:vAlign w:val="bottom"/>
          </w:tcPr>
          <w:p>
            <w:pPr>
              <w:spacing w:after="0"/>
              <w:rPr>
                <w:sz w:val="19"/>
                <w:szCs w:val="19"/>
                <w:color w:val="auto"/>
              </w:rPr>
            </w:pPr>
          </w:p>
        </w:tc>
        <w:tc>
          <w:tcPr>
            <w:tcW w:w="1320" w:type="dxa"/>
            <w:vAlign w:val="bottom"/>
            <w:tcBorders>
              <w:top w:val="single" w:sz="8" w:color="auto"/>
            </w:tcBorders>
            <w:gridSpan w:val="3"/>
          </w:tcPr>
          <w:p>
            <w:pPr>
              <w:jc w:val="right"/>
              <w:ind w:right="300"/>
              <w:spacing w:after="0"/>
              <w:rPr>
                <w:sz w:val="20"/>
                <w:szCs w:val="20"/>
                <w:color w:val="auto"/>
              </w:rPr>
            </w:pPr>
            <w:r>
              <w:rPr>
                <w:rFonts w:ascii="Arial" w:cs="Arial" w:eastAsia="Arial" w:hAnsi="Arial"/>
                <w:sz w:val="18"/>
                <w:szCs w:val="18"/>
                <w:b w:val="1"/>
                <w:bCs w:val="1"/>
                <w:color w:val="auto"/>
                <w:w w:val="99"/>
              </w:rPr>
              <w:t>May 3, 2020</w:t>
            </w:r>
          </w:p>
        </w:tc>
        <w:tc>
          <w:tcPr>
            <w:tcW w:w="112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3"/>
              </w:rPr>
              <w:t>April 28, 2019</w:t>
            </w:r>
          </w:p>
        </w:tc>
        <w:tc>
          <w:tcPr>
            <w:tcW w:w="100" w:type="dxa"/>
            <w:vAlign w:val="bottom"/>
          </w:tcPr>
          <w:p>
            <w:pPr>
              <w:spacing w:after="0"/>
              <w:rPr>
                <w:sz w:val="19"/>
                <w:szCs w:val="19"/>
                <w:color w:val="auto"/>
              </w:rPr>
            </w:pPr>
          </w:p>
        </w:tc>
      </w:tr>
      <w:tr>
        <w:trPr>
          <w:trHeight w:val="391"/>
        </w:trPr>
        <w:tc>
          <w:tcPr>
            <w:tcW w:w="3760" w:type="dxa"/>
            <w:vAlign w:val="bottom"/>
            <w:gridSpan w:val="5"/>
          </w:tcPr>
          <w:p>
            <w:pPr>
              <w:spacing w:after="0"/>
              <w:rPr>
                <w:sz w:val="20"/>
                <w:szCs w:val="20"/>
                <w:color w:val="auto"/>
              </w:rPr>
            </w:pPr>
            <w:r>
              <w:rPr>
                <w:rFonts w:ascii="Arial" w:cs="Arial" w:eastAsia="Arial" w:hAnsi="Arial"/>
                <w:sz w:val="18"/>
                <w:szCs w:val="18"/>
                <w:b w:val="1"/>
                <w:bCs w:val="1"/>
                <w:color w:val="auto"/>
              </w:rPr>
              <w:t>Revenue by Product Type</w:t>
            </w:r>
          </w:p>
        </w:tc>
        <w:tc>
          <w:tcPr>
            <w:tcW w:w="22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6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gridSpan w:val="3"/>
          </w:tcPr>
          <w:p>
            <w:pPr>
              <w:spacing w:after="0" w:line="196" w:lineRule="exact"/>
              <w:rPr>
                <w:sz w:val="20"/>
                <w:szCs w:val="20"/>
                <w:color w:val="auto"/>
              </w:rPr>
            </w:pPr>
            <w:r>
              <w:rPr>
                <w:rFonts w:ascii="Arial" w:cs="Arial" w:eastAsia="Arial" w:hAnsi="Arial"/>
                <w:sz w:val="18"/>
                <w:szCs w:val="18"/>
                <w:color w:val="auto"/>
              </w:rPr>
              <w:t>IC</w:t>
            </w:r>
          </w:p>
        </w:tc>
        <w:tc>
          <w:tcPr>
            <w:tcW w:w="17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
        </w:trPr>
        <w:tc>
          <w:tcPr>
            <w:tcW w:w="6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7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High-end</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38,267</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38,429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79,308</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72,995</w:t>
            </w:r>
          </w:p>
        </w:tc>
      </w:tr>
      <w:tr>
        <w:trPr>
          <w:trHeight w:val="223"/>
        </w:trPr>
        <w:tc>
          <w:tcPr>
            <w:tcW w:w="3760" w:type="dxa"/>
            <w:vAlign w:val="bottom"/>
            <w:gridSpan w:val="5"/>
          </w:tcPr>
          <w:p>
            <w:pPr>
              <w:spacing w:after="0"/>
              <w:rPr>
                <w:sz w:val="20"/>
                <w:szCs w:val="20"/>
                <w:color w:val="auto"/>
              </w:rPr>
            </w:pPr>
            <w:r>
              <w:rPr>
                <w:rFonts w:ascii="Arial" w:cs="Arial" w:eastAsia="Arial" w:hAnsi="Arial"/>
                <w:sz w:val="18"/>
                <w:szCs w:val="18"/>
                <w:color w:val="auto"/>
              </w:rPr>
              <w:t>Mainstream</w:t>
            </w:r>
          </w:p>
        </w:tc>
        <w:tc>
          <w:tcPr>
            <w:tcW w:w="2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58,579</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60,158</w:t>
            </w:r>
          </w:p>
        </w:tc>
        <w:tc>
          <w:tcPr>
            <w:tcW w:w="3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124,516</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120,471</w:t>
            </w:r>
          </w:p>
        </w:tc>
      </w:tr>
      <w:tr>
        <w:trPr>
          <w:trHeight w:val="223"/>
        </w:trPr>
        <w:tc>
          <w:tcPr>
            <w:tcW w:w="376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Total IC</w:t>
            </w:r>
          </w:p>
        </w:tc>
        <w:tc>
          <w:tcPr>
            <w:tcW w:w="2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96,846</w:t>
            </w:r>
          </w:p>
        </w:tc>
        <w:tc>
          <w:tcPr>
            <w:tcW w:w="2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98,587</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86"/>
              </w:rPr>
              <w:t>203,824</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193,466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34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w w:val="88"/>
              </w:rPr>
              <w:t>FPD</w:t>
            </w:r>
          </w:p>
        </w:tc>
        <w:tc>
          <w:tcPr>
            <w:tcW w:w="3420" w:type="dxa"/>
            <w:vAlign w:val="bottom"/>
            <w:tcBorders>
              <w:bottom w:val="single" w:sz="8" w:color="CCEEFF"/>
            </w:tcBorders>
            <w:gridSpan w:val="2"/>
            <w:shd w:val="clear" w:color="auto" w:fill="CCEEFF"/>
          </w:tcPr>
          <w:p>
            <w:pPr>
              <w:spacing w:after="0"/>
              <w:rPr>
                <w:sz w:val="17"/>
                <w:szCs w:val="17"/>
                <w:color w:val="auto"/>
              </w:rPr>
            </w:pPr>
          </w:p>
        </w:tc>
        <w:tc>
          <w:tcPr>
            <w:tcW w:w="2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3760" w:type="dxa"/>
            <w:vAlign w:val="bottom"/>
            <w:gridSpan w:val="5"/>
          </w:tcPr>
          <w:p>
            <w:pPr>
              <w:spacing w:after="0"/>
              <w:rPr>
                <w:sz w:val="20"/>
                <w:szCs w:val="20"/>
                <w:color w:val="auto"/>
              </w:rPr>
            </w:pPr>
            <w:r>
              <w:rPr>
                <w:rFonts w:ascii="Arial" w:cs="Arial" w:eastAsia="Arial" w:hAnsi="Arial"/>
                <w:sz w:val="18"/>
                <w:szCs w:val="18"/>
                <w:color w:val="auto"/>
              </w:rPr>
              <w:t>High-end</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31,809</w:t>
            </w:r>
          </w:p>
        </w:tc>
        <w:tc>
          <w:tcPr>
            <w:tcW w:w="26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22,051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71,579</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37,401</w:t>
            </w:r>
          </w:p>
        </w:tc>
      </w:tr>
      <w:tr>
        <w:trPr>
          <w:trHeight w:val="216"/>
        </w:trPr>
        <w:tc>
          <w:tcPr>
            <w:tcW w:w="37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Mainstream</w:t>
            </w:r>
          </w:p>
        </w:tc>
        <w:tc>
          <w:tcPr>
            <w:tcW w:w="2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14,119</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10,942</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27,107</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25,424</w:t>
            </w:r>
          </w:p>
        </w:tc>
      </w:tr>
      <w:tr>
        <w:trPr>
          <w:trHeight w:val="27"/>
        </w:trPr>
        <w:tc>
          <w:tcPr>
            <w:tcW w:w="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3760" w:type="dxa"/>
            <w:vAlign w:val="bottom"/>
            <w:gridSpan w:val="5"/>
          </w:tcPr>
          <w:p>
            <w:pPr>
              <w:spacing w:after="0"/>
              <w:rPr>
                <w:sz w:val="20"/>
                <w:szCs w:val="20"/>
                <w:color w:val="auto"/>
              </w:rPr>
            </w:pPr>
            <w:r>
              <w:rPr>
                <w:rFonts w:ascii="Arial" w:cs="Arial" w:eastAsia="Arial" w:hAnsi="Arial"/>
                <w:sz w:val="18"/>
                <w:szCs w:val="18"/>
                <w:color w:val="auto"/>
              </w:rPr>
              <w:t>Total FPD</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45,928</w:t>
            </w:r>
          </w:p>
        </w:tc>
        <w:tc>
          <w:tcPr>
            <w:tcW w:w="26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32,993</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98,686</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62,825</w:t>
            </w:r>
          </w:p>
        </w:tc>
      </w:tr>
      <w:tr>
        <w:trPr>
          <w:trHeight w:val="256"/>
        </w:trPr>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spacing w:after="0"/>
              <w:rPr>
                <w:sz w:val="22"/>
                <w:szCs w:val="22"/>
                <w:color w:val="auto"/>
              </w:rPr>
            </w:pPr>
          </w:p>
        </w:tc>
        <w:tc>
          <w:tcPr>
            <w:tcW w:w="2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142,774</w:t>
            </w:r>
          </w:p>
        </w:tc>
        <w:tc>
          <w:tcPr>
            <w:tcW w:w="2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131,580</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86"/>
              </w:rPr>
              <w:t>302,510</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256,291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346"/>
        </w:trPr>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220" w:type="dxa"/>
            <w:vAlign w:val="bottom"/>
          </w:tcPr>
          <w:p>
            <w:pPr>
              <w:jc w:val="right"/>
              <w:ind w:right="195"/>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2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4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20"/>
                <w:szCs w:val="20"/>
                <w:color w:val="auto"/>
              </w:rPr>
            </w:pPr>
          </w:p>
        </w:tc>
        <w:tc>
          <w:tcPr>
            <w:tcW w:w="2240" w:type="dxa"/>
            <w:vAlign w:val="bottom"/>
            <w:gridSpan w:val="5"/>
          </w:tcPr>
          <w:p>
            <w:pPr>
              <w:ind w:left="200"/>
              <w:spacing w:after="0"/>
              <w:rPr>
                <w:sz w:val="20"/>
                <w:szCs w:val="20"/>
                <w:color w:val="auto"/>
              </w:rPr>
            </w:pPr>
            <w:r>
              <w:rPr>
                <w:rFonts w:ascii="Arial" w:cs="Arial" w:eastAsia="Arial" w:hAnsi="Arial"/>
                <w:sz w:val="18"/>
                <w:szCs w:val="18"/>
                <w:b w:val="1"/>
                <w:bCs w:val="1"/>
                <w:color w:val="auto"/>
              </w:rPr>
              <w:t>Six Months Ended</w:t>
            </w:r>
          </w:p>
        </w:tc>
      </w:tr>
      <w:tr>
        <w:trPr>
          <w:trHeight w:val="223"/>
        </w:trPr>
        <w:tc>
          <w:tcPr>
            <w:tcW w:w="2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w w:val="91"/>
              </w:rPr>
              <w:t>May 3, 2020</w:t>
            </w:r>
          </w:p>
        </w:tc>
        <w:tc>
          <w:tcPr>
            <w:tcW w:w="112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3"/>
              </w:rPr>
              <w:t>April 28, 2019</w:t>
            </w:r>
          </w:p>
        </w:tc>
        <w:tc>
          <w:tcPr>
            <w:tcW w:w="220" w:type="dxa"/>
            <w:vAlign w:val="bottom"/>
          </w:tcPr>
          <w:p>
            <w:pPr>
              <w:spacing w:after="0"/>
              <w:rPr>
                <w:sz w:val="19"/>
                <w:szCs w:val="19"/>
                <w:color w:val="auto"/>
              </w:rPr>
            </w:pPr>
          </w:p>
        </w:tc>
        <w:tc>
          <w:tcPr>
            <w:tcW w:w="1320" w:type="dxa"/>
            <w:vAlign w:val="bottom"/>
            <w:tcBorders>
              <w:top w:val="single" w:sz="8" w:color="auto"/>
            </w:tcBorders>
            <w:gridSpan w:val="3"/>
          </w:tcPr>
          <w:p>
            <w:pPr>
              <w:jc w:val="right"/>
              <w:ind w:right="300"/>
              <w:spacing w:after="0"/>
              <w:rPr>
                <w:sz w:val="20"/>
                <w:szCs w:val="20"/>
                <w:color w:val="auto"/>
              </w:rPr>
            </w:pPr>
            <w:r>
              <w:rPr>
                <w:rFonts w:ascii="Arial" w:cs="Arial" w:eastAsia="Arial" w:hAnsi="Arial"/>
                <w:sz w:val="18"/>
                <w:szCs w:val="18"/>
                <w:b w:val="1"/>
                <w:bCs w:val="1"/>
                <w:color w:val="auto"/>
                <w:w w:val="99"/>
              </w:rPr>
              <w:t>May 3, 2020</w:t>
            </w:r>
          </w:p>
        </w:tc>
        <w:tc>
          <w:tcPr>
            <w:tcW w:w="112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3"/>
              </w:rPr>
              <w:t>April 28, 2019</w:t>
            </w:r>
          </w:p>
        </w:tc>
        <w:tc>
          <w:tcPr>
            <w:tcW w:w="100" w:type="dxa"/>
            <w:vAlign w:val="bottom"/>
          </w:tcPr>
          <w:p>
            <w:pPr>
              <w:spacing w:after="0"/>
              <w:rPr>
                <w:sz w:val="19"/>
                <w:szCs w:val="19"/>
                <w:color w:val="auto"/>
              </w:rPr>
            </w:pPr>
          </w:p>
        </w:tc>
      </w:tr>
      <w:tr>
        <w:trPr>
          <w:trHeight w:val="392"/>
        </w:trPr>
        <w:tc>
          <w:tcPr>
            <w:tcW w:w="5980" w:type="dxa"/>
            <w:vAlign w:val="bottom"/>
            <w:gridSpan w:val="3"/>
          </w:tcPr>
          <w:p>
            <w:pPr>
              <w:spacing w:after="0"/>
              <w:rPr>
                <w:sz w:val="20"/>
                <w:szCs w:val="20"/>
                <w:color w:val="auto"/>
              </w:rPr>
            </w:pPr>
            <w:r>
              <w:rPr>
                <w:rFonts w:ascii="Arial" w:cs="Arial" w:eastAsia="Arial" w:hAnsi="Arial"/>
                <w:sz w:val="18"/>
                <w:szCs w:val="18"/>
                <w:b w:val="1"/>
                <w:bCs w:val="1"/>
                <w:color w:val="auto"/>
              </w:rPr>
              <w:t>Revenue by Geographic Origin</w:t>
            </w:r>
          </w:p>
        </w:tc>
        <w:tc>
          <w:tcPr>
            <w:tcW w:w="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240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Taiwan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55,513</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56,469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121,626</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114,209</w:t>
            </w: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Korea</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36,261</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38,038</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76,997</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73,275</w:t>
            </w: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United States</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24,857</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26,742</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49,925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49,215</w:t>
            </w: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China</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17,486</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1,467</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37,386</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1,730</w:t>
            </w: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Europe</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8,331</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8,435</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15,874</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16,788</w:t>
            </w:r>
          </w:p>
        </w:tc>
      </w:tr>
      <w:tr>
        <w:trPr>
          <w:trHeight w:val="223"/>
        </w:trPr>
        <w:tc>
          <w:tcPr>
            <w:tcW w:w="5980" w:type="dxa"/>
            <w:vAlign w:val="bottom"/>
            <w:gridSpan w:val="3"/>
          </w:tcPr>
          <w:p>
            <w:pPr>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326</w:t>
            </w:r>
          </w:p>
        </w:tc>
        <w:tc>
          <w:tcPr>
            <w:tcW w:w="3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429</w:t>
            </w:r>
          </w:p>
        </w:tc>
        <w:tc>
          <w:tcPr>
            <w:tcW w:w="3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702</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1,074</w:t>
            </w:r>
          </w:p>
        </w:tc>
      </w:tr>
      <w:tr>
        <w:trPr>
          <w:trHeight w:val="257"/>
        </w:trPr>
        <w:tc>
          <w:tcPr>
            <w:tcW w:w="24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33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142,774</w:t>
            </w:r>
          </w:p>
        </w:tc>
        <w:tc>
          <w:tcPr>
            <w:tcW w:w="2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131,580</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302,510</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256,291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59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Revenue by Timing of Recognition</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6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Over time</w:t>
            </w: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126,071</w:t>
            </w:r>
          </w:p>
        </w:tc>
        <w:tc>
          <w:tcPr>
            <w:tcW w:w="2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123,853</w:t>
            </w:r>
          </w:p>
        </w:tc>
        <w:tc>
          <w:tcPr>
            <w:tcW w:w="300" w:type="dxa"/>
            <w:vAlign w:val="bottom"/>
            <w:tcBorders>
              <w:top w:val="single" w:sz="8" w:color="CCEEFF"/>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263,905</w:t>
            </w:r>
          </w:p>
        </w:tc>
        <w:tc>
          <w:tcPr>
            <w:tcW w:w="3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244,699</w:t>
            </w: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At a point in time</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16,703</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7,727</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38,605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11,592</w:t>
            </w:r>
          </w:p>
        </w:tc>
      </w:tr>
      <w:tr>
        <w:trPr>
          <w:trHeight w:val="27"/>
        </w:trPr>
        <w:tc>
          <w:tcPr>
            <w:tcW w:w="24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142,774</w:t>
            </w:r>
          </w:p>
        </w:tc>
        <w:tc>
          <w:tcPr>
            <w:tcW w:w="26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131,580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302,510</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256,291</w:t>
            </w:r>
          </w:p>
        </w:tc>
      </w:tr>
      <w:tr>
        <w:trPr>
          <w:trHeight w:val="21"/>
        </w:trPr>
        <w:tc>
          <w:tcPr>
            <w:tcW w:w="2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252"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pay commissions to third-party sales agents for certain sales that they obtain for us. However, the bases of the commissions are the transaction prices of the sales, which are completed in less than one year; thus, no relationship is established with a customer that will result in future business. Therefore, we would not recognize any portion of these sales commissions as costs of obtaining a contract, nor do we currently foresee other circumstances under which we would recognize such assets.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52" w:lineRule="exact"/>
        <w:rPr>
          <w:sz w:val="20"/>
          <w:szCs w:val="20"/>
          <w:color w:val="auto"/>
        </w:rPr>
      </w:pPr>
    </w:p>
    <w:p>
      <w:pPr>
        <w:jc w:val="both"/>
        <w:ind w:right="120" w:firstLine="324"/>
        <w:spacing w:after="0" w:line="259" w:lineRule="auto"/>
        <w:rPr>
          <w:sz w:val="20"/>
          <w:szCs w:val="20"/>
          <w:color w:val="auto"/>
        </w:rPr>
      </w:pPr>
      <w:r>
        <w:rPr>
          <w:rFonts w:ascii="Arial" w:cs="Arial" w:eastAsia="Arial" w:hAnsi="Arial"/>
          <w:sz w:val="18"/>
          <w:szCs w:val="18"/>
          <w:color w:val="auto"/>
        </w:rPr>
        <w:t>As we are typically required to fulfill customer orders within a short time period, our backlog of orders is generally not in excess of one to two weeks for IC photomasks and two to three weeks for FPD photomasks. As allowed under Topic 606, we have elected not to disclose our remaining performance obligations, which represent the costs associated with the completion of the manufacturing process of in-process photomasks related to contracts that have an original duration of one year or less.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Similar Taxes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report our revenue net of any sales or similar taxes we collect on behalf of governmental entities.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Warranty</w:t>
      </w:r>
    </w:p>
    <w:p>
      <w:pPr>
        <w:spacing w:after="0" w:line="252"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Our photomasks are sold under warranties that generally range from one to twenty-four months. We warrant that our photomasks conform to customer specifications, and will typically repair, replace, or issue a refund for, at our option, any photomasks that fail to do so. The warranties do not represent separate performance obligations in our revenue contracts. Historically, customer claims under warranty have been immaterial.</w:t>
      </w:r>
    </w:p>
    <w:p>
      <w:pPr>
        <w:spacing w:after="0"/>
        <w:rPr>
          <w:sz w:val="20"/>
          <w:szCs w:val="20"/>
          <w:color w:val="auto"/>
        </w:rPr>
      </w:pPr>
      <w:r>
        <w:rPr>
          <w:rFonts w:ascii="Arial" w:cs="Arial" w:eastAsia="Arial" w:hAnsi="Arial"/>
          <w:sz w:val="18"/>
          <w:szCs w:val="18"/>
          <w:b w:val="1"/>
          <w:bCs w:val="1"/>
          <w:color w:val="auto"/>
        </w:rPr>
        <w:t>NOTE 7 – LEASES</w:t>
      </w:r>
    </w:p>
    <w:p>
      <w:pPr>
        <w:spacing w:after="0" w:line="23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adopted Accounting Standards Update (“ASU”) 2016-02 and all subsequent amendments, collectively codified in ASC Topic 842 “Leases” (“Topic 842”), on November 1, 2019. The guidance requires modified retrospective adoption, either at the beginning of the earliest period presented or at the beginning of the period of adoption. We elected to apply the guidance at the beginning of the period of adoption and recorded, as of November 1, 2019, right-of-use (ROU) leased assets of $6.5 million. In conjunction with this, we recorded lease liabilities, which had been discounted at our incremental borrowing rates, of $6.5 million.</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guidance allows a number of elections and practical expedients, of which we elected the following:</w:t>
      </w:r>
    </w:p>
    <w:p>
      <w:pPr>
        <w:spacing w:after="0" w:line="252" w:lineRule="exact"/>
        <w:rPr>
          <w:sz w:val="20"/>
          <w:szCs w:val="20"/>
          <w:color w:val="auto"/>
        </w:rPr>
      </w:pPr>
    </w:p>
    <w:p>
      <w:pPr>
        <w:ind w:left="1140" w:hanging="32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Election not to recognize short-term leases on the balance sheet.</w:t>
      </w:r>
    </w:p>
    <w:p>
      <w:pPr>
        <w:spacing w:after="0" w:line="23" w:lineRule="exact"/>
        <w:rPr>
          <w:rFonts w:ascii="Arial" w:cs="Arial" w:eastAsia="Arial" w:hAnsi="Arial"/>
          <w:sz w:val="18"/>
          <w:szCs w:val="18"/>
          <w:color w:val="auto"/>
        </w:rPr>
      </w:pPr>
    </w:p>
    <w:p>
      <w:pPr>
        <w:ind w:left="1140" w:hanging="32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Practical expedient to not separate lease and non-lease components in a contract.</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Practical expedient “package” for transitioning to the new guidance:</w:t>
      </w:r>
    </w:p>
    <w:p>
      <w:pPr>
        <w:spacing w:after="0" w:line="9" w:lineRule="exact"/>
        <w:rPr>
          <w:rFonts w:ascii="Arial" w:cs="Arial" w:eastAsia="Arial" w:hAnsi="Arial"/>
          <w:sz w:val="18"/>
          <w:szCs w:val="18"/>
          <w:color w:val="auto"/>
        </w:rPr>
      </w:pPr>
    </w:p>
    <w:p>
      <w:pPr>
        <w:ind w:left="1800" w:hanging="334"/>
        <w:spacing w:after="0"/>
        <w:tabs>
          <w:tab w:leader="none" w:pos="1800" w:val="left"/>
        </w:tabs>
        <w:numPr>
          <w:ilvl w:val="1"/>
          <w:numId w:val="3"/>
        </w:numPr>
        <w:rPr>
          <w:rFonts w:ascii="Arial" w:cs="Arial" w:eastAsia="Arial" w:hAnsi="Arial"/>
          <w:sz w:val="18"/>
          <w:szCs w:val="18"/>
          <w:color w:val="auto"/>
        </w:rPr>
      </w:pPr>
      <w:r>
        <w:rPr>
          <w:rFonts w:ascii="Arial" w:cs="Arial" w:eastAsia="Arial" w:hAnsi="Arial"/>
          <w:sz w:val="18"/>
          <w:szCs w:val="18"/>
          <w:color w:val="auto"/>
        </w:rPr>
        <w:t>Not reassessing whether any expired or existing contracts are, or contain, leases.</w:t>
      </w:r>
    </w:p>
    <w:p>
      <w:pPr>
        <w:spacing w:after="0" w:line="9" w:lineRule="exact"/>
        <w:rPr>
          <w:rFonts w:ascii="Arial" w:cs="Arial" w:eastAsia="Arial" w:hAnsi="Arial"/>
          <w:sz w:val="18"/>
          <w:szCs w:val="18"/>
          <w:color w:val="auto"/>
        </w:rPr>
      </w:pPr>
    </w:p>
    <w:p>
      <w:pPr>
        <w:ind w:left="1800" w:hanging="334"/>
        <w:spacing w:after="0"/>
        <w:tabs>
          <w:tab w:leader="none" w:pos="1800" w:val="left"/>
        </w:tabs>
        <w:numPr>
          <w:ilvl w:val="1"/>
          <w:numId w:val="3"/>
        </w:numPr>
        <w:rPr>
          <w:rFonts w:ascii="Arial" w:cs="Arial" w:eastAsia="Arial" w:hAnsi="Arial"/>
          <w:sz w:val="18"/>
          <w:szCs w:val="18"/>
          <w:color w:val="auto"/>
        </w:rPr>
      </w:pPr>
      <w:r>
        <w:rPr>
          <w:rFonts w:ascii="Arial" w:cs="Arial" w:eastAsia="Arial" w:hAnsi="Arial"/>
          <w:sz w:val="18"/>
          <w:szCs w:val="18"/>
          <w:color w:val="auto"/>
        </w:rPr>
        <w:t>Not reassessing lease classification for any existing or expired leases.</w:t>
      </w:r>
    </w:p>
    <w:p>
      <w:pPr>
        <w:spacing w:after="0" w:line="9" w:lineRule="exact"/>
        <w:rPr>
          <w:rFonts w:ascii="Arial" w:cs="Arial" w:eastAsia="Arial" w:hAnsi="Arial"/>
          <w:sz w:val="18"/>
          <w:szCs w:val="18"/>
          <w:color w:val="auto"/>
        </w:rPr>
      </w:pPr>
    </w:p>
    <w:p>
      <w:pPr>
        <w:ind w:left="1800" w:hanging="334"/>
        <w:spacing w:after="0"/>
        <w:tabs>
          <w:tab w:leader="none" w:pos="1800" w:val="left"/>
        </w:tabs>
        <w:numPr>
          <w:ilvl w:val="1"/>
          <w:numId w:val="3"/>
        </w:numPr>
        <w:rPr>
          <w:rFonts w:ascii="Arial" w:cs="Arial" w:eastAsia="Arial" w:hAnsi="Arial"/>
          <w:sz w:val="18"/>
          <w:szCs w:val="18"/>
          <w:color w:val="auto"/>
        </w:rPr>
      </w:pPr>
      <w:r>
        <w:rPr>
          <w:rFonts w:ascii="Arial" w:cs="Arial" w:eastAsia="Arial" w:hAnsi="Arial"/>
          <w:sz w:val="18"/>
          <w:szCs w:val="18"/>
          <w:color w:val="auto"/>
        </w:rPr>
        <w:t>Not reassessing initial direct costs for any existing leases.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7" w:name="page18"/>
    <w:bookmarkEnd w:id="17"/>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Our involvement in lease arrangements has typically been as a lessee. We determine if an agreement is or contains a lease on the date of the lease agreement or commitment, if earlier. Our evaluation considers whether the arrangement includes an identified asset and whether it affords us the right to control the asset. Our having the right to control the identified asset is determined by whether we are entitled to substantially all of its economic benefits and can direct its use.</w:t>
      </w:r>
    </w:p>
    <w:p>
      <w:pPr>
        <w:spacing w:after="0" w:line="214"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We recognize leases on our consolidated balance sheet when a lessor makes an asset underlying a lease having a term in excess of twelve months available for our use. The present value of lease payments over the term of the lease, which is determined using our incremental borrowing rate for collateralized loans at the commencement date of the lease, provides the basis for the initial measurement of ROU assets and their related lease liabilities. Variable lease payments, other than those that are dependent on an index or on a rate, are not included in the measurement of ROU assets and their related lease liabilities. Lease terms will include extension periods if the lease agreement includes an option to extend the lease that we are reasonably certain to exercise.</w:t>
      </w:r>
    </w:p>
    <w:p>
      <w:pPr>
        <w:spacing w:after="0" w:line="219" w:lineRule="exact"/>
        <w:rPr>
          <w:sz w:val="20"/>
          <w:szCs w:val="20"/>
          <w:color w:val="auto"/>
        </w:rPr>
      </w:pPr>
    </w:p>
    <w:p>
      <w:pPr>
        <w:ind w:right="100" w:firstLine="323"/>
        <w:spacing w:after="0" w:line="259" w:lineRule="auto"/>
        <w:rPr>
          <w:sz w:val="20"/>
          <w:szCs w:val="20"/>
          <w:color w:val="auto"/>
        </w:rPr>
      </w:pPr>
      <w:r>
        <w:rPr>
          <w:rFonts w:ascii="Arial" w:cs="Arial" w:eastAsia="Arial" w:hAnsi="Arial"/>
          <w:sz w:val="18"/>
          <w:szCs w:val="18"/>
          <w:color w:val="auto"/>
        </w:rPr>
        <w:t>ROU assets underlying our leases include the land and facilities of some of our operating facilities, other real property, and machinery and equipment. As of May 3, 2020, we had ROU assets under operating leases of $6.5 million, included in “Other Assets”, and $1.8 and $4.1 million of lease liabilities, included in Accrued liabilities and Other liabilities, respectively. The following tables present lease payments under non-cancellable leases as of May 3, 2020.</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8"/>
                <w:szCs w:val="18"/>
                <w:b w:val="1"/>
                <w:bCs w:val="1"/>
                <w:color w:val="auto"/>
              </w:rPr>
              <w:t>Fiscal Year</w:t>
            </w: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ind w:left="20"/>
              <w:spacing w:after="0" w:line="198" w:lineRule="exact"/>
              <w:rPr>
                <w:sz w:val="20"/>
                <w:szCs w:val="20"/>
                <w:color w:val="auto"/>
              </w:rPr>
            </w:pPr>
            <w:r>
              <w:rPr>
                <w:rFonts w:ascii="Arial" w:cs="Arial" w:eastAsia="Arial" w:hAnsi="Arial"/>
                <w:sz w:val="18"/>
                <w:szCs w:val="18"/>
                <w:b w:val="1"/>
                <w:bCs w:val="1"/>
                <w:color w:val="auto"/>
                <w:w w:val="86"/>
              </w:rPr>
              <w:t>Total Lease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line="198" w:lineRule="exact"/>
              <w:rPr>
                <w:sz w:val="20"/>
                <w:szCs w:val="20"/>
                <w:color w:val="auto"/>
              </w:rPr>
            </w:pPr>
            <w:r>
              <w:rPr>
                <w:rFonts w:ascii="Arial" w:cs="Arial" w:eastAsia="Arial" w:hAnsi="Arial"/>
                <w:sz w:val="18"/>
                <w:szCs w:val="18"/>
                <w:b w:val="1"/>
                <w:bCs w:val="1"/>
                <w:color w:val="auto"/>
              </w:rPr>
              <w:t>Imputed</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b w:val="1"/>
                <w:bCs w:val="1"/>
                <w:color w:val="auto"/>
              </w:rPr>
              <w:t>2024</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3"/>
          </w:tcPr>
          <w:p>
            <w:pPr>
              <w:ind w:left="40"/>
              <w:spacing w:after="0"/>
              <w:rPr>
                <w:sz w:val="20"/>
                <w:szCs w:val="20"/>
                <w:color w:val="auto"/>
              </w:rPr>
            </w:pPr>
            <w:r>
              <w:rPr>
                <w:rFonts w:ascii="Arial" w:cs="Arial" w:eastAsia="Arial" w:hAnsi="Arial"/>
                <w:sz w:val="18"/>
                <w:szCs w:val="18"/>
                <w:b w:val="1"/>
                <w:bCs w:val="1"/>
                <w:color w:val="auto"/>
              </w:rPr>
              <w:t>Thereafter</w:t>
            </w:r>
          </w:p>
        </w:tc>
        <w:tc>
          <w:tcPr>
            <w:tcW w:w="1120" w:type="dxa"/>
            <w:vAlign w:val="bottom"/>
            <w:gridSpan w:val="3"/>
          </w:tcPr>
          <w:p>
            <w:pPr>
              <w:ind w:left="80"/>
              <w:spacing w:after="0"/>
              <w:rPr>
                <w:sz w:val="20"/>
                <w:szCs w:val="20"/>
                <w:color w:val="auto"/>
              </w:rPr>
            </w:pPr>
            <w:r>
              <w:rPr>
                <w:rFonts w:ascii="Arial" w:cs="Arial" w:eastAsia="Arial" w:hAnsi="Arial"/>
                <w:sz w:val="18"/>
                <w:szCs w:val="18"/>
                <w:b w:val="1"/>
                <w:bCs w:val="1"/>
                <w:color w:val="auto"/>
              </w:rPr>
              <w:t>Payments</w:t>
            </w:r>
          </w:p>
        </w:tc>
        <w:tc>
          <w:tcPr>
            <w:tcW w:w="100" w:type="dxa"/>
            <w:vAlign w:val="bottom"/>
          </w:tcPr>
          <w:p>
            <w:pPr>
              <w:spacing w:after="0"/>
              <w:rPr>
                <w:sz w:val="20"/>
                <w:szCs w:val="20"/>
                <w:color w:val="auto"/>
              </w:rPr>
            </w:pPr>
          </w:p>
        </w:tc>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Interest*</w:t>
            </w:r>
          </w:p>
        </w:tc>
        <w:tc>
          <w:tcPr>
            <w:tcW w:w="180" w:type="dxa"/>
            <w:vAlign w:val="bottom"/>
          </w:tcPr>
          <w:p>
            <w:pPr>
              <w:spacing w:after="0"/>
              <w:rPr>
                <w:sz w:val="20"/>
                <w:szCs w:val="20"/>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r>
      <w:tr>
        <w:trPr>
          <w:trHeight w:val="202"/>
        </w:trPr>
        <w:tc>
          <w:tcPr>
            <w:tcW w:w="1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Lease</w:t>
            </w: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996</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1,802</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787</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444</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391</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5,851</w:t>
            </w:r>
          </w:p>
        </w:tc>
      </w:tr>
      <w:tr>
        <w:trPr>
          <w:trHeight w:val="27"/>
        </w:trPr>
        <w:tc>
          <w:tcPr>
            <w:tcW w:w="10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*Imputed interest represents difference between undiscounted cash flows and discounted cash flows.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lease costs for the three and six-month periods ended May 3, 2020.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740" w:type="dxa"/>
            <w:vAlign w:val="bottom"/>
            <w:gridSpan w:val="3"/>
          </w:tcPr>
          <w:p>
            <w:pPr>
              <w:spacing w:after="0"/>
              <w:rPr>
                <w:sz w:val="20"/>
                <w:szCs w:val="20"/>
                <w:color w:val="auto"/>
              </w:rPr>
            </w:pPr>
            <w:r>
              <w:rPr>
                <w:rFonts w:ascii="Arial" w:cs="Arial" w:eastAsia="Arial" w:hAnsi="Arial"/>
                <w:sz w:val="18"/>
                <w:szCs w:val="18"/>
                <w:b w:val="1"/>
                <w:bCs w:val="1"/>
                <w:color w:val="auto"/>
                <w:w w:val="96"/>
              </w:rPr>
              <w:t>Three Months Ended</w:t>
            </w:r>
          </w:p>
        </w:tc>
        <w:tc>
          <w:tcPr>
            <w:tcW w:w="1640" w:type="dxa"/>
            <w:vAlign w:val="bottom"/>
            <w:gridSpan w:val="4"/>
          </w:tcPr>
          <w:p>
            <w:pPr>
              <w:ind w:left="120"/>
              <w:spacing w:after="0"/>
              <w:rPr>
                <w:sz w:val="20"/>
                <w:szCs w:val="20"/>
                <w:color w:val="auto"/>
              </w:rPr>
            </w:pPr>
            <w:r>
              <w:rPr>
                <w:rFonts w:ascii="Arial" w:cs="Arial" w:eastAsia="Arial" w:hAnsi="Arial"/>
                <w:sz w:val="18"/>
                <w:szCs w:val="18"/>
                <w:b w:val="1"/>
                <w:bCs w:val="1"/>
                <w:color w:val="auto"/>
                <w:w w:val="96"/>
              </w:rPr>
              <w:t>Six Months Ended</w:t>
            </w:r>
          </w:p>
        </w:tc>
        <w:tc>
          <w:tcPr>
            <w:tcW w:w="0" w:type="dxa"/>
            <w:vAlign w:val="bottom"/>
          </w:tcPr>
          <w:p>
            <w:pPr>
              <w:spacing w:after="0"/>
              <w:rPr>
                <w:sz w:val="1"/>
                <w:szCs w:val="1"/>
                <w:color w:val="auto"/>
              </w:rPr>
            </w:pPr>
          </w:p>
        </w:tc>
      </w:tr>
      <w:tr>
        <w:trPr>
          <w:trHeight w:val="223"/>
        </w:trPr>
        <w:tc>
          <w:tcPr>
            <w:tcW w:w="29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May 3, 2020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May 3, 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gridSpan w:val="2"/>
          </w:tcPr>
          <w:p>
            <w:pPr>
              <w:spacing w:after="0"/>
              <w:rPr>
                <w:sz w:val="19"/>
                <w:szCs w:val="19"/>
                <w:color w:val="auto"/>
              </w:rPr>
            </w:pPr>
          </w:p>
        </w:tc>
        <w:tc>
          <w:tcPr>
            <w:tcW w:w="13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lease costs</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gridSpan w:val="2"/>
          </w:tcPr>
          <w:p>
            <w:pPr>
              <w:spacing w:after="0"/>
              <w:rPr>
                <w:sz w:val="20"/>
                <w:szCs w:val="20"/>
                <w:color w:val="auto"/>
              </w:rPr>
            </w:pPr>
            <w:r>
              <w:rPr>
                <w:rFonts w:ascii="Arial" w:cs="Arial" w:eastAsia="Arial" w:hAnsi="Arial"/>
                <w:sz w:val="18"/>
                <w:szCs w:val="18"/>
                <w:color w:val="auto"/>
              </w:rPr>
              <w:t>Short-tern lease costs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9"/>
                <w:szCs w:val="19"/>
                <w:color w:val="auto"/>
              </w:rPr>
            </w:pP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23"/>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Variable lease costs</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7860" w:type="dxa"/>
            <w:vAlign w:val="bottom"/>
            <w:tcBorders>
              <w:top w:val="single" w:sz="8" w:color="CCEEFF"/>
            </w:tcBorders>
            <w:gridSpan w:val="2"/>
          </w:tcPr>
          <w:p>
            <w:pPr>
              <w:ind w:left="340"/>
              <w:spacing w:after="0"/>
              <w:rPr>
                <w:sz w:val="20"/>
                <w:szCs w:val="20"/>
                <w:color w:val="auto"/>
              </w:rPr>
            </w:pPr>
            <w:r>
              <w:rPr>
                <w:rFonts w:ascii="Arial" w:cs="Arial" w:eastAsia="Arial" w:hAnsi="Arial"/>
                <w:sz w:val="18"/>
                <w:szCs w:val="18"/>
                <w:color w:val="auto"/>
              </w:rPr>
              <w:t>Presented below is other information related to our operating leases.</w:t>
            </w:r>
          </w:p>
        </w:tc>
        <w:tc>
          <w:tcPr>
            <w:tcW w:w="24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860" w:type="dxa"/>
            <w:vAlign w:val="bottom"/>
            <w:gridSpan w:val="2"/>
          </w:tcPr>
          <w:p>
            <w:pPr>
              <w:spacing w:after="0"/>
              <w:rPr>
                <w:sz w:val="20"/>
                <w:szCs w:val="20"/>
                <w:color w:val="auto"/>
              </w:rPr>
            </w:pPr>
            <w:r>
              <w:rPr>
                <w:rFonts w:ascii="Arial" w:cs="Arial" w:eastAsia="Arial" w:hAnsi="Arial"/>
                <w:sz w:val="18"/>
                <w:szCs w:val="18"/>
                <w:b w:val="1"/>
                <w:bCs w:val="1"/>
                <w:color w:val="auto"/>
              </w:rPr>
              <w:t>Supplemental cash flows information:</w:t>
            </w:r>
          </w:p>
        </w:tc>
        <w:tc>
          <w:tcPr>
            <w:tcW w:w="1740" w:type="dxa"/>
            <w:vAlign w:val="bottom"/>
            <w:gridSpan w:val="3"/>
            <w:vMerge w:val="restart"/>
          </w:tcPr>
          <w:p>
            <w:pPr>
              <w:spacing w:after="0"/>
              <w:rPr>
                <w:sz w:val="20"/>
                <w:szCs w:val="20"/>
                <w:color w:val="auto"/>
              </w:rPr>
            </w:pPr>
            <w:r>
              <w:rPr>
                <w:rFonts w:ascii="Arial" w:cs="Arial" w:eastAsia="Arial" w:hAnsi="Arial"/>
                <w:sz w:val="18"/>
                <w:szCs w:val="18"/>
                <w:b w:val="1"/>
                <w:bCs w:val="1"/>
                <w:color w:val="auto"/>
                <w:w w:val="96"/>
              </w:rPr>
              <w:t>Three Months Ended</w:t>
            </w:r>
          </w:p>
        </w:tc>
        <w:tc>
          <w:tcPr>
            <w:tcW w:w="1640" w:type="dxa"/>
            <w:vAlign w:val="bottom"/>
            <w:gridSpan w:val="4"/>
            <w:vMerge w:val="restart"/>
          </w:tcPr>
          <w:p>
            <w:pPr>
              <w:ind w:left="120"/>
              <w:spacing w:after="0"/>
              <w:rPr>
                <w:sz w:val="20"/>
                <w:szCs w:val="20"/>
                <w:color w:val="auto"/>
              </w:rPr>
            </w:pPr>
            <w:r>
              <w:rPr>
                <w:rFonts w:ascii="Arial" w:cs="Arial" w:eastAsia="Arial" w:hAnsi="Arial"/>
                <w:sz w:val="18"/>
                <w:szCs w:val="18"/>
                <w:b w:val="1"/>
                <w:bCs w:val="1"/>
                <w:color w:val="auto"/>
                <w:w w:val="96"/>
              </w:rPr>
              <w:t>Six Months Ended</w:t>
            </w:r>
          </w:p>
        </w:tc>
        <w:tc>
          <w:tcPr>
            <w:tcW w:w="0" w:type="dxa"/>
            <w:vAlign w:val="bottom"/>
          </w:tcPr>
          <w:p>
            <w:pPr>
              <w:spacing w:after="0"/>
              <w:rPr>
                <w:sz w:val="1"/>
                <w:szCs w:val="1"/>
                <w:color w:val="auto"/>
              </w:rPr>
            </w:pPr>
          </w:p>
        </w:tc>
      </w:tr>
      <w:tr>
        <w:trPr>
          <w:trHeight w:val="244"/>
        </w:trPr>
        <w:tc>
          <w:tcPr>
            <w:tcW w:w="2920" w:type="dxa"/>
            <w:vAlign w:val="bottom"/>
            <w:tcBorders>
              <w:top w:val="single" w:sz="8" w:color="auto"/>
            </w:tcBorders>
          </w:tcPr>
          <w:p>
            <w:pPr>
              <w:spacing w:after="0"/>
              <w:rPr>
                <w:sz w:val="21"/>
                <w:szCs w:val="21"/>
                <w:color w:val="auto"/>
              </w:rPr>
            </w:pPr>
          </w:p>
        </w:tc>
        <w:tc>
          <w:tcPr>
            <w:tcW w:w="4940" w:type="dxa"/>
            <w:vAlign w:val="bottom"/>
          </w:tcPr>
          <w:p>
            <w:pPr>
              <w:spacing w:after="0"/>
              <w:rPr>
                <w:sz w:val="21"/>
                <w:szCs w:val="21"/>
                <w:color w:val="auto"/>
              </w:rPr>
            </w:pPr>
          </w:p>
        </w:tc>
        <w:tc>
          <w:tcPr>
            <w:tcW w:w="1740" w:type="dxa"/>
            <w:vAlign w:val="bottom"/>
            <w:gridSpan w:val="3"/>
            <w:vMerge w:val="continue"/>
          </w:tcPr>
          <w:p>
            <w:pPr>
              <w:spacing w:after="0"/>
              <w:rPr>
                <w:sz w:val="21"/>
                <w:szCs w:val="21"/>
                <w:color w:val="auto"/>
              </w:rPr>
            </w:pPr>
          </w:p>
        </w:tc>
        <w:tc>
          <w:tcPr>
            <w:tcW w:w="1640" w:type="dxa"/>
            <w:vAlign w:val="bottom"/>
            <w:gridSpan w:val="4"/>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9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May 3, 2020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May 3, 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gridSpan w:val="2"/>
          </w:tcPr>
          <w:p>
            <w:pPr>
              <w:spacing w:after="0"/>
              <w:rPr>
                <w:sz w:val="19"/>
                <w:szCs w:val="19"/>
                <w:color w:val="auto"/>
              </w:rPr>
            </w:pPr>
          </w:p>
        </w:tc>
        <w:tc>
          <w:tcPr>
            <w:tcW w:w="13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cash flows used for operating leases</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ROU assets obtained in exchange for lease obligations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8"/>
                <w:szCs w:val="18"/>
                <w:color w:val="auto"/>
              </w:rPr>
            </w:pP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2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As of</w:t>
            </w:r>
          </w:p>
        </w:tc>
        <w:tc>
          <w:tcPr>
            <w:tcW w:w="3380" w:type="dxa"/>
            <w:vAlign w:val="bottom"/>
          </w:tcPr>
          <w:p>
            <w:pPr>
              <w:spacing w:after="0"/>
              <w:rPr>
                <w:sz w:val="20"/>
                <w:szCs w:val="20"/>
                <w:color w:val="auto"/>
              </w:rPr>
            </w:pPr>
          </w:p>
        </w:tc>
      </w:tr>
      <w:tr>
        <w:trPr>
          <w:trHeight w:val="223"/>
        </w:trPr>
        <w:tc>
          <w:tcPr>
            <w:tcW w:w="420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May 3, 2020</w:t>
            </w:r>
          </w:p>
        </w:tc>
        <w:tc>
          <w:tcPr>
            <w:tcW w:w="160" w:type="dxa"/>
            <w:vAlign w:val="bottom"/>
          </w:tcPr>
          <w:p>
            <w:pPr>
              <w:spacing w:after="0"/>
              <w:rPr>
                <w:sz w:val="19"/>
                <w:szCs w:val="19"/>
                <w:color w:val="auto"/>
              </w:rPr>
            </w:pPr>
          </w:p>
        </w:tc>
        <w:tc>
          <w:tcPr>
            <w:tcW w:w="3380" w:type="dxa"/>
            <w:vAlign w:val="bottom"/>
          </w:tcPr>
          <w:p>
            <w:pPr>
              <w:spacing w:after="0"/>
              <w:rPr>
                <w:sz w:val="19"/>
                <w:szCs w:val="19"/>
                <w:color w:val="auto"/>
              </w:rPr>
            </w:pPr>
          </w:p>
        </w:tc>
      </w:tr>
      <w:tr>
        <w:trPr>
          <w:trHeight w:val="216"/>
        </w:trPr>
        <w:tc>
          <w:tcPr>
            <w:tcW w:w="42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remaining lease term</w:t>
            </w:r>
          </w:p>
        </w:tc>
        <w:tc>
          <w:tcPr>
            <w:tcW w:w="2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 years</w:t>
            </w:r>
          </w:p>
        </w:tc>
        <w:tc>
          <w:tcPr>
            <w:tcW w:w="3380" w:type="dxa"/>
            <w:vAlign w:val="bottom"/>
          </w:tcPr>
          <w:p>
            <w:pPr>
              <w:spacing w:after="0"/>
              <w:rPr>
                <w:sz w:val="18"/>
                <w:szCs w:val="18"/>
                <w:color w:val="auto"/>
              </w:rPr>
            </w:pPr>
          </w:p>
        </w:tc>
      </w:tr>
      <w:tr>
        <w:trPr>
          <w:trHeight w:val="27"/>
        </w:trPr>
        <w:tc>
          <w:tcPr>
            <w:tcW w:w="4200" w:type="dxa"/>
            <w:vAlign w:val="bottom"/>
            <w:shd w:val="clear" w:color="auto" w:fill="CCEEFF"/>
          </w:tcPr>
          <w:p>
            <w:pPr>
              <w:spacing w:after="0"/>
              <w:rPr>
                <w:sz w:val="2"/>
                <w:szCs w:val="2"/>
                <w:color w:val="auto"/>
              </w:rPr>
            </w:pPr>
          </w:p>
        </w:tc>
        <w:tc>
          <w:tcPr>
            <w:tcW w:w="25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380" w:type="dxa"/>
            <w:vAlign w:val="bottom"/>
          </w:tcPr>
          <w:p>
            <w:pPr>
              <w:spacing w:after="0"/>
              <w:rPr>
                <w:sz w:val="2"/>
                <w:szCs w:val="2"/>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25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2.41%</w:t>
            </w:r>
          </w:p>
        </w:tc>
        <w:tc>
          <w:tcPr>
            <w:tcW w:w="3380" w:type="dxa"/>
            <w:vAlign w:val="bottom"/>
          </w:tcPr>
          <w:p>
            <w:pPr>
              <w:spacing w:after="0"/>
              <w:rPr>
                <w:sz w:val="19"/>
                <w:szCs w:val="19"/>
                <w:color w:val="auto"/>
              </w:rPr>
            </w:pPr>
          </w:p>
        </w:tc>
      </w:tr>
      <w:tr>
        <w:trPr>
          <w:trHeight w:val="596"/>
        </w:trPr>
        <w:tc>
          <w:tcPr>
            <w:tcW w:w="4200" w:type="dxa"/>
            <w:vAlign w:val="bottom"/>
          </w:tcPr>
          <w:p>
            <w:pPr>
              <w:spacing w:after="0"/>
              <w:rPr>
                <w:sz w:val="24"/>
                <w:szCs w:val="24"/>
                <w:color w:val="auto"/>
              </w:rPr>
            </w:pPr>
          </w:p>
        </w:tc>
        <w:tc>
          <w:tcPr>
            <w:tcW w:w="2560" w:type="dxa"/>
            <w:vAlign w:val="bottom"/>
          </w:tcPr>
          <w:p>
            <w:pPr>
              <w:jc w:val="right"/>
              <w:ind w:right="988"/>
              <w:spacing w:after="0"/>
              <w:rPr>
                <w:sz w:val="20"/>
                <w:szCs w:val="20"/>
                <w:color w:val="auto"/>
              </w:rPr>
            </w:pPr>
            <w:r>
              <w:rPr>
                <w:rFonts w:ascii="Arial" w:cs="Arial" w:eastAsia="Arial" w:hAnsi="Arial"/>
                <w:sz w:val="14"/>
                <w:szCs w:val="14"/>
                <w:color w:val="auto"/>
              </w:rPr>
              <w:t>17</w:t>
            </w:r>
          </w:p>
        </w:tc>
        <w:tc>
          <w:tcPr>
            <w:tcW w:w="9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46"/>
        </w:trPr>
        <w:tc>
          <w:tcPr>
            <w:tcW w:w="4200" w:type="dxa"/>
            <w:vAlign w:val="bottom"/>
            <w:tcBorders>
              <w:bottom w:val="single" w:sz="8" w:color="auto"/>
            </w:tcBorders>
          </w:tcPr>
          <w:p>
            <w:pPr>
              <w:spacing w:after="0"/>
              <w:rPr>
                <w:sz w:val="4"/>
                <w:szCs w:val="4"/>
                <w:color w:val="auto"/>
              </w:rPr>
            </w:pPr>
          </w:p>
        </w:tc>
        <w:tc>
          <w:tcPr>
            <w:tcW w:w="25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38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auto"/>
        </w:rPr>
        <w:t>Rent expense, as calculated under guidance in effect prior to our adoption of the new leases guidance, was $3.0 million in fiscal year 2019. At October 31, 2019, future minimum lease payments under non-cancelable operating leases with initial terms in excess of one year were as presented in the table below. The amounts are undiscounted and were calculated in accordance with guidance in effect prior to our adoption of the new leases guidance.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$ 1,885</w:t>
            </w:r>
          </w:p>
        </w:tc>
        <w:tc>
          <w:tcPr>
            <w:tcW w:w="6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2021</w:t>
            </w:r>
          </w:p>
        </w:tc>
        <w:tc>
          <w:tcPr>
            <w:tcW w:w="540" w:type="dxa"/>
            <w:vAlign w:val="bottom"/>
          </w:tcPr>
          <w:p>
            <w:pPr>
              <w:jc w:val="right"/>
              <w:spacing w:after="0"/>
              <w:rPr>
                <w:sz w:val="20"/>
                <w:szCs w:val="20"/>
                <w:color w:val="auto"/>
              </w:rPr>
            </w:pPr>
            <w:r>
              <w:rPr>
                <w:rFonts w:ascii="Arial" w:cs="Arial" w:eastAsia="Arial" w:hAnsi="Arial"/>
                <w:sz w:val="18"/>
                <w:szCs w:val="18"/>
                <w:color w:val="auto"/>
              </w:rPr>
              <w:t>1,613</w:t>
            </w:r>
          </w:p>
        </w:tc>
        <w:tc>
          <w:tcPr>
            <w:tcW w:w="6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6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2023</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742</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424</w:t>
            </w:r>
          </w:p>
        </w:tc>
      </w:tr>
      <w:tr>
        <w:trPr>
          <w:trHeight w:val="223"/>
        </w:trPr>
        <w:tc>
          <w:tcPr>
            <w:tcW w:w="4460" w:type="dxa"/>
            <w:vAlign w:val="bottom"/>
          </w:tcPr>
          <w:p>
            <w:pPr>
              <w:spacing w:after="0"/>
              <w:rPr>
                <w:sz w:val="20"/>
                <w:szCs w:val="20"/>
                <w:color w:val="auto"/>
              </w:rPr>
            </w:pPr>
            <w:r>
              <w:rPr>
                <w:rFonts w:ascii="Arial" w:cs="Arial" w:eastAsia="Arial" w:hAnsi="Arial"/>
                <w:sz w:val="18"/>
                <w:szCs w:val="18"/>
                <w:color w:val="auto"/>
              </w:rPr>
              <w:t>Thereafter</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377</w:t>
            </w:r>
          </w:p>
        </w:tc>
      </w:tr>
      <w:tr>
        <w:trPr>
          <w:trHeight w:val="257"/>
        </w:trPr>
        <w:tc>
          <w:tcPr>
            <w:tcW w:w="44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$ 6,576</w:t>
            </w:r>
          </w:p>
        </w:tc>
        <w:tc>
          <w:tcPr>
            <w:tcW w:w="6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SHARE-BASED COMPENSATION</w:t>
      </w:r>
    </w:p>
    <w:p>
      <w:pPr>
        <w:spacing w:after="0" w:line="256"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In March 2016, shareholders approved a new equity incentive compensation plan (the “Plan”), under which incentive stock options, non-qualified stock options, stock grants, stock-based awards, restricted stock, restricted stock units, stock appreciation rights, performance units, performance stock, and other stock or cash awards may be granted. Shares to be issued under the Plan may be authorized and unissued shares, issued shares that have been reacquired by us (in the open-market or in private transactions) and are being held in the treasury, or a combination thereof. The maximum number of shares of common stock approved that may be issued under the Plan is four million shares. Awards may be granted to officers, employees, directors, consultants, advisors, and independent contractors of Photronics or its subsidiaries. In the event of a change in control (as defined in the Plan), the vesting of awards may be accelerated. The Plan, aspects of which are more fully described below, prohibits further awards from being issued under prior plans. Total share-based compensation costs for the three and six-month periods ended May 3, 2020, were $1.2 million and $2.6 million, respectively, and $0.9 million and $2.0 million for the three and six-month periods ended April 28, 2019, respectively. No share-based compensation cost was capitalized as part of an asset and no related income tax benefits were recorded during the periods presented.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56"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We periodically grant restricted stock awards, the restrictions on which typically lapse over a service period of one-to-four years. The fair value of the awards is determined on the date of grant, based on the closing price of our common stock. There were 5,000 restricted stock awards granted during the three-month period ended May 3, 2020, with a grant-date fair value of $9.90 per share, and there were 527,000 restricted stock awards granted during the six-month period ended May 3, 2020, with a grant-date fair value of $15.21 per share. There were 435,000 restricted stock awards granted during the six-month period ended April 28, 2019, with a weighted-average grant-date fair value of $9.80 per share. As of May 3, 2020, the total compensation cost not yet recognized related to unvested restricted stock awards was approximately $8.9 million. That cost is expected to be recognized over a weighted-average amortization period of 3.1 years. As of May 3, 2020, there were 854,866 shares of restricted stock outstanding.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5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Option awards generally vest in one-to-four years, and have a ten-year contractual term. All incentive and non-qualified stock option grants have an exercise price no less than the market value of the underlying common stock on the date of grant. The grant date fair values of options are based on closing prices of our common stock on the dates of grant and are calculated using the Black-Scholes option pricing model. Expected volatility is based on the historical volatility of our common stock. We use historical option exercise behavior and employee termination data to estimate expected term, which represents the period of time that options are expected to remain outstanding. The risk-free rate of return for the estimated term of the option is based on the U.S. Treasury yield curve in effect at the date of grant.</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were no share options granted during the six-month period ended May 3, 2020, or the three-month period ended April 28, 2019. There were</w:t>
      </w:r>
    </w:p>
    <w:p>
      <w:pPr>
        <w:spacing w:after="0" w:line="46"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132,000 share options granted during the six-month period ended April 28, 2019, with a weighted-average grant-date fair value of $3.31 per share. The Company received cash from option exercises of $0.4 million and $3.2 million for the three and six-month periods ended May 3, 2020, respectively, and $0.3 million and $0.8 million for the three and six-month periods ended April 28, 2019, respectively. As of May 3, 2020, the total unrecognized compensation cost related to unvested option awards was approximately $0.6 million. That cost is expected to be recognized over a weighted-average amortization period of 2.0 years.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weighted-average inputs and risk-free rate of return ranges used to calculate the grant-date fair value of options issued during the six-month period ended April 28, 2019, are presented in the following table.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40" w:type="dxa"/>
            <w:vAlign w:val="bottom"/>
          </w:tcPr>
          <w:p>
            <w:pPr>
              <w:spacing w:after="0"/>
              <w:rPr>
                <w:sz w:val="20"/>
                <w:szCs w:val="20"/>
                <w:color w:val="auto"/>
              </w:rPr>
            </w:pPr>
          </w:p>
        </w:tc>
        <w:tc>
          <w:tcPr>
            <w:tcW w:w="27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Six Months Ended</w:t>
            </w:r>
          </w:p>
        </w:tc>
      </w:tr>
      <w:tr>
        <w:trPr>
          <w:trHeight w:val="223"/>
        </w:trPr>
        <w:tc>
          <w:tcPr>
            <w:tcW w:w="28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rPr>
              <w:t>April 28, 2019</w:t>
            </w:r>
          </w:p>
        </w:tc>
        <w:tc>
          <w:tcPr>
            <w:tcW w:w="160" w:type="dxa"/>
            <w:vAlign w:val="bottom"/>
          </w:tcPr>
          <w:p>
            <w:pPr>
              <w:spacing w:after="0"/>
              <w:rPr>
                <w:sz w:val="19"/>
                <w:szCs w:val="19"/>
                <w:color w:val="auto"/>
              </w:rPr>
            </w:pPr>
          </w:p>
        </w:tc>
      </w:tr>
      <w:tr>
        <w:trPr>
          <w:trHeight w:val="216"/>
        </w:trPr>
        <w:tc>
          <w:tcPr>
            <w:tcW w:w="2840" w:type="dxa"/>
            <w:vAlign w:val="bottom"/>
          </w:tcPr>
          <w:p>
            <w:pPr>
              <w:spacing w:after="0"/>
              <w:rPr>
                <w:sz w:val="18"/>
                <w:szCs w:val="18"/>
                <w:color w:val="auto"/>
              </w:rPr>
            </w:pPr>
          </w:p>
        </w:tc>
        <w:tc>
          <w:tcPr>
            <w:tcW w:w="2780" w:type="dxa"/>
            <w:vAlign w:val="bottom"/>
            <w:gridSpan w:val="3"/>
          </w:tcPr>
          <w:p>
            <w:pPr>
              <w:spacing w:after="0"/>
              <w:rPr>
                <w:sz w:val="18"/>
                <w:szCs w:val="18"/>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2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33.1%</w:t>
            </w:r>
          </w:p>
        </w:tc>
      </w:tr>
      <w:tr>
        <w:trPr>
          <w:trHeight w:val="216"/>
        </w:trPr>
        <w:tc>
          <w:tcPr>
            <w:tcW w:w="2840" w:type="dxa"/>
            <w:vAlign w:val="bottom"/>
          </w:tcPr>
          <w:p>
            <w:pPr>
              <w:spacing w:after="0"/>
              <w:rPr>
                <w:sz w:val="18"/>
                <w:szCs w:val="18"/>
                <w:color w:val="auto"/>
              </w:rPr>
            </w:pPr>
          </w:p>
        </w:tc>
        <w:tc>
          <w:tcPr>
            <w:tcW w:w="2780" w:type="dxa"/>
            <w:vAlign w:val="bottom"/>
            <w:gridSpan w:val="3"/>
          </w:tcPr>
          <w:p>
            <w:pPr>
              <w:spacing w:after="0"/>
              <w:rPr>
                <w:sz w:val="18"/>
                <w:szCs w:val="18"/>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Risk free rate of return</w:t>
            </w:r>
          </w:p>
        </w:tc>
        <w:tc>
          <w:tcPr>
            <w:tcW w:w="2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2.5-2.9%</w:t>
            </w:r>
          </w:p>
        </w:tc>
      </w:tr>
      <w:tr>
        <w:trPr>
          <w:trHeight w:val="216"/>
        </w:trPr>
        <w:tc>
          <w:tcPr>
            <w:tcW w:w="2840" w:type="dxa"/>
            <w:vAlign w:val="bottom"/>
          </w:tcPr>
          <w:p>
            <w:pPr>
              <w:spacing w:after="0"/>
              <w:rPr>
                <w:sz w:val="18"/>
                <w:szCs w:val="18"/>
                <w:color w:val="auto"/>
              </w:rPr>
            </w:pPr>
          </w:p>
        </w:tc>
        <w:tc>
          <w:tcPr>
            <w:tcW w:w="2780" w:type="dxa"/>
            <w:vAlign w:val="bottom"/>
            <w:gridSpan w:val="3"/>
          </w:tcPr>
          <w:p>
            <w:pPr>
              <w:spacing w:after="0"/>
              <w:rPr>
                <w:sz w:val="18"/>
                <w:szCs w:val="18"/>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2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80" w:type="dxa"/>
            <w:vAlign w:val="bottom"/>
            <w:gridSpan w:val="2"/>
          </w:tcPr>
          <w:p>
            <w:pPr>
              <w:spacing w:after="0"/>
              <w:rPr>
                <w:sz w:val="18"/>
                <w:szCs w:val="18"/>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Expected term</w:t>
            </w:r>
          </w:p>
        </w:tc>
        <w:tc>
          <w:tcPr>
            <w:tcW w:w="1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 years</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on outstanding and exercisable option awards as of May 3, 2020, is presented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040" w:type="dxa"/>
            <w:vAlign w:val="bottom"/>
          </w:tcPr>
          <w:p>
            <w:pPr>
              <w:jc w:val="center"/>
              <w:ind w:right="590"/>
              <w:spacing w:after="0"/>
              <w:rPr>
                <w:sz w:val="20"/>
                <w:szCs w:val="20"/>
                <w:color w:val="auto"/>
              </w:rPr>
            </w:pPr>
            <w:r>
              <w:rPr>
                <w:rFonts w:ascii="Arial" w:cs="Arial" w:eastAsia="Arial" w:hAnsi="Arial"/>
                <w:sz w:val="18"/>
                <w:szCs w:val="18"/>
                <w:b w:val="1"/>
                <w:bCs w:val="1"/>
                <w:color w:val="auto"/>
                <w:w w:val="88"/>
              </w:rPr>
              <w:t>Weighted</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3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jc w:val="center"/>
              <w:ind w:right="790"/>
              <w:spacing w:after="0"/>
              <w:rPr>
                <w:sz w:val="20"/>
                <w:szCs w:val="20"/>
                <w:color w:val="auto"/>
              </w:rPr>
            </w:pPr>
            <w:r>
              <w:rPr>
                <w:rFonts w:ascii="Arial" w:cs="Arial" w:eastAsia="Arial" w:hAnsi="Arial"/>
                <w:sz w:val="18"/>
                <w:szCs w:val="18"/>
                <w:b w:val="1"/>
                <w:bCs w:val="1"/>
                <w:color w:val="auto"/>
                <w:w w:val="88"/>
              </w:rPr>
              <w:t>Weighted</w:t>
            </w:r>
          </w:p>
        </w:tc>
        <w:tc>
          <w:tcPr>
            <w:tcW w:w="3040" w:type="dxa"/>
            <w:vAlign w:val="bottom"/>
          </w:tcPr>
          <w:p>
            <w:pPr>
              <w:jc w:val="center"/>
              <w:ind w:right="590"/>
              <w:spacing w:after="0"/>
              <w:rPr>
                <w:sz w:val="20"/>
                <w:szCs w:val="20"/>
                <w:color w:val="auto"/>
              </w:rPr>
            </w:pPr>
            <w:r>
              <w:rPr>
                <w:rFonts w:ascii="Arial" w:cs="Arial" w:eastAsia="Arial" w:hAnsi="Arial"/>
                <w:sz w:val="18"/>
                <w:szCs w:val="18"/>
                <w:b w:val="1"/>
                <w:bCs w:val="1"/>
                <w:color w:val="auto"/>
                <w:w w:val="90"/>
              </w:rPr>
              <w:t>Average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3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jc w:val="center"/>
              <w:ind w:right="770"/>
              <w:spacing w:after="0"/>
              <w:rPr>
                <w:sz w:val="20"/>
                <w:szCs w:val="20"/>
                <w:color w:val="auto"/>
              </w:rPr>
            </w:pPr>
            <w:r>
              <w:rPr>
                <w:rFonts w:ascii="Arial" w:cs="Arial" w:eastAsia="Arial" w:hAnsi="Arial"/>
                <w:sz w:val="18"/>
                <w:szCs w:val="18"/>
                <w:b w:val="1"/>
                <w:bCs w:val="1"/>
                <w:color w:val="auto"/>
                <w:w w:val="87"/>
              </w:rPr>
              <w:t>Average</w:t>
            </w:r>
          </w:p>
        </w:tc>
        <w:tc>
          <w:tcPr>
            <w:tcW w:w="3040" w:type="dxa"/>
            <w:vAlign w:val="bottom"/>
          </w:tcPr>
          <w:p>
            <w:pPr>
              <w:jc w:val="center"/>
              <w:ind w:right="590"/>
              <w:spacing w:after="0"/>
              <w:rPr>
                <w:sz w:val="20"/>
                <w:szCs w:val="20"/>
                <w:color w:val="auto"/>
              </w:rPr>
            </w:pPr>
            <w:r>
              <w:rPr>
                <w:rFonts w:ascii="Arial" w:cs="Arial" w:eastAsia="Arial" w:hAnsi="Arial"/>
                <w:sz w:val="18"/>
                <w:szCs w:val="18"/>
                <w:b w:val="1"/>
                <w:bCs w:val="1"/>
                <w:color w:val="auto"/>
                <w:w w:val="91"/>
              </w:rPr>
              <w:t>Remaining</w:t>
            </w:r>
          </w:p>
        </w:tc>
        <w:tc>
          <w:tcPr>
            <w:tcW w:w="180" w:type="dxa"/>
            <w:vAlign w:val="bottom"/>
          </w:tcPr>
          <w:p>
            <w:pPr>
              <w:spacing w:after="0"/>
              <w:rPr>
                <w:sz w:val="18"/>
                <w:szCs w:val="18"/>
                <w:color w:val="auto"/>
              </w:rPr>
            </w:pPr>
          </w:p>
        </w:tc>
        <w:tc>
          <w:tcPr>
            <w:tcW w:w="108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3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jc w:val="center"/>
              <w:ind w:right="790"/>
              <w:spacing w:after="0"/>
              <w:rPr>
                <w:sz w:val="20"/>
                <w:szCs w:val="20"/>
                <w:color w:val="auto"/>
              </w:rPr>
            </w:pPr>
            <w:r>
              <w:rPr>
                <w:rFonts w:ascii="Arial" w:cs="Arial" w:eastAsia="Arial" w:hAnsi="Arial"/>
                <w:sz w:val="18"/>
                <w:szCs w:val="18"/>
                <w:b w:val="1"/>
                <w:bCs w:val="1"/>
                <w:color w:val="auto"/>
                <w:w w:val="86"/>
              </w:rPr>
              <w:t>Exercise</w:t>
            </w:r>
          </w:p>
        </w:tc>
        <w:tc>
          <w:tcPr>
            <w:tcW w:w="3040" w:type="dxa"/>
            <w:vAlign w:val="bottom"/>
          </w:tcPr>
          <w:p>
            <w:pPr>
              <w:jc w:val="center"/>
              <w:ind w:right="590"/>
              <w:spacing w:after="0"/>
              <w:rPr>
                <w:sz w:val="20"/>
                <w:szCs w:val="20"/>
                <w:color w:val="auto"/>
              </w:rPr>
            </w:pPr>
            <w:r>
              <w:rPr>
                <w:rFonts w:ascii="Arial" w:cs="Arial" w:eastAsia="Arial" w:hAnsi="Arial"/>
                <w:sz w:val="18"/>
                <w:szCs w:val="18"/>
                <w:b w:val="1"/>
                <w:bCs w:val="1"/>
                <w:color w:val="auto"/>
                <w:w w:val="91"/>
              </w:rPr>
              <w:t>Contractual</w:t>
            </w:r>
          </w:p>
        </w:tc>
        <w:tc>
          <w:tcPr>
            <w:tcW w:w="18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Arial" w:cs="Arial" w:eastAsia="Arial" w:hAnsi="Arial"/>
                <w:sz w:val="18"/>
                <w:szCs w:val="18"/>
                <w:b w:val="1"/>
                <w:bCs w:val="1"/>
                <w:color w:val="auto"/>
                <w:w w:val="94"/>
              </w:rPr>
              <w:t>Intrinsic</w:t>
            </w:r>
          </w:p>
        </w:tc>
      </w:tr>
      <w:tr>
        <w:trPr>
          <w:trHeight w:val="241"/>
        </w:trPr>
        <w:tc>
          <w:tcPr>
            <w:tcW w:w="3120" w:type="dxa"/>
            <w:vAlign w:val="bottom"/>
            <w:tcBorders>
              <w:bottom w:val="single" w:sz="8" w:color="auto"/>
            </w:tcBorders>
          </w:tcPr>
          <w:p>
            <w:pPr>
              <w:ind w:left="1500"/>
              <w:spacing w:after="0"/>
              <w:rPr>
                <w:sz w:val="20"/>
                <w:szCs w:val="20"/>
                <w:color w:val="auto"/>
              </w:rPr>
            </w:pPr>
            <w:r>
              <w:rPr>
                <w:rFonts w:ascii="Arial" w:cs="Arial" w:eastAsia="Arial" w:hAnsi="Arial"/>
                <w:sz w:val="18"/>
                <w:szCs w:val="18"/>
                <w:b w:val="1"/>
                <w:bCs w:val="1"/>
                <w:color w:val="auto"/>
              </w:rPr>
              <w:t>Options</w:t>
            </w:r>
          </w:p>
        </w:tc>
        <w:tc>
          <w:tcPr>
            <w:tcW w:w="1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Shares</w:t>
            </w:r>
          </w:p>
        </w:tc>
        <w:tc>
          <w:tcPr>
            <w:tcW w:w="2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center"/>
              <w:ind w:right="790"/>
              <w:spacing w:after="0"/>
              <w:rPr>
                <w:sz w:val="20"/>
                <w:szCs w:val="20"/>
                <w:color w:val="auto"/>
              </w:rPr>
            </w:pPr>
            <w:r>
              <w:rPr>
                <w:rFonts w:ascii="Arial" w:cs="Arial" w:eastAsia="Arial" w:hAnsi="Arial"/>
                <w:sz w:val="18"/>
                <w:szCs w:val="18"/>
                <w:b w:val="1"/>
                <w:bCs w:val="1"/>
                <w:color w:val="auto"/>
                <w:w w:val="90"/>
              </w:rPr>
              <w:t>Price</w:t>
            </w:r>
          </w:p>
        </w:tc>
        <w:tc>
          <w:tcPr>
            <w:tcW w:w="3040" w:type="dxa"/>
            <w:vAlign w:val="bottom"/>
            <w:tcBorders>
              <w:bottom w:val="single" w:sz="8" w:color="auto"/>
            </w:tcBorders>
          </w:tcPr>
          <w:p>
            <w:pPr>
              <w:jc w:val="center"/>
              <w:ind w:right="590"/>
              <w:spacing w:after="0"/>
              <w:rPr>
                <w:sz w:val="20"/>
                <w:szCs w:val="20"/>
                <w:color w:val="auto"/>
              </w:rPr>
            </w:pPr>
            <w:r>
              <w:rPr>
                <w:rFonts w:ascii="Arial" w:cs="Arial" w:eastAsia="Arial" w:hAnsi="Arial"/>
                <w:sz w:val="18"/>
                <w:szCs w:val="18"/>
                <w:b w:val="1"/>
                <w:bCs w:val="1"/>
                <w:color w:val="auto"/>
                <w:w w:val="99"/>
              </w:rPr>
              <w:t>Life</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3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May 3, 2020</w:t>
            </w:r>
          </w:p>
        </w:tc>
        <w:tc>
          <w:tcPr>
            <w:tcW w:w="1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1,723,652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9.16</w:t>
            </w:r>
          </w:p>
        </w:tc>
        <w:tc>
          <w:tcPr>
            <w:tcW w:w="3040" w:type="dxa"/>
            <w:vAlign w:val="bottom"/>
            <w:shd w:val="clear" w:color="auto" w:fill="CCEEFF"/>
          </w:tcPr>
          <w:p>
            <w:pPr>
              <w:ind w:left="2320"/>
              <w:spacing w:after="0"/>
              <w:rPr>
                <w:sz w:val="20"/>
                <w:szCs w:val="20"/>
                <w:color w:val="auto"/>
              </w:rPr>
            </w:pPr>
            <w:r>
              <w:rPr>
                <w:rFonts w:ascii="Arial" w:cs="Arial" w:eastAsia="Arial" w:hAnsi="Arial"/>
                <w:sz w:val="18"/>
                <w:szCs w:val="18"/>
                <w:color w:val="auto"/>
                <w:w w:val="94"/>
              </w:rPr>
              <w:t>5.1 years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4,000</w:t>
            </w:r>
          </w:p>
        </w:tc>
      </w:tr>
      <w:tr>
        <w:trPr>
          <w:trHeight w:val="216"/>
        </w:trPr>
        <w:tc>
          <w:tcPr>
            <w:tcW w:w="3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May 3, 2020</w:t>
            </w:r>
          </w:p>
        </w:tc>
        <w:tc>
          <w:tcPr>
            <w:tcW w:w="1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1,433,324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9.07</w:t>
            </w:r>
          </w:p>
        </w:tc>
        <w:tc>
          <w:tcPr>
            <w:tcW w:w="3040" w:type="dxa"/>
            <w:vAlign w:val="bottom"/>
            <w:shd w:val="clear" w:color="auto" w:fill="CCEEFF"/>
          </w:tcPr>
          <w:p>
            <w:pPr>
              <w:ind w:left="2320"/>
              <w:spacing w:after="0"/>
              <w:rPr>
                <w:sz w:val="20"/>
                <w:szCs w:val="20"/>
                <w:color w:val="auto"/>
              </w:rPr>
            </w:pPr>
            <w:r>
              <w:rPr>
                <w:rFonts w:ascii="Arial" w:cs="Arial" w:eastAsia="Arial" w:hAnsi="Arial"/>
                <w:sz w:val="18"/>
                <w:szCs w:val="18"/>
                <w:color w:val="auto"/>
                <w:w w:val="94"/>
              </w:rPr>
              <w:t>4.6 years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3,494</w:t>
            </w:r>
          </w:p>
        </w:tc>
      </w:tr>
      <w:tr>
        <w:trPr>
          <w:trHeight w:val="459"/>
        </w:trPr>
        <w:tc>
          <w:tcPr>
            <w:tcW w:w="3120" w:type="dxa"/>
            <w:vAlign w:val="bottom"/>
          </w:tcPr>
          <w:p>
            <w:pPr>
              <w:spacing w:after="0"/>
              <w:rPr>
                <w:sz w:val="20"/>
                <w:szCs w:val="20"/>
                <w:color w:val="auto"/>
              </w:rPr>
            </w:pPr>
            <w:r>
              <w:rPr>
                <w:rFonts w:ascii="Arial" w:cs="Arial" w:eastAsia="Arial" w:hAnsi="Arial"/>
                <w:sz w:val="18"/>
                <w:szCs w:val="18"/>
                <w:b w:val="1"/>
                <w:bCs w:val="1"/>
                <w:color w:val="auto"/>
              </w:rPr>
              <w:t>NOTE 9 - INCOME TAXES</w:t>
            </w:r>
          </w:p>
        </w:tc>
        <w:tc>
          <w:tcPr>
            <w:tcW w:w="1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pacing w:after="0" w:line="22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We calculate our provision for income taxes at the end of each interim reporting period on the basis of an estimated annual effective tax rate adjusted for tax items that are discrete to each period.</w:t>
      </w:r>
    </w:p>
    <w:p>
      <w:pPr>
        <w:spacing w:after="0" w:line="197"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The effective tax rate of 32.2% exceeds the U.S. statutory rate of 21.0% in the three-month period ended May 3, 2020, primarily due to the non-recognition of the tax benefit of losses that, in certain jurisdictions, have been offset by valuation allowances, which were partially offset by the benefit of tax holidays and investment credits in certain foreign jurisdictions.</w:t>
      </w:r>
    </w:p>
    <w:p>
      <w:pPr>
        <w:spacing w:after="0" w:line="211"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The effective tax rate of 40.5% exceeds the U.S. statutory rate of 21.0% in the six-month period ended May 3, 2020, primarily due to the non-recognition of the tax benefit of losses that, in certain jurisdictions, have been offset by valuation allowances, and the establishment of a valuation allowance for a loss carryforward in a non-U.S. jurisdiction, which were partially offset by the benefits of tax holidays and investment credits in certain foreign jurisdictions.</w:t>
      </w:r>
    </w:p>
    <w:p>
      <w:pPr>
        <w:spacing w:after="0" w:line="214"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Valuation allowances, in jurisdictions with historic losses, eliminate the current tax benefit of losses in these jurisdictions where, based on the weight of information available to us, we determined that it is more likely than not that the tax benefits will not be realized. In the three-month period ended February 2,2020, as a result of the reassessment of the aforementioned available information, we established a valuation allowance of $2.1 million against a non-U.S. based loss-carryforward deferred tax asset that is not more likely than not to be realized.</w:t>
      </w:r>
    </w:p>
    <w:p>
      <w:pPr>
        <w:spacing w:after="0" w:line="198"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Unrecognized tax benefits related to uncertain tax positions were $1.8 million at May 3, 2020, and $1.9 million at October 31, 2019, substantially all of which, if recognized, would favorably impact the Company’s effective tax rate. Accrued interest and penalties related to unrecognized tax benefits was $0.2 million at May 3, 2020 and October 31, 2019. Although the timing of the expirations of statutes of limitations may be uncertain, as they can be dependent upon the settlement of tax audits, the Company believes that the amount of uncertain tax positions (including interest and penalties, and net of tax benefits) that may be resolved over the next twelve months is immaterial. Resolution of these uncertain tax positions may result from either or both the lapses of statutes of limitations and tax settlements. The Company is no longer subject to tax authority examinations in the U.S. and major foreign or state jurisdictions for years prior to fiscal year 2015.</w:t>
      </w:r>
    </w:p>
    <w:p>
      <w:pPr>
        <w:spacing w:after="0" w:line="204"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were granted a five-year tax holiday in Taiwan that expired on December 31, 2019. This tax holiday reduced foreign taxes by $0.1 million in the six-month period ended May 3, 2020, by $0.3 million and $1.1 million in the three and six-month periods ended April 28, 2019, respectively, with immaterial per share impacts in the six-month period ended May 3, 2020, and the three-month period ended April 28, 2019, and a one cent per share effect in the six-month period ended April 28, 2019.</w:t>
      </w:r>
    </w:p>
    <w:p>
      <w:pPr>
        <w:sectPr>
          <w:pgSz w:w="11900" w:h="16838" w:orient="portrait"/>
          <w:cols w:equalWidth="0" w:num="1">
            <w:col w:w="11240"/>
          </w:cols>
          <w:pgMar w:left="320" w:top="121" w:right="339"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300" w:firstLine="324"/>
        <w:spacing w:after="0" w:line="286" w:lineRule="auto"/>
        <w:rPr>
          <w:sz w:val="20"/>
          <w:szCs w:val="20"/>
          <w:color w:val="auto"/>
        </w:rPr>
      </w:pPr>
      <w:r>
        <w:rPr>
          <w:rFonts w:ascii="Arial" w:cs="Arial" w:eastAsia="Arial" w:hAnsi="Arial"/>
          <w:sz w:val="17"/>
          <w:szCs w:val="17"/>
          <w:color w:val="auto"/>
        </w:rPr>
        <w:t>The effective tax rate of 25.0% differs from the U.S. statutory rate of 21.0% in the three-month period ended April 28, 2019, primarily due to the elimination of tax benefits in jurisdictions, including the U.S., in which it is not more likely than not that the benefit will be realized; the effects of these eliminations were partially offset by the benefits of tax holidays and investment credits in certain foreign jurisdictions.</w:t>
      </w:r>
    </w:p>
    <w:p>
      <w:pPr>
        <w:spacing w:after="0" w:line="192"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effective tax rate of 20.9% differs from the U.S. statutory rate of 21.0% in the six-month period ended April 28, 2019, primarily due to the elimination of the tax benefits in jurisdictions, including the U.S., in which it is not more likely than not that the benefit will be realized; the effects of these eliminations were partially offset by the benefits of the settlement of a tax audit, as well as a tax holiday and investment credits in certain foreign jurisdictions.</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Arial" w:cs="Arial" w:eastAsia="Arial" w:hAnsi="Arial"/>
                <w:sz w:val="18"/>
                <w:szCs w:val="18"/>
                <w:b w:val="1"/>
                <w:bCs w:val="1"/>
                <w:color w:val="auto"/>
              </w:rPr>
              <w:t>NOTE 10 - EARNINGS PER SHARE</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5980" w:type="dxa"/>
            <w:vAlign w:val="bottom"/>
          </w:tcPr>
          <w:p>
            <w:pPr>
              <w:ind w:left="340"/>
              <w:spacing w:after="0"/>
              <w:rPr>
                <w:sz w:val="20"/>
                <w:szCs w:val="20"/>
                <w:color w:val="auto"/>
              </w:rPr>
            </w:pPr>
            <w:r>
              <w:rPr>
                <w:rFonts w:ascii="Arial" w:cs="Arial" w:eastAsia="Arial" w:hAnsi="Arial"/>
                <w:sz w:val="18"/>
                <w:szCs w:val="18"/>
                <w:color w:val="auto"/>
                <w:w w:val="94"/>
              </w:rPr>
              <w:t>The calculation of basic and diluted earnings per share is presented below.</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5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2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4"/>
                <w:szCs w:val="24"/>
                <w:color w:val="auto"/>
              </w:rPr>
            </w:pPr>
          </w:p>
        </w:tc>
        <w:tc>
          <w:tcPr>
            <w:tcW w:w="2340" w:type="dxa"/>
            <w:vAlign w:val="bottom"/>
            <w:gridSpan w:val="5"/>
          </w:tcPr>
          <w:p>
            <w:pPr>
              <w:ind w:left="300"/>
              <w:spacing w:after="0"/>
              <w:rPr>
                <w:sz w:val="20"/>
                <w:szCs w:val="20"/>
                <w:color w:val="auto"/>
              </w:rPr>
            </w:pPr>
            <w:r>
              <w:rPr>
                <w:rFonts w:ascii="Arial" w:cs="Arial" w:eastAsia="Arial" w:hAnsi="Arial"/>
                <w:sz w:val="18"/>
                <w:szCs w:val="18"/>
                <w:b w:val="1"/>
                <w:bCs w:val="1"/>
                <w:color w:val="auto"/>
              </w:rPr>
              <w:t>Six Months Ended</w:t>
            </w:r>
          </w:p>
        </w:tc>
      </w:tr>
      <w:tr>
        <w:trPr>
          <w:trHeight w:val="198"/>
        </w:trPr>
        <w:tc>
          <w:tcPr>
            <w:tcW w:w="59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ind w:left="100"/>
              <w:spacing w:after="0" w:line="198" w:lineRule="exact"/>
              <w:rPr>
                <w:sz w:val="20"/>
                <w:szCs w:val="20"/>
                <w:color w:val="auto"/>
              </w:rPr>
            </w:pPr>
            <w:r>
              <w:rPr>
                <w:rFonts w:ascii="Arial" w:cs="Arial" w:eastAsia="Arial" w:hAnsi="Arial"/>
                <w:sz w:val="18"/>
                <w:szCs w:val="18"/>
                <w:b w:val="1"/>
                <w:bCs w:val="1"/>
                <w:color w:val="auto"/>
              </w:rPr>
              <w:t>May 3,</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rPr>
              <w:t>April 28,</w:t>
            </w: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94"/>
              </w:rPr>
              <w:t>May 3,</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rPr>
              <w:t>April 28</w:t>
            </w:r>
          </w:p>
        </w:tc>
        <w:tc>
          <w:tcPr>
            <w:tcW w:w="100" w:type="dxa"/>
            <w:vAlign w:val="bottom"/>
          </w:tcPr>
          <w:p>
            <w:pPr>
              <w:spacing w:after="0"/>
              <w:rPr>
                <w:sz w:val="17"/>
                <w:szCs w:val="17"/>
                <w:color w:val="auto"/>
              </w:rPr>
            </w:pPr>
          </w:p>
        </w:tc>
      </w:tr>
      <w:tr>
        <w:trPr>
          <w:trHeight w:val="241"/>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8,479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16,584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13,746</w:t>
            </w: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ind w:left="140"/>
              <w:spacing w:after="0"/>
              <w:rPr>
                <w:sz w:val="20"/>
                <w:szCs w:val="20"/>
                <w:color w:val="auto"/>
              </w:rPr>
            </w:pPr>
            <w:r>
              <w:rPr>
                <w:rFonts w:ascii="Arial" w:cs="Arial" w:eastAsia="Arial" w:hAnsi="Arial"/>
                <w:sz w:val="18"/>
                <w:szCs w:val="18"/>
                <w:color w:val="auto"/>
              </w:rPr>
              <w:t>Interest expense on convertible notes, net of tax</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349</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845</w:t>
            </w:r>
          </w:p>
        </w:tc>
      </w:tr>
      <w:tr>
        <w:trPr>
          <w:trHeight w:val="216"/>
        </w:trPr>
        <w:tc>
          <w:tcPr>
            <w:tcW w:w="59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Earnings used for diluted earnings per share</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6,284</w:t>
            </w:r>
          </w:p>
        </w:tc>
        <w:tc>
          <w:tcPr>
            <w:tcW w:w="26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8,828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16,584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14,591</w:t>
            </w:r>
          </w:p>
        </w:tc>
      </w:tr>
      <w:tr>
        <w:trPr>
          <w:trHeight w:val="21"/>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Weighted-average common shares computations: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Weighted-average common shares used for basic earnings per share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64,937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66,261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65,246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66,422</w:t>
            </w: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Effect of dilutive securities: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payment awards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w:t>
            </w:r>
          </w:p>
        </w:tc>
      </w:tr>
      <w:tr>
        <w:trPr>
          <w:trHeight w:val="223"/>
        </w:trPr>
        <w:tc>
          <w:tcPr>
            <w:tcW w:w="5980" w:type="dxa"/>
            <w:vAlign w:val="bottom"/>
          </w:tcPr>
          <w:p>
            <w:pPr>
              <w:ind w:left="340"/>
              <w:spacing w:after="0"/>
              <w:rPr>
                <w:sz w:val="20"/>
                <w:szCs w:val="20"/>
                <w:color w:val="auto"/>
              </w:rPr>
            </w:pPr>
            <w:r>
              <w:rPr>
                <w:rFonts w:ascii="Arial" w:cs="Arial" w:eastAsia="Arial" w:hAnsi="Arial"/>
                <w:sz w:val="18"/>
                <w:szCs w:val="18"/>
                <w:color w:val="auto"/>
              </w:rPr>
              <w:t>Convertible notes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3,898</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4,720</w:t>
            </w:r>
          </w:p>
        </w:tc>
      </w:tr>
      <w:tr>
        <w:trPr>
          <w:trHeight w:val="216"/>
        </w:trPr>
        <w:tc>
          <w:tcPr>
            <w:tcW w:w="59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ind w:left="140"/>
              <w:spacing w:after="0"/>
              <w:rPr>
                <w:sz w:val="20"/>
                <w:szCs w:val="20"/>
                <w:color w:val="auto"/>
              </w:rPr>
            </w:pPr>
            <w:r>
              <w:rPr>
                <w:rFonts w:ascii="Arial" w:cs="Arial" w:eastAsia="Arial" w:hAnsi="Arial"/>
                <w:sz w:val="18"/>
                <w:szCs w:val="18"/>
                <w:color w:val="auto"/>
              </w:rPr>
              <w:t>Potentially dilutive common shares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4,336</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687</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5,171</w:t>
            </w:r>
          </w:p>
        </w:tc>
      </w:tr>
      <w:tr>
        <w:trPr>
          <w:trHeight w:val="216"/>
        </w:trPr>
        <w:tc>
          <w:tcPr>
            <w:tcW w:w="59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Weighted-average common shares used for diluted earnings per share</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65,417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70,597</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65,933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71,593</w:t>
            </w: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0.21</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0.10</w:t>
            </w:r>
          </w:p>
        </w:tc>
        <w:tc>
          <w:tcPr>
            <w:tcW w:w="260" w:type="dxa"/>
            <w:vAlign w:val="bottom"/>
          </w:tcPr>
          <w:p>
            <w:pPr>
              <w:spacing w:after="0"/>
              <w:rPr>
                <w:sz w:val="20"/>
                <w:szCs w:val="20"/>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0.13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0.25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0.20</w:t>
            </w:r>
          </w:p>
        </w:tc>
      </w:tr>
    </w:tbl>
    <w:p>
      <w:pPr>
        <w:spacing w:after="0" w:line="21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table below shows the outstanding weighted-average share-based payment awards that were excluded from the calculation of diluted earnings per share because their exercise price exceeded the average market value of the common shares for the period or, under application of the treasury stock method, they were otherwise determined to be antidilutive.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720" w:type="dxa"/>
            <w:vAlign w:val="bottom"/>
            <w:gridSpan w:val="4"/>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540" w:type="dxa"/>
            <w:vAlign w:val="bottom"/>
            <w:gridSpan w:val="4"/>
          </w:tcPr>
          <w:p>
            <w:pPr>
              <w:ind w:left="500"/>
              <w:spacing w:after="0"/>
              <w:rPr>
                <w:sz w:val="20"/>
                <w:szCs w:val="20"/>
                <w:color w:val="auto"/>
              </w:rPr>
            </w:pPr>
            <w:r>
              <w:rPr>
                <w:rFonts w:ascii="Arial" w:cs="Arial" w:eastAsia="Arial" w:hAnsi="Arial"/>
                <w:sz w:val="18"/>
                <w:szCs w:val="18"/>
                <w:b w:val="1"/>
                <w:bCs w:val="1"/>
                <w:color w:val="auto"/>
              </w:rPr>
              <w:t>Six Months Ended</w:t>
            </w:r>
          </w:p>
        </w:tc>
      </w:tr>
      <w:tr>
        <w:trPr>
          <w:trHeight w:val="198"/>
        </w:trPr>
        <w:tc>
          <w:tcPr>
            <w:tcW w:w="42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380" w:type="dxa"/>
            <w:vAlign w:val="bottom"/>
            <w:tcBorders>
              <w:top w:val="single" w:sz="8" w:color="auto"/>
            </w:tcBorders>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94"/>
              </w:rPr>
              <w:t>May 3,</w:t>
            </w:r>
          </w:p>
        </w:tc>
        <w:tc>
          <w:tcPr>
            <w:tcW w:w="112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rPr>
              <w:t>April 28,</w:t>
            </w:r>
          </w:p>
        </w:tc>
        <w:tc>
          <w:tcPr>
            <w:tcW w:w="220" w:type="dxa"/>
            <w:vAlign w:val="bottom"/>
          </w:tcPr>
          <w:p>
            <w:pPr>
              <w:spacing w:after="0"/>
              <w:rPr>
                <w:sz w:val="17"/>
                <w:szCs w:val="17"/>
                <w:color w:val="auto"/>
              </w:rPr>
            </w:pPr>
          </w:p>
        </w:tc>
        <w:tc>
          <w:tcPr>
            <w:tcW w:w="1320" w:type="dxa"/>
            <w:vAlign w:val="bottom"/>
            <w:tcBorders>
              <w:top w:val="single" w:sz="8" w:color="auto"/>
            </w:tcBorders>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94"/>
              </w:rPr>
              <w:t>May 3,</w:t>
            </w:r>
          </w:p>
        </w:tc>
        <w:tc>
          <w:tcPr>
            <w:tcW w:w="112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rPr>
              <w:t>April 28,</w:t>
            </w:r>
          </w:p>
        </w:tc>
        <w:tc>
          <w:tcPr>
            <w:tcW w:w="100" w:type="dxa"/>
            <w:vAlign w:val="bottom"/>
          </w:tcPr>
          <w:p>
            <w:pPr>
              <w:spacing w:after="0"/>
              <w:rPr>
                <w:sz w:val="17"/>
                <w:szCs w:val="17"/>
                <w:color w:val="auto"/>
              </w:rPr>
            </w:pPr>
          </w:p>
        </w:tc>
      </w:tr>
      <w:tr>
        <w:trPr>
          <w:trHeight w:val="241"/>
        </w:trPr>
        <w:tc>
          <w:tcPr>
            <w:tcW w:w="4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4260" w:type="dxa"/>
            <w:vAlign w:val="bottom"/>
          </w:tcPr>
          <w:p>
            <w:pPr>
              <w:spacing w:after="0"/>
              <w:rPr>
                <w:sz w:val="18"/>
                <w:szCs w:val="18"/>
                <w:color w:val="auto"/>
              </w:rPr>
            </w:pPr>
          </w:p>
        </w:tc>
        <w:tc>
          <w:tcPr>
            <w:tcW w:w="3100" w:type="dxa"/>
            <w:vAlign w:val="bottom"/>
            <w:gridSpan w:val="3"/>
          </w:tcPr>
          <w:p>
            <w:pPr>
              <w:spacing w:after="0"/>
              <w:rPr>
                <w:sz w:val="18"/>
                <w:szCs w:val="18"/>
                <w:color w:val="auto"/>
              </w:rPr>
            </w:pPr>
          </w:p>
        </w:tc>
        <w:tc>
          <w:tcPr>
            <w:tcW w:w="134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 awards</w:t>
            </w:r>
          </w:p>
        </w:tc>
        <w:tc>
          <w:tcPr>
            <w:tcW w:w="3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1,009</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1,204</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1,134</w:t>
            </w:r>
          </w:p>
        </w:tc>
      </w:tr>
      <w:tr>
        <w:trPr>
          <w:trHeight w:val="216"/>
        </w:trPr>
        <w:tc>
          <w:tcPr>
            <w:tcW w:w="4260" w:type="dxa"/>
            <w:vAlign w:val="bottom"/>
          </w:tcPr>
          <w:p>
            <w:pPr>
              <w:spacing w:after="0"/>
              <w:rPr>
                <w:sz w:val="18"/>
                <w:szCs w:val="18"/>
                <w:color w:val="auto"/>
              </w:rPr>
            </w:pPr>
          </w:p>
        </w:tc>
        <w:tc>
          <w:tcPr>
            <w:tcW w:w="3100" w:type="dxa"/>
            <w:vAlign w:val="bottom"/>
            <w:gridSpan w:val="3"/>
          </w:tcPr>
          <w:p>
            <w:pPr>
              <w:spacing w:after="0"/>
              <w:rPr>
                <w:sz w:val="18"/>
                <w:szCs w:val="18"/>
                <w:color w:val="auto"/>
              </w:rPr>
            </w:pPr>
          </w:p>
        </w:tc>
        <w:tc>
          <w:tcPr>
            <w:tcW w:w="134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5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Total potentially dilutive shares excluded</w:t>
            </w:r>
          </w:p>
        </w:tc>
        <w:tc>
          <w:tcPr>
            <w:tcW w:w="3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1,009</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1,204</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1,134</w:t>
            </w:r>
          </w:p>
        </w:tc>
      </w:tr>
      <w:tr>
        <w:trPr>
          <w:trHeight w:val="832"/>
        </w:trPr>
        <w:tc>
          <w:tcPr>
            <w:tcW w:w="4260" w:type="dxa"/>
            <w:vAlign w:val="bottom"/>
            <w:tcBorders>
              <w:top w:val="single" w:sz="8" w:color="CCEEFF"/>
            </w:tcBorders>
          </w:tcPr>
          <w:p>
            <w:pPr>
              <w:spacing w:after="0"/>
              <w:rPr>
                <w:sz w:val="24"/>
                <w:szCs w:val="24"/>
                <w:color w:val="auto"/>
              </w:rPr>
            </w:pPr>
          </w:p>
        </w:tc>
        <w:tc>
          <w:tcPr>
            <w:tcW w:w="1720" w:type="dxa"/>
            <w:vAlign w:val="bottom"/>
            <w:tcBorders>
              <w:top w:val="single" w:sz="8" w:color="CCEEFF"/>
            </w:tcBorders>
          </w:tcPr>
          <w:p>
            <w:pPr>
              <w:jc w:val="right"/>
              <w:ind w:right="196"/>
              <w:spacing w:after="0"/>
              <w:rPr>
                <w:sz w:val="20"/>
                <w:szCs w:val="20"/>
                <w:color w:val="auto"/>
              </w:rPr>
            </w:pPr>
            <w:r>
              <w:rPr>
                <w:rFonts w:ascii="Arial" w:cs="Arial" w:eastAsia="Arial" w:hAnsi="Arial"/>
                <w:sz w:val="14"/>
                <w:szCs w:val="14"/>
                <w:color w:val="auto"/>
              </w:rPr>
              <w:t>20</w:t>
            </w:r>
          </w:p>
        </w:tc>
        <w:tc>
          <w:tcPr>
            <w:tcW w:w="112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6"/>
        </w:trPr>
        <w:tc>
          <w:tcPr>
            <w:tcW w:w="426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CHANGES IN ACCUMULATED OTHER COMPREHENSIVE INCOME BY COMPONENT</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tables set forth the changes in our accumulated other comprehensive income by component (net of tax of $0) for the three and six-month periods ended May 3, 2020 and April 28, 2019.</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20" w:type="dxa"/>
            <w:vAlign w:val="bottom"/>
            <w:gridSpan w:val="8"/>
          </w:tcPr>
          <w:p>
            <w:pPr>
              <w:jc w:val="center"/>
              <w:ind w:right="220"/>
              <w:spacing w:after="0"/>
              <w:rPr>
                <w:sz w:val="20"/>
                <w:szCs w:val="20"/>
                <w:color w:val="auto"/>
              </w:rPr>
            </w:pPr>
            <w:r>
              <w:rPr>
                <w:rFonts w:ascii="Arial" w:cs="Arial" w:eastAsia="Arial" w:hAnsi="Arial"/>
                <w:sz w:val="18"/>
                <w:szCs w:val="18"/>
                <w:b w:val="1"/>
                <w:bCs w:val="1"/>
                <w:color w:val="auto"/>
                <w:w w:val="92"/>
              </w:rPr>
              <w:t>Three Months Ended May 3, 2020</w:t>
            </w:r>
          </w:p>
        </w:tc>
        <w:tc>
          <w:tcPr>
            <w:tcW w:w="2800" w:type="dxa"/>
            <w:vAlign w:val="bottom"/>
          </w:tcPr>
          <w:p>
            <w:pPr>
              <w:spacing w:after="0"/>
              <w:rPr>
                <w:sz w:val="20"/>
                <w:szCs w:val="20"/>
                <w:color w:val="auto"/>
              </w:rPr>
            </w:pPr>
          </w:p>
        </w:tc>
      </w:tr>
      <w:tr>
        <w:trPr>
          <w:trHeight w:val="198"/>
        </w:trPr>
        <w:tc>
          <w:tcPr>
            <w:tcW w:w="4980" w:type="dxa"/>
            <w:vAlign w:val="bottom"/>
          </w:tcPr>
          <w:p>
            <w:pPr>
              <w:spacing w:after="0"/>
              <w:rPr>
                <w:sz w:val="17"/>
                <w:szCs w:val="17"/>
                <w:color w:val="auto"/>
              </w:rPr>
            </w:pPr>
          </w:p>
        </w:tc>
        <w:tc>
          <w:tcPr>
            <w:tcW w:w="1540" w:type="dxa"/>
            <w:vAlign w:val="bottom"/>
            <w:tcBorders>
              <w:top w:val="single" w:sz="8" w:color="auto"/>
            </w:tcBorders>
            <w:gridSpan w:val="3"/>
          </w:tcPr>
          <w:p>
            <w:pPr>
              <w:spacing w:after="0" w:line="198" w:lineRule="exact"/>
              <w:rPr>
                <w:sz w:val="20"/>
                <w:szCs w:val="20"/>
                <w:color w:val="auto"/>
              </w:rPr>
            </w:pPr>
            <w:r>
              <w:rPr>
                <w:rFonts w:ascii="Arial" w:cs="Arial" w:eastAsia="Arial" w:hAnsi="Arial"/>
                <w:sz w:val="18"/>
                <w:szCs w:val="18"/>
                <w:b w:val="1"/>
                <w:bCs w:val="1"/>
                <w:color w:val="auto"/>
                <w:w w:val="99"/>
              </w:rPr>
              <w:t>Foreign Currency</w:t>
            </w: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216"/>
        </w:trPr>
        <w:tc>
          <w:tcPr>
            <w:tcW w:w="4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Translation</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41"/>
        </w:trPr>
        <w:tc>
          <w:tcPr>
            <w:tcW w:w="4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89"/>
              </w:rPr>
              <w:t>Adjustments</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Other</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216"/>
        </w:trPr>
        <w:tc>
          <w:tcPr>
            <w:tcW w:w="4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4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February 3, 2020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(11,076)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(11,742)</w:t>
            </w:r>
          </w:p>
        </w:tc>
        <w:tc>
          <w:tcPr>
            <w:tcW w:w="2800" w:type="dxa"/>
            <w:vAlign w:val="bottom"/>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14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(2,405)</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(2,404)</w:t>
            </w:r>
          </w:p>
        </w:tc>
        <w:tc>
          <w:tcPr>
            <w:tcW w:w="2800" w:type="dxa"/>
            <w:vAlign w:val="bottom"/>
          </w:tcPr>
          <w:p>
            <w:pPr>
              <w:spacing w:after="0"/>
              <w:rPr>
                <w:sz w:val="18"/>
                <w:szCs w:val="18"/>
                <w:color w:val="auto"/>
              </w:rPr>
            </w:pPr>
          </w:p>
        </w:tc>
      </w:tr>
      <w:tr>
        <w:trPr>
          <w:trHeight w:val="202"/>
        </w:trPr>
        <w:tc>
          <w:tcPr>
            <w:tcW w:w="498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w w:val="96"/>
              </w:rPr>
              <w:t>Less: other comprehensive income attributable to noncontrolling</w:t>
            </w:r>
          </w:p>
        </w:tc>
        <w:tc>
          <w:tcPr>
            <w:tcW w:w="140" w:type="dxa"/>
            <w:vAlign w:val="bottom"/>
            <w:shd w:val="clear" w:color="auto" w:fill="CCEEFF"/>
          </w:tcPr>
          <w:p>
            <w:pPr>
              <w:spacing w:after="0"/>
              <w:rPr>
                <w:sz w:val="17"/>
                <w:szCs w:val="17"/>
                <w:color w:val="auto"/>
              </w:rPr>
            </w:pPr>
          </w:p>
        </w:tc>
        <w:tc>
          <w:tcPr>
            <w:tcW w:w="124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0" w:type="dxa"/>
            <w:vAlign w:val="bottom"/>
          </w:tcPr>
          <w:p>
            <w:pPr>
              <w:spacing w:after="0"/>
              <w:rPr>
                <w:sz w:val="17"/>
                <w:szCs w:val="17"/>
                <w:color w:val="auto"/>
              </w:rPr>
            </w:pPr>
          </w:p>
        </w:tc>
      </w:tr>
      <w:tr>
        <w:trPr>
          <w:trHeight w:val="237"/>
        </w:trPr>
        <w:tc>
          <w:tcPr>
            <w:tcW w:w="498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interests</w:t>
            </w:r>
          </w:p>
        </w:tc>
        <w:tc>
          <w:tcPr>
            <w:tcW w:w="140" w:type="dxa"/>
            <w:vAlign w:val="bottom"/>
            <w:shd w:val="clear" w:color="auto" w:fill="CCEEFF"/>
          </w:tcPr>
          <w:p>
            <w:pPr>
              <w:spacing w:after="0"/>
              <w:rPr>
                <w:sz w:val="20"/>
                <w:szCs w:val="20"/>
                <w:color w:val="auto"/>
              </w:rPr>
            </w:pPr>
          </w:p>
        </w:tc>
        <w:tc>
          <w:tcPr>
            <w:tcW w:w="14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1,054</w:t>
            </w:r>
          </w:p>
        </w:tc>
        <w:tc>
          <w:tcPr>
            <w:tcW w:w="14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1,054</w:t>
            </w:r>
          </w:p>
        </w:tc>
        <w:tc>
          <w:tcPr>
            <w:tcW w:w="2800" w:type="dxa"/>
            <w:vAlign w:val="bottom"/>
          </w:tcPr>
          <w:p>
            <w:pPr>
              <w:spacing w:after="0"/>
              <w:rPr>
                <w:sz w:val="20"/>
                <w:szCs w:val="20"/>
                <w:color w:val="auto"/>
              </w:rPr>
            </w:pPr>
          </w:p>
        </w:tc>
      </w:tr>
      <w:tr>
        <w:trPr>
          <w:trHeight w:val="216"/>
        </w:trPr>
        <w:tc>
          <w:tcPr>
            <w:tcW w:w="49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0" w:type="dxa"/>
            <w:vAlign w:val="bottom"/>
          </w:tcPr>
          <w:p>
            <w:pPr>
              <w:spacing w:after="0"/>
              <w:rPr>
                <w:sz w:val="18"/>
                <w:szCs w:val="18"/>
                <w:color w:val="auto"/>
              </w:rPr>
            </w:pPr>
          </w:p>
        </w:tc>
      </w:tr>
      <w:tr>
        <w:trPr>
          <w:trHeight w:val="237"/>
        </w:trPr>
        <w:tc>
          <w:tcPr>
            <w:tcW w:w="4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May 3, 2020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(14,535)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(15,200)</w:t>
            </w:r>
          </w:p>
        </w:tc>
        <w:tc>
          <w:tcPr>
            <w:tcW w:w="2800" w:type="dxa"/>
            <w:vAlign w:val="bottom"/>
          </w:tcPr>
          <w:p>
            <w:pPr>
              <w:spacing w:after="0"/>
              <w:rPr>
                <w:sz w:val="20"/>
                <w:szCs w:val="20"/>
                <w:color w:val="auto"/>
              </w:rPr>
            </w:pPr>
          </w:p>
        </w:tc>
      </w:tr>
      <w:tr>
        <w:trPr>
          <w:trHeight w:val="20"/>
        </w:trPr>
        <w:tc>
          <w:tcPr>
            <w:tcW w:w="49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459"/>
        </w:trPr>
        <w:tc>
          <w:tcPr>
            <w:tcW w:w="4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20" w:type="dxa"/>
            <w:vAlign w:val="bottom"/>
            <w:gridSpan w:val="8"/>
          </w:tcPr>
          <w:p>
            <w:pPr>
              <w:jc w:val="center"/>
              <w:ind w:right="260"/>
              <w:spacing w:after="0"/>
              <w:rPr>
                <w:sz w:val="20"/>
                <w:szCs w:val="20"/>
                <w:color w:val="auto"/>
              </w:rPr>
            </w:pPr>
            <w:r>
              <w:rPr>
                <w:rFonts w:ascii="Arial" w:cs="Arial" w:eastAsia="Arial" w:hAnsi="Arial"/>
                <w:sz w:val="18"/>
                <w:szCs w:val="18"/>
                <w:b w:val="1"/>
                <w:bCs w:val="1"/>
                <w:color w:val="auto"/>
                <w:w w:val="92"/>
              </w:rPr>
              <w:t>Three Months Ended April 28, 2019</w:t>
            </w:r>
          </w:p>
        </w:tc>
        <w:tc>
          <w:tcPr>
            <w:tcW w:w="2800" w:type="dxa"/>
            <w:vAlign w:val="bottom"/>
          </w:tcPr>
          <w:p>
            <w:pPr>
              <w:spacing w:after="0"/>
              <w:rPr>
                <w:sz w:val="24"/>
                <w:szCs w:val="24"/>
                <w:color w:val="auto"/>
              </w:rPr>
            </w:pPr>
          </w:p>
        </w:tc>
      </w:tr>
      <w:tr>
        <w:trPr>
          <w:trHeight w:val="198"/>
        </w:trPr>
        <w:tc>
          <w:tcPr>
            <w:tcW w:w="4980" w:type="dxa"/>
            <w:vAlign w:val="bottom"/>
          </w:tcPr>
          <w:p>
            <w:pPr>
              <w:spacing w:after="0"/>
              <w:rPr>
                <w:sz w:val="17"/>
                <w:szCs w:val="17"/>
                <w:color w:val="auto"/>
              </w:rPr>
            </w:pPr>
          </w:p>
        </w:tc>
        <w:tc>
          <w:tcPr>
            <w:tcW w:w="1540" w:type="dxa"/>
            <w:vAlign w:val="bottom"/>
            <w:tcBorders>
              <w:top w:val="single" w:sz="8" w:color="auto"/>
            </w:tcBorders>
            <w:gridSpan w:val="3"/>
          </w:tcPr>
          <w:p>
            <w:pPr>
              <w:jc w:val="center"/>
              <w:ind w:right="200"/>
              <w:spacing w:after="0" w:line="198" w:lineRule="exact"/>
              <w:rPr>
                <w:sz w:val="20"/>
                <w:szCs w:val="20"/>
                <w:color w:val="auto"/>
              </w:rPr>
            </w:pPr>
            <w:r>
              <w:rPr>
                <w:rFonts w:ascii="Arial" w:cs="Arial" w:eastAsia="Arial" w:hAnsi="Arial"/>
                <w:sz w:val="18"/>
                <w:szCs w:val="18"/>
                <w:b w:val="1"/>
                <w:bCs w:val="1"/>
                <w:color w:val="auto"/>
                <w:w w:val="89"/>
              </w:rPr>
              <w:t>Foreign Currency</w:t>
            </w: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216"/>
        </w:trPr>
        <w:tc>
          <w:tcPr>
            <w:tcW w:w="4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Translation</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41"/>
        </w:trPr>
        <w:tc>
          <w:tcPr>
            <w:tcW w:w="4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b w:val="1"/>
                <w:bCs w:val="1"/>
                <w:color w:val="auto"/>
                <w:w w:val="89"/>
              </w:rPr>
              <w:t>Adjustments</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5"/>
              </w:rPr>
              <w:t>Other</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432"/>
        </w:trPr>
        <w:tc>
          <w:tcPr>
            <w:tcW w:w="4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spacing w:after="0"/>
              <w:rPr>
                <w:sz w:val="24"/>
                <w:szCs w:val="24"/>
                <w:color w:val="auto"/>
              </w:rPr>
            </w:pPr>
          </w:p>
        </w:tc>
        <w:tc>
          <w:tcPr>
            <w:tcW w:w="2800" w:type="dxa"/>
            <w:vAlign w:val="bottom"/>
          </w:tcPr>
          <w:p>
            <w:pPr>
              <w:spacing w:after="0"/>
              <w:rPr>
                <w:sz w:val="24"/>
                <w:szCs w:val="24"/>
                <w:color w:val="auto"/>
              </w:rPr>
            </w:pPr>
          </w:p>
        </w:tc>
      </w:tr>
      <w:tr>
        <w:trPr>
          <w:trHeight w:val="216"/>
        </w:trPr>
        <w:tc>
          <w:tcPr>
            <w:tcW w:w="4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28, 2019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0"/>
                <w:szCs w:val="10"/>
                <w:color w:val="auto"/>
                <w:w w:val="71"/>
              </w:rPr>
              <w:t>$</w:t>
            </w: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343</w:t>
            </w:r>
          </w:p>
        </w:tc>
        <w:tc>
          <w:tcPr>
            <w:tcW w:w="2800" w:type="dxa"/>
            <w:vAlign w:val="bottom"/>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1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(7,054)</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(7,029)</w:t>
            </w:r>
          </w:p>
        </w:tc>
        <w:tc>
          <w:tcPr>
            <w:tcW w:w="2800" w:type="dxa"/>
            <w:vAlign w:val="bottom"/>
          </w:tcPr>
          <w:p>
            <w:pPr>
              <w:spacing w:after="0"/>
              <w:rPr>
                <w:sz w:val="18"/>
                <w:szCs w:val="18"/>
                <w:color w:val="auto"/>
              </w:rPr>
            </w:pPr>
          </w:p>
        </w:tc>
      </w:tr>
      <w:tr>
        <w:trPr>
          <w:trHeight w:val="202"/>
        </w:trPr>
        <w:tc>
          <w:tcPr>
            <w:tcW w:w="498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w w:val="96"/>
              </w:rPr>
              <w:t>Less: other comprehensive income attributable to noncontrolling</w:t>
            </w:r>
          </w:p>
        </w:tc>
        <w:tc>
          <w:tcPr>
            <w:tcW w:w="140" w:type="dxa"/>
            <w:vAlign w:val="bottom"/>
            <w:shd w:val="clear" w:color="auto" w:fill="CCEEFF"/>
          </w:tcPr>
          <w:p>
            <w:pPr>
              <w:spacing w:after="0"/>
              <w:rPr>
                <w:sz w:val="17"/>
                <w:szCs w:val="17"/>
                <w:color w:val="auto"/>
              </w:rPr>
            </w:pPr>
          </w:p>
        </w:tc>
        <w:tc>
          <w:tcPr>
            <w:tcW w:w="124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0" w:type="dxa"/>
            <w:vAlign w:val="bottom"/>
          </w:tcPr>
          <w:p>
            <w:pPr>
              <w:spacing w:after="0"/>
              <w:rPr>
                <w:sz w:val="17"/>
                <w:szCs w:val="17"/>
                <w:color w:val="auto"/>
              </w:rPr>
            </w:pPr>
          </w:p>
        </w:tc>
      </w:tr>
      <w:tr>
        <w:trPr>
          <w:trHeight w:val="237"/>
        </w:trPr>
        <w:tc>
          <w:tcPr>
            <w:tcW w:w="498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interests</w:t>
            </w:r>
          </w:p>
        </w:tc>
        <w:tc>
          <w:tcPr>
            <w:tcW w:w="140" w:type="dxa"/>
            <w:vAlign w:val="bottom"/>
            <w:shd w:val="clear" w:color="auto" w:fill="CCEEFF"/>
          </w:tcPr>
          <w:p>
            <w:pPr>
              <w:spacing w:after="0"/>
              <w:rPr>
                <w:sz w:val="20"/>
                <w:szCs w:val="20"/>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6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w:t>
            </w:r>
          </w:p>
        </w:tc>
        <w:tc>
          <w:tcPr>
            <w:tcW w:w="2800" w:type="dxa"/>
            <w:vAlign w:val="bottom"/>
          </w:tcPr>
          <w:p>
            <w:pPr>
              <w:spacing w:after="0"/>
              <w:rPr>
                <w:sz w:val="20"/>
                <w:szCs w:val="20"/>
                <w:color w:val="auto"/>
              </w:rPr>
            </w:pPr>
          </w:p>
        </w:tc>
      </w:tr>
      <w:tr>
        <w:trPr>
          <w:trHeight w:val="216"/>
        </w:trPr>
        <w:tc>
          <w:tcPr>
            <w:tcW w:w="49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0" w:type="dxa"/>
            <w:vAlign w:val="bottom"/>
          </w:tcPr>
          <w:p>
            <w:pPr>
              <w:spacing w:after="0"/>
              <w:rPr>
                <w:sz w:val="18"/>
                <w:szCs w:val="18"/>
                <w:color w:val="auto"/>
              </w:rPr>
            </w:pPr>
          </w:p>
        </w:tc>
      </w:tr>
      <w:tr>
        <w:trPr>
          <w:trHeight w:val="236"/>
        </w:trPr>
        <w:tc>
          <w:tcPr>
            <w:tcW w:w="4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April 28, 2019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(6,212)</w:t>
            </w: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0"/>
                <w:szCs w:val="10"/>
                <w:color w:val="auto"/>
                <w:w w:val="71"/>
              </w:rPr>
              <w:t>$</w:t>
            </w: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(6,828)</w:t>
            </w:r>
          </w:p>
        </w:tc>
        <w:tc>
          <w:tcPr>
            <w:tcW w:w="2800" w:type="dxa"/>
            <w:vAlign w:val="bottom"/>
          </w:tcPr>
          <w:p>
            <w:pPr>
              <w:spacing w:after="0"/>
              <w:rPr>
                <w:sz w:val="20"/>
                <w:szCs w:val="20"/>
                <w:color w:val="auto"/>
              </w:rPr>
            </w:pPr>
          </w:p>
        </w:tc>
      </w:tr>
      <w:tr>
        <w:trPr>
          <w:trHeight w:val="20"/>
        </w:trPr>
        <w:tc>
          <w:tcPr>
            <w:tcW w:w="49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460"/>
        </w:trPr>
        <w:tc>
          <w:tcPr>
            <w:tcW w:w="4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20" w:type="dxa"/>
            <w:vAlign w:val="bottom"/>
            <w:gridSpan w:val="8"/>
          </w:tcPr>
          <w:p>
            <w:pPr>
              <w:jc w:val="center"/>
              <w:ind w:right="220"/>
              <w:spacing w:after="0"/>
              <w:rPr>
                <w:sz w:val="20"/>
                <w:szCs w:val="20"/>
                <w:color w:val="auto"/>
              </w:rPr>
            </w:pPr>
            <w:r>
              <w:rPr>
                <w:rFonts w:ascii="Arial" w:cs="Arial" w:eastAsia="Arial" w:hAnsi="Arial"/>
                <w:sz w:val="18"/>
                <w:szCs w:val="18"/>
                <w:b w:val="1"/>
                <w:bCs w:val="1"/>
                <w:color w:val="auto"/>
                <w:w w:val="91"/>
              </w:rPr>
              <w:t>Six Months Ended May 3, 2020</w:t>
            </w:r>
          </w:p>
        </w:tc>
        <w:tc>
          <w:tcPr>
            <w:tcW w:w="2800" w:type="dxa"/>
            <w:vAlign w:val="bottom"/>
          </w:tcPr>
          <w:p>
            <w:pPr>
              <w:spacing w:after="0"/>
              <w:rPr>
                <w:sz w:val="24"/>
                <w:szCs w:val="24"/>
                <w:color w:val="auto"/>
              </w:rPr>
            </w:pPr>
          </w:p>
        </w:tc>
      </w:tr>
      <w:tr>
        <w:trPr>
          <w:trHeight w:val="198"/>
        </w:trPr>
        <w:tc>
          <w:tcPr>
            <w:tcW w:w="4980" w:type="dxa"/>
            <w:vAlign w:val="bottom"/>
          </w:tcPr>
          <w:p>
            <w:pPr>
              <w:spacing w:after="0"/>
              <w:rPr>
                <w:sz w:val="17"/>
                <w:szCs w:val="17"/>
                <w:color w:val="auto"/>
              </w:rPr>
            </w:pPr>
          </w:p>
        </w:tc>
        <w:tc>
          <w:tcPr>
            <w:tcW w:w="1540" w:type="dxa"/>
            <w:vAlign w:val="bottom"/>
            <w:tcBorders>
              <w:top w:val="single" w:sz="8" w:color="auto"/>
            </w:tcBorders>
            <w:gridSpan w:val="3"/>
          </w:tcPr>
          <w:p>
            <w:pPr>
              <w:spacing w:after="0" w:line="198" w:lineRule="exact"/>
              <w:rPr>
                <w:sz w:val="20"/>
                <w:szCs w:val="20"/>
                <w:color w:val="auto"/>
              </w:rPr>
            </w:pPr>
            <w:r>
              <w:rPr>
                <w:rFonts w:ascii="Arial" w:cs="Arial" w:eastAsia="Arial" w:hAnsi="Arial"/>
                <w:sz w:val="18"/>
                <w:szCs w:val="18"/>
                <w:b w:val="1"/>
                <w:bCs w:val="1"/>
                <w:color w:val="auto"/>
                <w:w w:val="99"/>
              </w:rPr>
              <w:t>Foreign Currency</w:t>
            </w: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216"/>
        </w:trPr>
        <w:tc>
          <w:tcPr>
            <w:tcW w:w="4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Translation</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41"/>
        </w:trPr>
        <w:tc>
          <w:tcPr>
            <w:tcW w:w="4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89"/>
              </w:rPr>
              <w:t>Adjustments</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Other</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216"/>
        </w:trPr>
        <w:tc>
          <w:tcPr>
            <w:tcW w:w="4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4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November 1, 2019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(9,005)</w:t>
            </w:r>
          </w:p>
        </w:tc>
        <w:tc>
          <w:tcPr>
            <w:tcW w:w="2800" w:type="dxa"/>
            <w:vAlign w:val="bottom"/>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14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(3,970)</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(3,951)</w:t>
            </w:r>
          </w:p>
        </w:tc>
        <w:tc>
          <w:tcPr>
            <w:tcW w:w="2800" w:type="dxa"/>
            <w:vAlign w:val="bottom"/>
          </w:tcPr>
          <w:p>
            <w:pPr>
              <w:spacing w:after="0"/>
              <w:rPr>
                <w:sz w:val="18"/>
                <w:szCs w:val="18"/>
                <w:color w:val="auto"/>
              </w:rPr>
            </w:pPr>
          </w:p>
        </w:tc>
      </w:tr>
      <w:tr>
        <w:trPr>
          <w:trHeight w:val="202"/>
        </w:trPr>
        <w:tc>
          <w:tcPr>
            <w:tcW w:w="498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w w:val="96"/>
              </w:rPr>
              <w:t>Less: other comprehensive income attributable to noncontrolling</w:t>
            </w:r>
          </w:p>
        </w:tc>
        <w:tc>
          <w:tcPr>
            <w:tcW w:w="140" w:type="dxa"/>
            <w:vAlign w:val="bottom"/>
            <w:shd w:val="clear" w:color="auto" w:fill="CCEEFF"/>
          </w:tcPr>
          <w:p>
            <w:pPr>
              <w:spacing w:after="0"/>
              <w:rPr>
                <w:sz w:val="17"/>
                <w:szCs w:val="17"/>
                <w:color w:val="auto"/>
              </w:rPr>
            </w:pPr>
          </w:p>
        </w:tc>
        <w:tc>
          <w:tcPr>
            <w:tcW w:w="124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0" w:type="dxa"/>
            <w:vAlign w:val="bottom"/>
          </w:tcPr>
          <w:p>
            <w:pPr>
              <w:spacing w:after="0"/>
              <w:rPr>
                <w:sz w:val="17"/>
                <w:szCs w:val="17"/>
                <w:color w:val="auto"/>
              </w:rPr>
            </w:pPr>
          </w:p>
        </w:tc>
      </w:tr>
      <w:tr>
        <w:trPr>
          <w:trHeight w:val="237"/>
        </w:trPr>
        <w:tc>
          <w:tcPr>
            <w:tcW w:w="498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interests</w:t>
            </w:r>
          </w:p>
        </w:tc>
        <w:tc>
          <w:tcPr>
            <w:tcW w:w="140" w:type="dxa"/>
            <w:vAlign w:val="bottom"/>
            <w:shd w:val="clear" w:color="auto" w:fill="CCEEFF"/>
          </w:tcPr>
          <w:p>
            <w:pPr>
              <w:spacing w:after="0"/>
              <w:rPr>
                <w:sz w:val="20"/>
                <w:szCs w:val="20"/>
                <w:color w:val="auto"/>
              </w:rPr>
            </w:pPr>
          </w:p>
        </w:tc>
        <w:tc>
          <w:tcPr>
            <w:tcW w:w="14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2,234</w:t>
            </w:r>
          </w:p>
        </w:tc>
        <w:tc>
          <w:tcPr>
            <w:tcW w:w="14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2,244</w:t>
            </w:r>
          </w:p>
        </w:tc>
        <w:tc>
          <w:tcPr>
            <w:tcW w:w="2800" w:type="dxa"/>
            <w:vAlign w:val="bottom"/>
          </w:tcPr>
          <w:p>
            <w:pPr>
              <w:spacing w:after="0"/>
              <w:rPr>
                <w:sz w:val="20"/>
                <w:szCs w:val="20"/>
                <w:color w:val="auto"/>
              </w:rPr>
            </w:pPr>
          </w:p>
        </w:tc>
      </w:tr>
      <w:tr>
        <w:trPr>
          <w:trHeight w:val="216"/>
        </w:trPr>
        <w:tc>
          <w:tcPr>
            <w:tcW w:w="49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0" w:type="dxa"/>
            <w:vAlign w:val="bottom"/>
          </w:tcPr>
          <w:p>
            <w:pPr>
              <w:spacing w:after="0"/>
              <w:rPr>
                <w:sz w:val="18"/>
                <w:szCs w:val="18"/>
                <w:color w:val="auto"/>
              </w:rPr>
            </w:pPr>
          </w:p>
        </w:tc>
      </w:tr>
      <w:tr>
        <w:trPr>
          <w:trHeight w:val="256"/>
        </w:trPr>
        <w:tc>
          <w:tcPr>
            <w:tcW w:w="4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May 3, 2020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(14,535)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(15,200)</w:t>
            </w:r>
          </w:p>
        </w:tc>
        <w:tc>
          <w:tcPr>
            <w:tcW w:w="2800" w:type="dxa"/>
            <w:vAlign w:val="bottom"/>
          </w:tcPr>
          <w:p>
            <w:pPr>
              <w:spacing w:after="0"/>
              <w:rPr>
                <w:sz w:val="22"/>
                <w:szCs w:val="22"/>
                <w:color w:val="auto"/>
              </w:rPr>
            </w:pPr>
          </w:p>
        </w:tc>
      </w:tr>
      <w:tr>
        <w:trPr>
          <w:trHeight w:val="346"/>
        </w:trPr>
        <w:tc>
          <w:tcPr>
            <w:tcW w:w="498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jc w:val="center"/>
              <w:ind w:right="131"/>
              <w:spacing w:after="0"/>
              <w:rPr>
                <w:sz w:val="20"/>
                <w:szCs w:val="20"/>
                <w:color w:val="auto"/>
              </w:rPr>
            </w:pPr>
            <w:r>
              <w:rPr>
                <w:rFonts w:ascii="Arial" w:cs="Arial" w:eastAsia="Arial" w:hAnsi="Arial"/>
                <w:sz w:val="14"/>
                <w:szCs w:val="14"/>
                <w:color w:val="auto"/>
                <w:w w:val="89"/>
              </w:rPr>
              <w:t>21</w:t>
            </w:r>
          </w:p>
        </w:tc>
        <w:tc>
          <w:tcPr>
            <w:tcW w:w="16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800" w:type="dxa"/>
            <w:vAlign w:val="bottom"/>
          </w:tcPr>
          <w:p>
            <w:pPr>
              <w:spacing w:after="0"/>
              <w:rPr>
                <w:sz w:val="24"/>
                <w:szCs w:val="24"/>
                <w:color w:val="auto"/>
              </w:rPr>
            </w:pPr>
          </w:p>
        </w:tc>
      </w:tr>
      <w:tr>
        <w:trPr>
          <w:trHeight w:val="46"/>
        </w:trPr>
        <w:tc>
          <w:tcPr>
            <w:tcW w:w="49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00" w:type="dxa"/>
            <w:vAlign w:val="bottom"/>
            <w:gridSpan w:val="8"/>
          </w:tcPr>
          <w:p>
            <w:pPr>
              <w:jc w:val="right"/>
              <w:ind w:right="480"/>
              <w:spacing w:after="0"/>
              <w:rPr>
                <w:sz w:val="20"/>
                <w:szCs w:val="20"/>
                <w:color w:val="auto"/>
              </w:rPr>
            </w:pPr>
            <w:r>
              <w:rPr>
                <w:rFonts w:ascii="Arial" w:cs="Arial" w:eastAsia="Arial" w:hAnsi="Arial"/>
                <w:sz w:val="18"/>
                <w:szCs w:val="18"/>
                <w:b w:val="1"/>
                <w:bCs w:val="1"/>
                <w:color w:val="auto"/>
              </w:rPr>
              <w:t>Six Months Ended April 28, 2019</w:t>
            </w:r>
          </w:p>
        </w:tc>
      </w:tr>
      <w:tr>
        <w:trPr>
          <w:trHeight w:val="198"/>
        </w:trPr>
        <w:tc>
          <w:tcPr>
            <w:tcW w:w="5000" w:type="dxa"/>
            <w:vAlign w:val="bottom"/>
          </w:tcPr>
          <w:p>
            <w:pPr>
              <w:spacing w:after="0"/>
              <w:rPr>
                <w:sz w:val="17"/>
                <w:szCs w:val="17"/>
                <w:color w:val="auto"/>
              </w:rPr>
            </w:pPr>
          </w:p>
        </w:tc>
        <w:tc>
          <w:tcPr>
            <w:tcW w:w="1540" w:type="dxa"/>
            <w:vAlign w:val="bottom"/>
            <w:tcBorders>
              <w:top w:val="single" w:sz="8" w:color="auto"/>
            </w:tcBorders>
            <w:gridSpan w:val="3"/>
          </w:tcPr>
          <w:p>
            <w:pPr>
              <w:spacing w:after="0" w:line="198" w:lineRule="exact"/>
              <w:rPr>
                <w:sz w:val="20"/>
                <w:szCs w:val="20"/>
                <w:color w:val="auto"/>
              </w:rPr>
            </w:pPr>
            <w:r>
              <w:rPr>
                <w:rFonts w:ascii="Arial" w:cs="Arial" w:eastAsia="Arial" w:hAnsi="Arial"/>
                <w:sz w:val="18"/>
                <w:szCs w:val="18"/>
                <w:b w:val="1"/>
                <w:bCs w:val="1"/>
                <w:color w:val="auto"/>
              </w:rPr>
              <w:t>Foreign Currency</w:t>
            </w: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Translation</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5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3"/>
              </w:rPr>
              <w:t>Adjustments</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Other</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r>
      <w:tr>
        <w:trPr>
          <w:trHeight w:val="216"/>
        </w:trPr>
        <w:tc>
          <w:tcPr>
            <w:tcW w:w="5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Balance at November 1, 2018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(4,966)</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14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(482)</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(438)</w:t>
            </w:r>
          </w:p>
        </w:tc>
      </w:tr>
      <w:tr>
        <w:trPr>
          <w:trHeight w:val="202"/>
        </w:trPr>
        <w:tc>
          <w:tcPr>
            <w:tcW w:w="5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Less: other comprehensive income attributable to noncontrolling</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7"/>
        </w:trPr>
        <w:tc>
          <w:tcPr>
            <w:tcW w:w="5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interests</w:t>
            </w: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1,424</w:t>
            </w:r>
          </w:p>
        </w:tc>
      </w:tr>
      <w:tr>
        <w:trPr>
          <w:trHeight w:val="216"/>
        </w:trPr>
        <w:tc>
          <w:tcPr>
            <w:tcW w:w="50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37"/>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28, 2019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(6,828)</w:t>
            </w:r>
          </w:p>
        </w:tc>
      </w:tr>
      <w:tr>
        <w:trPr>
          <w:trHeight w:val="20"/>
        </w:trPr>
        <w:tc>
          <w:tcPr>
            <w:tcW w:w="50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FAIR VALUE MEASUREMENTS</w:t>
      </w:r>
    </w:p>
    <w:p>
      <w:pPr>
        <w:spacing w:after="0" w:line="256"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Level 1, defined as quoted market prices (unadjusted) in active markets for identical securities; Level 2, defined as inputs other than Level 1 that are observable, either directly or indirectly; and Level 3, defined as unobservable inputs that are not corroborated by market data.</w:t>
      </w:r>
    </w:p>
    <w:p>
      <w:pPr>
        <w:spacing w:after="0" w:line="184" w:lineRule="exact"/>
        <w:rPr>
          <w:sz w:val="20"/>
          <w:szCs w:val="20"/>
          <w:color w:val="auto"/>
        </w:rPr>
      </w:pPr>
    </w:p>
    <w:p>
      <w:pPr>
        <w:ind w:right="180" w:firstLine="324"/>
        <w:spacing w:after="0" w:line="301" w:lineRule="auto"/>
        <w:rPr>
          <w:sz w:val="20"/>
          <w:szCs w:val="20"/>
          <w:color w:val="auto"/>
        </w:rPr>
      </w:pPr>
      <w:r>
        <w:rPr>
          <w:rFonts w:ascii="Arial" w:cs="Arial" w:eastAsia="Arial" w:hAnsi="Arial"/>
          <w:sz w:val="16"/>
          <w:szCs w:val="16"/>
          <w:color w:val="auto"/>
        </w:rPr>
        <w:t>The fair values of our cash and cash equivalents (Level 1 measurements), accounts receivable, accounts payable, and certain other current assets and current liabilities (Level 2 measurements) approximate their carrying values due to their short-term maturities. The fair values of our variable rate debt instruments are a Level 2 measurement and approximates their carrying values due to the variable nature of the underlying interest rates. We did not have any assets or liabilities measured at fair value, on a recurring or a nonrecurring basis, at May 3, 2020 or October 31,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SHARE REPURCHASE PROGRAMS</w:t>
      </w:r>
    </w:p>
    <w:p>
      <w:pPr>
        <w:spacing w:after="0" w:line="256"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In August 2019, the Company’s board of directors authorized the repurchase of up to $100 million of its common stock, pursuant to a repurchase plan under Rule 10b5-1 of the Securities Act of 1933 (as amended). The company commenced repurchasing shares under this authorization on September 25, 2019. All of the 0.9 million shares repurchased under this authorization prior to November 1, 2019, were retired in fiscal 2019; the repurchase program was terminated on March 20, 2020. The table below presents information on this repurchase program.</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From Inception Date of</w:t>
            </w:r>
          </w:p>
        </w:tc>
      </w:tr>
      <w:tr>
        <w:trPr>
          <w:trHeight w:val="234"/>
        </w:trPr>
        <w:tc>
          <w:tcPr>
            <w:tcW w:w="3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780" w:type="dxa"/>
            <w:vAlign w:val="bottom"/>
            <w:gridSpan w:val="3"/>
          </w:tcPr>
          <w:p>
            <w:pPr>
              <w:spacing w:after="0"/>
              <w:rPr>
                <w:sz w:val="20"/>
                <w:szCs w:val="20"/>
                <w:color w:val="auto"/>
              </w:rPr>
            </w:pPr>
            <w:r>
              <w:rPr>
                <w:rFonts w:ascii="Arial" w:cs="Arial" w:eastAsia="Arial" w:hAnsi="Arial"/>
                <w:sz w:val="18"/>
                <w:szCs w:val="18"/>
                <w:b w:val="1"/>
                <w:bCs w:val="1"/>
                <w:color w:val="auto"/>
                <w:w w:val="97"/>
              </w:rPr>
              <w:t>Three Months Ended May 3, 2020</w:t>
            </w:r>
          </w:p>
        </w:tc>
        <w:tc>
          <w:tcPr>
            <w:tcW w:w="2460" w:type="dxa"/>
            <w:vAlign w:val="bottom"/>
            <w:gridSpan w:val="3"/>
          </w:tcPr>
          <w:p>
            <w:pPr>
              <w:spacing w:after="0"/>
              <w:rPr>
                <w:sz w:val="20"/>
                <w:szCs w:val="20"/>
                <w:color w:val="auto"/>
              </w:rPr>
            </w:pPr>
            <w:r>
              <w:rPr>
                <w:rFonts w:ascii="Arial" w:cs="Arial" w:eastAsia="Arial" w:hAnsi="Arial"/>
                <w:sz w:val="18"/>
                <w:szCs w:val="18"/>
                <w:b w:val="1"/>
                <w:bCs w:val="1"/>
                <w:color w:val="auto"/>
                <w:w w:val="93"/>
              </w:rPr>
              <w:t>Six Months Ended May 3, 2020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25, 2019</w:t>
            </w:r>
          </w:p>
        </w:tc>
      </w:tr>
      <w:tr>
        <w:trPr>
          <w:trHeight w:val="27"/>
        </w:trPr>
        <w:tc>
          <w:tcPr>
            <w:tcW w:w="3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432"/>
        </w:trPr>
        <w:tc>
          <w:tcPr>
            <w:tcW w:w="3120" w:type="dxa"/>
            <w:vAlign w:val="bottom"/>
          </w:tcPr>
          <w:p>
            <w:pPr>
              <w:spacing w:after="0"/>
              <w:rPr>
                <w:sz w:val="20"/>
                <w:szCs w:val="20"/>
                <w:color w:val="auto"/>
              </w:rPr>
            </w:pPr>
            <w:r>
              <w:rPr>
                <w:rFonts w:ascii="Arial" w:cs="Arial" w:eastAsia="Arial" w:hAnsi="Arial"/>
                <w:sz w:val="18"/>
                <w:szCs w:val="18"/>
                <w:color w:val="auto"/>
              </w:rPr>
              <w:t>Number of shares repurchased</w:t>
            </w: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549</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1,464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gridSpan w:val="2"/>
          </w:tcPr>
          <w:p>
            <w:pPr>
              <w:jc w:val="right"/>
              <w:ind w:right="80"/>
              <w:spacing w:after="0"/>
              <w:rPr>
                <w:sz w:val="20"/>
                <w:szCs w:val="20"/>
                <w:color w:val="auto"/>
              </w:rPr>
            </w:pPr>
            <w:r>
              <w:rPr>
                <w:rFonts w:ascii="Arial" w:cs="Arial" w:eastAsia="Arial" w:hAnsi="Arial"/>
                <w:sz w:val="18"/>
                <w:szCs w:val="18"/>
                <w:color w:val="auto"/>
              </w:rPr>
              <w:t>2,460</w:t>
            </w:r>
          </w:p>
        </w:tc>
      </w:tr>
      <w:tr>
        <w:trPr>
          <w:trHeight w:val="216"/>
        </w:trPr>
        <w:tc>
          <w:tcPr>
            <w:tcW w:w="31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1760" w:type="dxa"/>
            <w:vAlign w:val="bottom"/>
            <w:gridSpan w:val="2"/>
            <w:shd w:val="clear" w:color="auto" w:fill="CCEEFF"/>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Cost of shares repurchased</w:t>
            </w:r>
          </w:p>
        </w:tc>
        <w:tc>
          <w:tcPr>
            <w:tcW w:w="20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5,894</w:t>
            </w:r>
          </w:p>
        </w:tc>
        <w:tc>
          <w:tcPr>
            <w:tcW w:w="16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16,894</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1760" w:type="dxa"/>
            <w:vAlign w:val="bottom"/>
            <w:gridSpan w:val="2"/>
          </w:tcPr>
          <w:p>
            <w:pPr>
              <w:jc w:val="right"/>
              <w:ind w:right="80"/>
              <w:spacing w:after="0"/>
              <w:rPr>
                <w:sz w:val="20"/>
                <w:szCs w:val="20"/>
                <w:color w:val="auto"/>
              </w:rPr>
            </w:pPr>
            <w:r>
              <w:rPr>
                <w:rFonts w:ascii="Arial" w:cs="Arial" w:eastAsia="Arial" w:hAnsi="Arial"/>
                <w:sz w:val="18"/>
                <w:szCs w:val="18"/>
                <w:color w:val="auto"/>
              </w:rPr>
              <w:t>27,894</w:t>
            </w:r>
          </w:p>
        </w:tc>
      </w:tr>
      <w:tr>
        <w:trPr>
          <w:trHeight w:val="216"/>
        </w:trPr>
        <w:tc>
          <w:tcPr>
            <w:tcW w:w="31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1760" w:type="dxa"/>
            <w:vAlign w:val="bottom"/>
            <w:gridSpan w:val="2"/>
            <w:shd w:val="clear" w:color="auto" w:fill="CCEEFF"/>
          </w:tcPr>
          <w:p>
            <w:pPr>
              <w:spacing w:after="0"/>
              <w:rPr>
                <w:sz w:val="18"/>
                <w:szCs w:val="18"/>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Average price paid per share</w:t>
            </w:r>
          </w:p>
        </w:tc>
        <w:tc>
          <w:tcPr>
            <w:tcW w:w="20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10.75</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11.54</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1760" w:type="dxa"/>
            <w:vAlign w:val="bottom"/>
            <w:gridSpan w:val="2"/>
          </w:tcPr>
          <w:p>
            <w:pPr>
              <w:jc w:val="right"/>
              <w:ind w:right="80"/>
              <w:spacing w:after="0"/>
              <w:rPr>
                <w:sz w:val="20"/>
                <w:szCs w:val="20"/>
                <w:color w:val="auto"/>
              </w:rPr>
            </w:pPr>
            <w:r>
              <w:rPr>
                <w:rFonts w:ascii="Arial" w:cs="Arial" w:eastAsia="Arial" w:hAnsi="Arial"/>
                <w:sz w:val="18"/>
                <w:szCs w:val="18"/>
                <w:color w:val="auto"/>
              </w:rPr>
              <w:t>11.34</w:t>
            </w:r>
          </w:p>
        </w:tc>
      </w:tr>
    </w:tbl>
    <w:p>
      <w:pPr>
        <w:spacing w:after="0" w:line="214"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October 2018, the Company’s board of directors authorized the repurchase of up to $25 million of its common stock, to have been executed in open-market transactions or in accordance with a repurchase plan under Rule 10b5-1 of the Securities Act of 1933 (as amended). The share repurchase program commenced on October 22, 2018, and was terminated on February 1, 2019. All of the shares repurchased under this program were retired in fiscal 2019. The table below presents information on this repurchase program.</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1720" w:type="dxa"/>
            <w:vAlign w:val="bottom"/>
            <w:gridSpan w:val="3"/>
          </w:tcPr>
          <w:p>
            <w:pPr>
              <w:spacing w:after="0"/>
              <w:rPr>
                <w:sz w:val="20"/>
                <w:szCs w:val="20"/>
                <w:color w:val="auto"/>
              </w:rPr>
            </w:pPr>
            <w:r>
              <w:rPr>
                <w:rFonts w:ascii="Arial" w:cs="Arial" w:eastAsia="Arial" w:hAnsi="Arial"/>
                <w:sz w:val="18"/>
                <w:szCs w:val="18"/>
                <w:b w:val="1"/>
                <w:bCs w:val="1"/>
                <w:color w:val="auto"/>
                <w:w w:val="95"/>
              </w:rPr>
              <w:t>Three Months Ended</w:t>
            </w:r>
          </w:p>
        </w:tc>
        <w:tc>
          <w:tcPr>
            <w:tcW w:w="196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From Inception Date of</w:t>
            </w:r>
          </w:p>
        </w:tc>
      </w:tr>
      <w:tr>
        <w:trPr>
          <w:trHeight w:val="241"/>
        </w:trPr>
        <w:tc>
          <w:tcPr>
            <w:tcW w:w="47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2"/>
              </w:rPr>
              <w:t>January 27, 2019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October 22, 2018</w:t>
            </w:r>
          </w:p>
        </w:tc>
        <w:tc>
          <w:tcPr>
            <w:tcW w:w="80" w:type="dxa"/>
            <w:vAlign w:val="bottom"/>
          </w:tcPr>
          <w:p>
            <w:pPr>
              <w:spacing w:after="0"/>
              <w:rPr>
                <w:sz w:val="20"/>
                <w:szCs w:val="20"/>
                <w:color w:val="auto"/>
              </w:rPr>
            </w:pPr>
          </w:p>
        </w:tc>
      </w:tr>
      <w:tr>
        <w:trPr>
          <w:trHeight w:val="432"/>
        </w:trPr>
        <w:tc>
          <w:tcPr>
            <w:tcW w:w="4760" w:type="dxa"/>
            <w:vAlign w:val="bottom"/>
          </w:tcPr>
          <w:p>
            <w:pPr>
              <w:spacing w:after="0"/>
              <w:rPr>
                <w:sz w:val="20"/>
                <w:szCs w:val="20"/>
                <w:color w:val="auto"/>
              </w:rPr>
            </w:pPr>
            <w:r>
              <w:rPr>
                <w:rFonts w:ascii="Arial" w:cs="Arial" w:eastAsia="Arial" w:hAnsi="Arial"/>
                <w:sz w:val="18"/>
                <w:szCs w:val="18"/>
                <w:color w:val="auto"/>
              </w:rPr>
              <w:t>Number of shares repurchased</w:t>
            </w:r>
          </w:p>
        </w:tc>
        <w:tc>
          <w:tcPr>
            <w:tcW w:w="120" w:type="dxa"/>
            <w:vAlign w:val="bottom"/>
          </w:tcPr>
          <w:p>
            <w:pPr>
              <w:spacing w:after="0"/>
              <w:rPr>
                <w:sz w:val="24"/>
                <w:szCs w:val="24"/>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1,137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gridSpan w:val="2"/>
          </w:tcPr>
          <w:p>
            <w:pPr>
              <w:jc w:val="right"/>
              <w:ind w:right="80"/>
              <w:spacing w:after="0"/>
              <w:rPr>
                <w:sz w:val="20"/>
                <w:szCs w:val="20"/>
                <w:color w:val="auto"/>
              </w:rPr>
            </w:pPr>
            <w:r>
              <w:rPr>
                <w:rFonts w:ascii="Arial" w:cs="Arial" w:eastAsia="Arial" w:hAnsi="Arial"/>
                <w:sz w:val="18"/>
                <w:szCs w:val="18"/>
                <w:color w:val="auto"/>
              </w:rPr>
              <w:t>1,467</w:t>
            </w:r>
          </w:p>
        </w:tc>
      </w:tr>
      <w:tr>
        <w:trPr>
          <w:trHeight w:val="216"/>
        </w:trPr>
        <w:tc>
          <w:tcPr>
            <w:tcW w:w="4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720" w:type="dxa"/>
            <w:vAlign w:val="bottom"/>
            <w:gridSpan w:val="2"/>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Cost of shares repurchased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10,694</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13,807</w:t>
            </w:r>
          </w:p>
        </w:tc>
      </w:tr>
      <w:tr>
        <w:trPr>
          <w:trHeight w:val="216"/>
        </w:trPr>
        <w:tc>
          <w:tcPr>
            <w:tcW w:w="4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720" w:type="dxa"/>
            <w:vAlign w:val="bottom"/>
            <w:gridSpan w:val="2"/>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Average price paid per share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9.40</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9.41</w:t>
            </w:r>
          </w:p>
        </w:tc>
      </w:tr>
      <w:tr>
        <w:trPr>
          <w:trHeight w:val="459"/>
        </w:trPr>
        <w:tc>
          <w:tcPr>
            <w:tcW w:w="4760" w:type="dxa"/>
            <w:vAlign w:val="bottom"/>
          </w:tcPr>
          <w:p>
            <w:pPr>
              <w:spacing w:after="0"/>
              <w:rPr>
                <w:sz w:val="20"/>
                <w:szCs w:val="20"/>
                <w:color w:val="auto"/>
              </w:rPr>
            </w:pPr>
            <w:r>
              <w:rPr>
                <w:rFonts w:ascii="Arial" w:cs="Arial" w:eastAsia="Arial" w:hAnsi="Arial"/>
                <w:sz w:val="18"/>
                <w:szCs w:val="18"/>
                <w:b w:val="1"/>
                <w:bCs w:val="1"/>
                <w:color w:val="auto"/>
              </w:rPr>
              <w:t>NOTE 14 - COMMITMENTS AND CONTINGENCIES</w:t>
            </w: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2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As of May 3, 2020, the Company had commitments outstanding for capital expenditures of approximately $138 million, primarily for the purchase of high-end IC equipment. See Note 7 for information on our operating lease commitments.</w:t>
      </w:r>
    </w:p>
    <w:p>
      <w:pPr>
        <w:spacing w:after="0" w:line="197"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The Company’s wholly owned subsidiary in South Korea has been involved in litigation regarding a 2016 informational tax filing for its non-South Korean bank accounts that was not timely made under a then recently issued presidential decree. A fine (based solely on the amount in such accounts) in the amount of $2.2 million was assessed against our subsidiary. Our subsidiary appealed the fine on the grounds that it was not required to make the tax filing, and such appeal was pursued up to the Supreme Court in South Korea. Under South Korean law, the tax authorities were entitled to pursue the matter in both civil and criminal courts simultaneously, with the proviso that any criminal fine imposed would act to dismiss any civil fine. The prosecutor recommended a fine of $0.03 million. The civil matter has subsequently been dismissed. Photronics was notified on March 12, 2020, that the Supreme Court rendered a decision against our subsidiary on the issue of whether our subsidiary was required to make the tax filing and remanded the case to the appellate court for determination of the fine. We are awaiting a trial date from the appellate court. Prior to the Supreme Court decision, the possibility of a fine had been deemed remote, as our initial assessment based on advice of local counsel and the subsequent judgments in the lower courts were all in our favor. Our estimate of the possible range of loss is $0.03 million to $2.2 million with the most likely amount being $0.03 million (based on the prosecutor’s recommendation). Accordingly, during the three-month period ended May 3, 2020, we accrued a contingent loss of $0.03 million with a charge to Selling, general and administrative expense in the consolidated statements of income. It is reasonably possible that the estimated loss will change in the near term. Our exposure to loss in excess of amounts accrued is $2.17 million. The imposition of the fine will not have a material impact on our financial position or financial performance.</w:t>
      </w:r>
    </w:p>
    <w:p>
      <w:pPr>
        <w:spacing w:after="0" w:line="211" w:lineRule="exact"/>
        <w:rPr>
          <w:sz w:val="20"/>
          <w:szCs w:val="20"/>
          <w:color w:val="auto"/>
        </w:rPr>
      </w:pPr>
    </w:p>
    <w:p>
      <w:pPr>
        <w:ind w:right="840" w:firstLine="324"/>
        <w:spacing w:after="0" w:line="277" w:lineRule="auto"/>
        <w:rPr>
          <w:sz w:val="20"/>
          <w:szCs w:val="20"/>
          <w:color w:val="auto"/>
        </w:rPr>
      </w:pPr>
      <w:r>
        <w:rPr>
          <w:rFonts w:ascii="Arial" w:cs="Arial" w:eastAsia="Arial" w:hAnsi="Arial"/>
          <w:sz w:val="18"/>
          <w:szCs w:val="18"/>
          <w:color w:val="auto"/>
        </w:rPr>
        <w:t>We are subject to various other claims that arise in the ordinary course of business. We believe that our potential liability under such claims, individually or in the aggregate, will not have a material effect on the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RECENT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Updates Adopted</w:t>
      </w:r>
    </w:p>
    <w:p>
      <w:pPr>
        <w:spacing w:after="0" w:line="256"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We adopted ASU 2016-02 and all subsequent amendments, collectively codified in ASC Topic 842 “Leases” (“Topic 842”), on November 1, 2019. The guidance requires modified retrospective adoption, either at the beginning of the earliest period presented or at the beginning of the period of adoption. We elected to apply the guidance at the beginning of the period of adoption and recorded, as of November 1, 2019, right-of-use (ROU) leased assets of $6.5 million. In conjunction with this, we recorded lease liabilities, which had been discounted at our incremental borrowing rates, of $6.5 million. Our adoption of Topic 842 did not affect our cash flows or our ability to comply with covenants under our credit agreement. Please see Note 7 for our leases disclosure.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Updates to be Adopted</w:t>
      </w:r>
    </w:p>
    <w:p>
      <w:pPr>
        <w:spacing w:after="0" w:line="256"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In March 2020, the FASB issued ASU 2020-04, “Reference Rate Reform (Topic 848): Facilitation of the Effects of Reference Rate Reform on Financial Reporting”, which provides optional expedients and exceptions to applying the guidance on contract modifications, hedge accounting, and other transactions, to simplify the accounting for transitioning from the London Interbank Offered Rate, and other interbank offered rates expected to be discontinued, to alternative reference rates. The guidance in this Update was effective upon its issuance; if elected, it is to be applied prospectively through December 31, 2022. We are currently evaluating the effect the potential adoption of this ASU will have on our consolidated financial statements.</w:t>
      </w:r>
    </w:p>
    <w:p>
      <w:pPr>
        <w:spacing w:after="0" w:line="188"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In June 2016, the FASB issued ASU 2016-13, “Measurement of Credit Losses”, the main objective of which is to provide more useful information about expected credit losses on financial instruments and other commitments of an entity to extend credit. In support of this objective, the ASU replaces the incurred loss impairment methodology, found in current GAAP, with a methodology that reflects expected credit losses and requires consideration of a broader range of reasonable and supportable information to inform credit loss estimates. This ASU requires a cumulative-effect adjustment as of the beginning of the first reporting period in which the guidance is adopted. ASU 2016-13 is effective for Photronics in its first quarter of fiscal year 2021, with early adoption permitted beginning in the first quarter of fiscal year 2019. We have not early adopted and are currently evaluating the effect that this ASU will have on our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0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20" w:firstLine="243"/>
        <w:spacing w:after="0" w:line="301" w:lineRule="auto"/>
        <w:rPr>
          <w:sz w:val="20"/>
          <w:szCs w:val="20"/>
          <w:color w:val="auto"/>
        </w:rPr>
      </w:pPr>
      <w:r>
        <w:rPr>
          <w:rFonts w:ascii="Arial" w:cs="Arial" w:eastAsia="Arial" w:hAnsi="Arial"/>
          <w:sz w:val="16"/>
          <w:szCs w:val="16"/>
          <w:color w:val="auto"/>
        </w:rPr>
        <w:t>Management's discussion and analysis ("MD&amp;A") of the Company's financial condition, results of operations and outlook should be read in conjunction with its condensed consolidated financial statements and related notes. Various segments of this MD&amp;A contain forward-looking statements, all of which are presented based on current expectations, which may be adversely affected by uncertainties and risk factors (presented throughout this filing and in the Company's Annual Report on Form 10-K for the fiscal 2019 year), that may cause actual results to materially differ from these expectations.</w:t>
      </w:r>
    </w:p>
    <w:p>
      <w:pPr>
        <w:spacing w:after="0" w:line="184" w:lineRule="exact"/>
        <w:rPr>
          <w:sz w:val="20"/>
          <w:szCs w:val="20"/>
          <w:color w:val="auto"/>
        </w:rPr>
      </w:pPr>
    </w:p>
    <w:p>
      <w:pPr>
        <w:ind w:firstLine="243"/>
        <w:spacing w:after="0" w:line="283" w:lineRule="auto"/>
        <w:rPr>
          <w:sz w:val="20"/>
          <w:szCs w:val="20"/>
          <w:color w:val="auto"/>
        </w:rPr>
      </w:pPr>
      <w:r>
        <w:rPr>
          <w:rFonts w:ascii="Arial" w:cs="Arial" w:eastAsia="Arial" w:hAnsi="Arial"/>
          <w:sz w:val="16"/>
          <w:szCs w:val="16"/>
          <w:color w:val="auto"/>
        </w:rPr>
        <w:t>We sell substantially all of our photomasks to semiconductor designers and manufacturers, and manufacturers of FPDs. Photomask technology is also being applied to the fabrication of other higher-performance electronic products such as photonics, microelectronic mechanical systems and certain nanotechnology applications. Our selling cycle is tightly interwoven with the development and release of new semiconductor and FPD designs and applications, particularly as they relate to the semiconductor industry's migration to more advanced product innovation, design methodologies, and fabrication processes. We believe that the demand for photomasks primarily depends on design activity rather than sales volumes from products manufactured using photomask technologies. Consequently, an increase in semiconductor or FPD sales does not necessarily result in a corresponding increase in photomask sales. However, the reduced use of customized ICs, reductions in design complexity, other changes in the technology or methods of manufacturing or designing semiconductors, or a slowdown in the introduction of new semiconductor or FPD designs could reduce demand for photomasks</w:t>
      </w:r>
    </w:p>
    <w:p>
      <w:pPr>
        <w:spacing w:after="0" w:line="2" w:lineRule="exact"/>
        <w:rPr>
          <w:sz w:val="20"/>
          <w:szCs w:val="20"/>
          <w:color w:val="auto"/>
        </w:rPr>
      </w:pPr>
    </w:p>
    <w:p>
      <w:pPr>
        <w:ind w:right="20" w:firstLine="8"/>
        <w:spacing w:after="0" w:line="254" w:lineRule="auto"/>
        <w:tabs>
          <w:tab w:leader="none" w:pos="153" w:val="left"/>
        </w:tabs>
        <w:numPr>
          <w:ilvl w:val="0"/>
          <w:numId w:val="4"/>
        </w:numPr>
        <w:rPr>
          <w:rFonts w:ascii="Arial" w:cs="Arial" w:eastAsia="Arial" w:hAnsi="Arial"/>
          <w:sz w:val="18"/>
          <w:szCs w:val="18"/>
          <w:color w:val="auto"/>
        </w:rPr>
      </w:pPr>
      <w:r>
        <w:rPr>
          <w:rFonts w:ascii="Arial" w:cs="Arial" w:eastAsia="Arial" w:hAnsi="Arial"/>
          <w:sz w:val="18"/>
          <w:szCs w:val="18"/>
          <w:color w:val="auto"/>
        </w:rPr>
        <w:t>even if the demand for semiconductors and FPDs increases. Advances in semiconductor, FPD, and photomask design and semiconductor and FPD production methods that shift the burden of achieving device performance away from lithography could also reduce the demand for photomasks. Historically, the microelectronic industry has been volatile, experiencing periodic downturns and slowdowns in design activity. These downturns have been characterized by, among other things, diminished product demand, excess production capacity, and accelerated erosion of selling prices, with a concomitant effect on revenue and profitability.</w:t>
      </w:r>
    </w:p>
    <w:p>
      <w:pPr>
        <w:spacing w:after="0" w:line="218" w:lineRule="exact"/>
        <w:rPr>
          <w:sz w:val="20"/>
          <w:szCs w:val="20"/>
          <w:color w:val="auto"/>
        </w:rPr>
      </w:pPr>
    </w:p>
    <w:p>
      <w:pPr>
        <w:ind w:right="380" w:firstLine="243"/>
        <w:spacing w:after="0" w:line="263" w:lineRule="auto"/>
        <w:rPr>
          <w:sz w:val="20"/>
          <w:szCs w:val="20"/>
          <w:color w:val="auto"/>
        </w:rPr>
      </w:pPr>
      <w:r>
        <w:rPr>
          <w:rFonts w:ascii="Arial" w:cs="Arial" w:eastAsia="Arial" w:hAnsi="Arial"/>
          <w:sz w:val="18"/>
          <w:szCs w:val="18"/>
          <w:color w:val="auto"/>
        </w:rPr>
        <w:t>We are typically required to fulfill customer orders within a short period of time after receipt of an order, sometimes within twenty-four hours. This results in a minimal level of backlog orders, typically one to two weeks of backlog for IC photomasks and two to three weeks of backlog for FPD photomasks.</w:t>
      </w:r>
    </w:p>
    <w:p>
      <w:pPr>
        <w:spacing w:after="0" w:line="211" w:lineRule="exact"/>
        <w:rPr>
          <w:sz w:val="20"/>
          <w:szCs w:val="20"/>
          <w:color w:val="auto"/>
        </w:rPr>
      </w:pPr>
    </w:p>
    <w:p>
      <w:pPr>
        <w:ind w:firstLine="243"/>
        <w:spacing w:after="0" w:line="293" w:lineRule="auto"/>
        <w:rPr>
          <w:sz w:val="20"/>
          <w:szCs w:val="20"/>
          <w:color w:val="auto"/>
        </w:rPr>
      </w:pPr>
      <w:r>
        <w:rPr>
          <w:rFonts w:ascii="Arial" w:cs="Arial" w:eastAsia="Arial" w:hAnsi="Arial"/>
          <w:sz w:val="16"/>
          <w:szCs w:val="16"/>
          <w:color w:val="auto"/>
        </w:rPr>
        <w:t>The global semiconductor and FPD industries are driven by end markets which have been closely tied to consumer-driven applications of high-performance devices, including, but not limited to, mobile display devices, mobile communications, and computing solutions. While we cannot predict the timing of the industry's transition to volume production of next-generation technology nodes, or the timing of up and down cycles with precise accuracy, we believe that such transitions and cycles will continue into the future, beneficially and adversely affecting our business, financial condition, and operating results as they occur. We believe our ability to remain successful in these environments is dependent upon the achievement of our goals of being a service and technology leader and efficient solutions supplier, which we believe should enable us to continually reinvest in our global infrastructure.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ind w:right="420" w:firstLine="247"/>
        <w:spacing w:after="0" w:line="277" w:lineRule="auto"/>
        <w:rPr>
          <w:sz w:val="20"/>
          <w:szCs w:val="20"/>
          <w:color w:val="auto"/>
        </w:rPr>
      </w:pPr>
      <w:r>
        <w:rPr>
          <w:rFonts w:ascii="Arial" w:cs="Arial" w:eastAsia="Arial" w:hAnsi="Arial"/>
          <w:sz w:val="18"/>
          <w:szCs w:val="18"/>
          <w:color w:val="auto"/>
        </w:rPr>
        <w:t>In the first quarter of fiscal 2020, we acquired the remaining 0.2% of noncontrolling interests in Photronics Cheonan, Ltd. (formerly PK, Ltd.), our South Korean subsidiary, for $0.6 million.</w:t>
      </w:r>
    </w:p>
    <w:p>
      <w:pPr>
        <w:spacing w:after="0" w:line="197" w:lineRule="exact"/>
        <w:rPr>
          <w:sz w:val="20"/>
          <w:szCs w:val="20"/>
          <w:color w:val="auto"/>
        </w:rPr>
      </w:pPr>
    </w:p>
    <w:p>
      <w:pPr>
        <w:ind w:right="20" w:firstLine="247"/>
        <w:spacing w:after="0" w:line="255" w:lineRule="auto"/>
        <w:rPr>
          <w:sz w:val="20"/>
          <w:szCs w:val="20"/>
          <w:color w:val="auto"/>
        </w:rPr>
      </w:pPr>
      <w:r>
        <w:rPr>
          <w:rFonts w:ascii="Arial" w:cs="Arial" w:eastAsia="Arial" w:hAnsi="Arial"/>
          <w:sz w:val="18"/>
          <w:szCs w:val="18"/>
          <w:color w:val="auto"/>
        </w:rPr>
        <w:t>In the first quarter of fiscal 2020, we adopted ASU 2016-02 and all subsequent amendments, collectively codified in Accounting Standards Codification Topic 842 - “Leases” (“Topic 842”). This guidance requires modified retrospective adoption, either at the beginning of the earliest period presented or at the beginning of the period of adoption; we elected to apply the guidance at the beginning of the period of adoption, and recognized right-of-use leased assets of $6.5 million and corresponding lease liabilities which were discounted at our incremental borrowing rates, on our November 1, 2019 condensed consolidated balance sheet to reflect our adoption of the guidance. Our adoption of Topic 842 did not affect our cash flows or our ability to comply with covenants under our credit agreements.</w:t>
      </w:r>
    </w:p>
    <w:p>
      <w:pPr>
        <w:spacing w:after="0" w:line="219" w:lineRule="exact"/>
        <w:rPr>
          <w:sz w:val="20"/>
          <w:szCs w:val="20"/>
          <w:color w:val="auto"/>
        </w:rPr>
      </w:pPr>
    </w:p>
    <w:p>
      <w:pPr>
        <w:ind w:right="120" w:firstLine="247"/>
        <w:spacing w:after="0" w:line="285" w:lineRule="auto"/>
        <w:rPr>
          <w:sz w:val="20"/>
          <w:szCs w:val="20"/>
          <w:color w:val="auto"/>
        </w:rPr>
      </w:pPr>
      <w:r>
        <w:rPr>
          <w:rFonts w:ascii="Arial" w:cs="Arial" w:eastAsia="Arial" w:hAnsi="Arial"/>
          <w:sz w:val="16"/>
          <w:szCs w:val="16"/>
          <w:color w:val="auto"/>
        </w:rPr>
        <w:t>In the fourth quarter of fiscal 2019, our board of directors declared a dividend of one preferred stock purchase right (a “Right”), payable on or about October 1, 2019, for each share of common stock, par value $0.01 per share, of the Company outstanding on September 30, 2019, to the stockholders of record on that date. In connection with the distribution of the Rights, we entered into a Section 382 Rights Agreement (the “Rights Agreement”), dated as of September 23, 2019, between the Company and Computershare Trust Company, N.A., a federally chartered trust company, as rights agent. The purpose of the Rights Agreement is to deter trading of our common stock that would result in a change in control (as defined in Internal Revenue Code Section</w:t>
      </w:r>
    </w:p>
    <w:p>
      <w:pPr>
        <w:spacing w:after="0" w:line="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382), thereby preserving our future ability to use our historical federal net operating losses and other Tax Attributes (as defined in the Rights Agreement). Each Right entitles the registered holder to purchase from the Company one one-thousandth of a share of Series A Preferred Stock, par value $0.01 per share, at a price of $33.63, subject to adjustment. The Rights, which are described in the Company’s Current Report on Form 8-K filed on September 24, 2019, are in all respects subject to and governed by the provisions of the Rights Agreement. The Rights will expire at the earliest to occur of (i) the close of business on the day following the date on which our board of directors determines, in its sole discretion, that the Rights Agreement is no longer necessary for the preservation of material valuable tax attributes, or the tax attributes have been fully utilized and may no longer be carried forward or (ii) the close of business on September 22, 2022.</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1040" w:firstLine="247"/>
        <w:spacing w:after="0" w:line="277" w:lineRule="auto"/>
        <w:rPr>
          <w:sz w:val="20"/>
          <w:szCs w:val="20"/>
          <w:color w:val="auto"/>
        </w:rPr>
      </w:pPr>
      <w:r>
        <w:rPr>
          <w:rFonts w:ascii="Arial" w:cs="Arial" w:eastAsia="Arial" w:hAnsi="Arial"/>
          <w:sz w:val="18"/>
          <w:szCs w:val="18"/>
          <w:color w:val="auto"/>
        </w:rPr>
        <w:t>In the fourth quarter of fiscal 2019, PDMC, the Company’s majority-owned IC subsidiary in Taiwan, paid a dividend of which 49.99%, or approximately $18.9 million, was paid to noncontrolling interests.</w:t>
      </w:r>
    </w:p>
    <w:p>
      <w:pPr>
        <w:spacing w:after="0" w:line="197" w:lineRule="exact"/>
        <w:rPr>
          <w:sz w:val="20"/>
          <w:szCs w:val="20"/>
          <w:color w:val="auto"/>
        </w:rPr>
      </w:pPr>
    </w:p>
    <w:p>
      <w:pPr>
        <w:ind w:right="140" w:firstLine="247"/>
        <w:spacing w:after="0" w:line="273" w:lineRule="auto"/>
        <w:rPr>
          <w:sz w:val="20"/>
          <w:szCs w:val="20"/>
          <w:color w:val="auto"/>
        </w:rPr>
      </w:pPr>
      <w:r>
        <w:rPr>
          <w:rFonts w:ascii="Arial" w:cs="Arial" w:eastAsia="Arial" w:hAnsi="Arial"/>
          <w:sz w:val="17"/>
          <w:szCs w:val="17"/>
          <w:color w:val="auto"/>
        </w:rPr>
        <w:t>In the fourth quarter of fiscal 2019, upon our request, a financing entity made an advance payment of $3.5 million to an equipment vendor. We entered into a Master Lease Agreement (“MLA”) with this financing entity, which became effective in July 2019. The MLA enables us to request advance payments or other funds to finance equipment to be leased or purchased in the U.S. In connection with this MLA, we have been approved for financing of $35 million for the purchase of a high-end lithography tool. Interest on this borrowing is payable monthly at thirty-day LIBOR plus 1% (1.79% at May 3, 2020), and will continue to accrue until the borrowing is repaid or, as allowed under the MLA, we enter into a lease for the equipment. We intend to enter into a lease agreement for the related equipment in fiscal year 2020.</w:t>
      </w:r>
    </w:p>
    <w:p>
      <w:pPr>
        <w:spacing w:after="0" w:line="205" w:lineRule="exact"/>
        <w:rPr>
          <w:sz w:val="20"/>
          <w:szCs w:val="20"/>
          <w:color w:val="auto"/>
        </w:rPr>
      </w:pPr>
    </w:p>
    <w:p>
      <w:pPr>
        <w:ind w:firstLine="247"/>
        <w:spacing w:after="0" w:line="259" w:lineRule="auto"/>
        <w:rPr>
          <w:sz w:val="20"/>
          <w:szCs w:val="20"/>
          <w:color w:val="auto"/>
        </w:rPr>
      </w:pPr>
      <w:r>
        <w:rPr>
          <w:rFonts w:ascii="Arial" w:cs="Arial" w:eastAsia="Arial" w:hAnsi="Arial"/>
          <w:sz w:val="18"/>
          <w:szCs w:val="18"/>
          <w:color w:val="auto"/>
        </w:rPr>
        <w:t>In the fourth quarter of fiscal 2019, the Company’s board of directors authorized the repurchase of up to $100 million of its common stock, pursuant to a repurchase plan under Rule 10b5-1 of the Securities Act of 1933 (as amended). We repurchased 2.5 million shares, at a cost of $27.9 million (an average price of $11.34 per share), under this authorization. All shares repurchased during fiscal 2019 (0.9 million) were retired in fiscal 2019; the repurchase program was terminated on March 20 2020.</w:t>
      </w:r>
    </w:p>
    <w:p>
      <w:pPr>
        <w:spacing w:after="0" w:line="214" w:lineRule="exact"/>
        <w:rPr>
          <w:sz w:val="20"/>
          <w:szCs w:val="20"/>
          <w:color w:val="auto"/>
        </w:rPr>
      </w:pPr>
    </w:p>
    <w:p>
      <w:pPr>
        <w:ind w:right="340" w:firstLine="247"/>
        <w:spacing w:after="0" w:line="277" w:lineRule="auto"/>
        <w:rPr>
          <w:sz w:val="20"/>
          <w:szCs w:val="20"/>
          <w:color w:val="auto"/>
        </w:rPr>
      </w:pPr>
      <w:r>
        <w:rPr>
          <w:rFonts w:ascii="Arial" w:cs="Arial" w:eastAsia="Arial" w:hAnsi="Arial"/>
          <w:sz w:val="18"/>
          <w:szCs w:val="18"/>
          <w:color w:val="auto"/>
        </w:rPr>
        <w:t>In the second quarter of fiscal 2019, we repaid, upon maturity, the entire $57.5 million principal amount of the convertible senior notes we issued in April 2016.</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In the first quarter of fiscal 2019, PDMC paid a dividend, of which 49.99%, or approximately $26.1 million, was paid to noncontrolling interests.</w:t>
      </w:r>
    </w:p>
    <w:p>
      <w:pPr>
        <w:spacing w:after="0" w:line="264" w:lineRule="exact"/>
        <w:rPr>
          <w:sz w:val="20"/>
          <w:szCs w:val="20"/>
          <w:color w:val="auto"/>
        </w:rPr>
      </w:pPr>
    </w:p>
    <w:p>
      <w:pPr>
        <w:ind w:right="180" w:firstLine="247"/>
        <w:spacing w:after="0" w:line="293" w:lineRule="auto"/>
        <w:rPr>
          <w:sz w:val="20"/>
          <w:szCs w:val="20"/>
          <w:color w:val="auto"/>
        </w:rPr>
      </w:pPr>
      <w:r>
        <w:rPr>
          <w:rFonts w:ascii="Arial" w:cs="Arial" w:eastAsia="Arial" w:hAnsi="Arial"/>
          <w:sz w:val="16"/>
          <w:szCs w:val="16"/>
          <w:color w:val="auto"/>
        </w:rPr>
        <w:t>In the first quarter of fiscal 2019, PDMCX was approved for credit of the equivalent of $50 million, subject to certain limitations related to PDMCX registered capital at the time of the initial approval, pursuant to which PDMCX has and will enter into separate loan agreements (“the Project Loans”) for intermittent borrowings. The Project Loans, which are denominated in Chinese renminbi (RMB), are being used to finance certain capital expenditures in China. PDMCX granted liens on its interest in land, building, and certain equipment as collateral for the Project Loans. As of May 3, 2020, PDMCX had borrowed 243.4 million RMB ($34.5 million) against this approval. Payments on these borrowings are due semi-annually through December 2025; the initial payment is scheduled for June 2020. See Note 5 of the condensed consolidated financial statements for additional information on these loans.</w:t>
      </w:r>
    </w:p>
    <w:p>
      <w:pPr>
        <w:spacing w:after="0" w:line="191" w:lineRule="exact"/>
        <w:rPr>
          <w:sz w:val="20"/>
          <w:szCs w:val="20"/>
          <w:color w:val="auto"/>
        </w:rPr>
      </w:pPr>
    </w:p>
    <w:p>
      <w:pPr>
        <w:ind w:right="60" w:firstLine="247"/>
        <w:spacing w:after="0" w:line="293" w:lineRule="auto"/>
        <w:rPr>
          <w:sz w:val="20"/>
          <w:szCs w:val="20"/>
          <w:color w:val="auto"/>
        </w:rPr>
      </w:pPr>
      <w:r>
        <w:rPr>
          <w:rFonts w:ascii="Arial" w:cs="Arial" w:eastAsia="Arial" w:hAnsi="Arial"/>
          <w:sz w:val="16"/>
          <w:szCs w:val="16"/>
          <w:color w:val="auto"/>
        </w:rPr>
        <w:t>In the first quarter of fiscal 2019, PDMCX received approval for unsecured credit of the equivalent of $25.0 million, pursuant to which PDMCX may enter into separate loan agreements. Under this credit agreement, PDMCX can borrow up to 140.0 million RMB to pay value-added taxes (“VAT”) and up to 60.0 million RMB to fund operations; combined total borrowings are limited to the equivalent of $25.0 million. As of May 3, 2020, PDMCX had outstanding 44.8 million RMB ($6.3 million) to fund operations, with repayments due one year from the borrowing dates of the separate loan agreements. As of May 3, 2020, PDMCX had outstanding 64.6 million RMB ($9.1 million) borrowed to pay VAT. Payments on these borrowings are due semiannually, in increasing amounts, through January 2022. See Note 5 of the condensed consolidated financial statements for additional information on these loans.</w:t>
      </w:r>
    </w:p>
    <w:p>
      <w:pPr>
        <w:spacing w:after="0" w:line="191" w:lineRule="exact"/>
        <w:rPr>
          <w:sz w:val="20"/>
          <w:szCs w:val="20"/>
          <w:color w:val="auto"/>
        </w:rPr>
      </w:pPr>
    </w:p>
    <w:p>
      <w:pPr>
        <w:ind w:right="20" w:firstLine="292"/>
        <w:spacing w:after="0" w:line="259" w:lineRule="auto"/>
        <w:rPr>
          <w:sz w:val="20"/>
          <w:szCs w:val="20"/>
          <w:color w:val="auto"/>
        </w:rPr>
      </w:pPr>
      <w:r>
        <w:rPr>
          <w:rFonts w:ascii="Arial" w:cs="Arial" w:eastAsia="Arial" w:hAnsi="Arial"/>
          <w:sz w:val="18"/>
          <w:szCs w:val="18"/>
          <w:color w:val="auto"/>
        </w:rPr>
        <w:t>In the fourth quarter of fiscal 2018, the Company’s board of directors authorized the repurchase of up to $25 million of its common stock, to have been executed in open-market transactions or in accordance with a repurchase plan under Rule 10b5-1 of the Securities Act of 1933 (as amended). The share repurchase program commenced, under Rule 10b5-1, on October 22, 2018, and was terminated on February 1, 2019. We repurchased 1.5 million shares at a cost of $13.8 million (an average of $9.41 per share) under this authorization.</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Six-Months ended May 3, 2020</w:t>
      </w:r>
    </w:p>
    <w:p>
      <w:pPr>
        <w:spacing w:after="0" w:line="23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presents selected operating information expressed as a percent of revenue.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76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2"/>
              </w:rPr>
              <w:t>Three Months Ended</w:t>
            </w: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40" w:type="dxa"/>
            <w:vAlign w:val="bottom"/>
            <w:gridSpan w:val="4"/>
          </w:tcPr>
          <w:p>
            <w:pPr>
              <w:jc w:val="right"/>
              <w:ind w:right="700"/>
              <w:spacing w:after="0"/>
              <w:rPr>
                <w:sz w:val="20"/>
                <w:szCs w:val="20"/>
                <w:color w:val="auto"/>
              </w:rPr>
            </w:pPr>
            <w:r>
              <w:rPr>
                <w:rFonts w:ascii="Arial" w:cs="Arial" w:eastAsia="Arial" w:hAnsi="Arial"/>
                <w:sz w:val="18"/>
                <w:szCs w:val="18"/>
                <w:b w:val="1"/>
                <w:bCs w:val="1"/>
                <w:color w:val="auto"/>
              </w:rPr>
              <w:t>Six Months Ended</w:t>
            </w:r>
          </w:p>
        </w:tc>
      </w:tr>
      <w:tr>
        <w:trPr>
          <w:trHeight w:val="198"/>
        </w:trPr>
        <w:tc>
          <w:tcPr>
            <w:tcW w:w="4480" w:type="dxa"/>
            <w:vAlign w:val="bottom"/>
          </w:tcPr>
          <w:p>
            <w:pPr>
              <w:spacing w:after="0"/>
              <w:rPr>
                <w:sz w:val="17"/>
                <w:szCs w:val="17"/>
                <w:color w:val="auto"/>
              </w:rPr>
            </w:pPr>
          </w:p>
        </w:tc>
        <w:tc>
          <w:tcPr>
            <w:tcW w:w="1360" w:type="dxa"/>
            <w:vAlign w:val="bottom"/>
            <w:tcBorders>
              <w:top w:val="single" w:sz="8" w:color="auto"/>
            </w:tcBorders>
            <w:gridSpan w:val="2"/>
          </w:tcPr>
          <w:p>
            <w:pPr>
              <w:jc w:val="center"/>
              <w:ind w:right="190"/>
              <w:spacing w:after="0" w:line="198" w:lineRule="exact"/>
              <w:rPr>
                <w:sz w:val="20"/>
                <w:szCs w:val="20"/>
                <w:color w:val="auto"/>
              </w:rPr>
            </w:pPr>
            <w:r>
              <w:rPr>
                <w:rFonts w:ascii="Arial" w:cs="Arial" w:eastAsia="Arial" w:hAnsi="Arial"/>
                <w:sz w:val="18"/>
                <w:szCs w:val="18"/>
                <w:b w:val="1"/>
                <w:bCs w:val="1"/>
                <w:color w:val="auto"/>
                <w:w w:val="94"/>
              </w:rPr>
              <w:t>May 3,</w:t>
            </w:r>
          </w:p>
        </w:tc>
        <w:tc>
          <w:tcPr>
            <w:tcW w:w="1480" w:type="dxa"/>
            <w:vAlign w:val="bottom"/>
            <w:tcBorders>
              <w:top w:val="single" w:sz="8" w:color="auto"/>
            </w:tcBorders>
            <w:gridSpan w:val="3"/>
          </w:tcPr>
          <w:p>
            <w:pPr>
              <w:jc w:val="center"/>
              <w:ind w:right="380"/>
              <w:spacing w:after="0" w:line="198" w:lineRule="exact"/>
              <w:rPr>
                <w:sz w:val="20"/>
                <w:szCs w:val="20"/>
                <w:color w:val="auto"/>
              </w:rPr>
            </w:pPr>
            <w:r>
              <w:rPr>
                <w:rFonts w:ascii="Arial" w:cs="Arial" w:eastAsia="Arial" w:hAnsi="Arial"/>
                <w:sz w:val="18"/>
                <w:szCs w:val="18"/>
                <w:b w:val="1"/>
                <w:bCs w:val="1"/>
                <w:color w:val="auto"/>
                <w:w w:val="92"/>
              </w:rPr>
              <w:t>February 2,</w:t>
            </w:r>
          </w:p>
        </w:tc>
        <w:tc>
          <w:tcPr>
            <w:tcW w:w="1000" w:type="dxa"/>
            <w:vAlign w:val="bottom"/>
            <w:tcBorders>
              <w:top w:val="single" w:sz="8" w:color="auto"/>
            </w:tcBorders>
          </w:tcPr>
          <w:p>
            <w:pPr>
              <w:jc w:val="right"/>
              <w:ind w:right="110"/>
              <w:spacing w:after="0" w:line="198" w:lineRule="exact"/>
              <w:rPr>
                <w:sz w:val="20"/>
                <w:szCs w:val="20"/>
                <w:color w:val="auto"/>
              </w:rPr>
            </w:pPr>
            <w:r>
              <w:rPr>
                <w:rFonts w:ascii="Arial" w:cs="Arial" w:eastAsia="Arial" w:hAnsi="Arial"/>
                <w:sz w:val="18"/>
                <w:szCs w:val="18"/>
                <w:b w:val="1"/>
                <w:bCs w:val="1"/>
                <w:color w:val="auto"/>
              </w:rPr>
              <w:t>April 28,</w:t>
            </w:r>
          </w:p>
        </w:tc>
        <w:tc>
          <w:tcPr>
            <w:tcW w:w="280" w:type="dxa"/>
            <w:vAlign w:val="bottom"/>
          </w:tcPr>
          <w:p>
            <w:pPr>
              <w:spacing w:after="0"/>
              <w:rPr>
                <w:sz w:val="17"/>
                <w:szCs w:val="17"/>
                <w:color w:val="auto"/>
              </w:rPr>
            </w:pPr>
          </w:p>
        </w:tc>
        <w:tc>
          <w:tcPr>
            <w:tcW w:w="1380" w:type="dxa"/>
            <w:vAlign w:val="bottom"/>
            <w:tcBorders>
              <w:top w:val="single" w:sz="8" w:color="auto"/>
            </w:tcBorders>
            <w:gridSpan w:val="2"/>
          </w:tcPr>
          <w:p>
            <w:pPr>
              <w:jc w:val="right"/>
              <w:ind w:right="560"/>
              <w:spacing w:after="0" w:line="198" w:lineRule="exact"/>
              <w:rPr>
                <w:sz w:val="20"/>
                <w:szCs w:val="20"/>
                <w:color w:val="auto"/>
              </w:rPr>
            </w:pPr>
            <w:r>
              <w:rPr>
                <w:rFonts w:ascii="Arial" w:cs="Arial" w:eastAsia="Arial" w:hAnsi="Arial"/>
                <w:sz w:val="18"/>
                <w:szCs w:val="18"/>
                <w:b w:val="1"/>
                <w:bCs w:val="1"/>
                <w:color w:val="auto"/>
              </w:rPr>
              <w:t>May 3,</w:t>
            </w:r>
          </w:p>
        </w:tc>
        <w:tc>
          <w:tcPr>
            <w:tcW w:w="110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rPr>
              <w:t>April 28,</w:t>
            </w:r>
          </w:p>
        </w:tc>
        <w:tc>
          <w:tcPr>
            <w:tcW w:w="160" w:type="dxa"/>
            <w:vAlign w:val="bottom"/>
          </w:tcPr>
          <w:p>
            <w:pPr>
              <w:spacing w:after="0"/>
              <w:rPr>
                <w:sz w:val="17"/>
                <w:szCs w:val="17"/>
                <w:color w:val="auto"/>
              </w:rPr>
            </w:pPr>
          </w:p>
        </w:tc>
      </w:tr>
      <w:tr>
        <w:trPr>
          <w:trHeight w:val="241"/>
        </w:trPr>
        <w:tc>
          <w:tcPr>
            <w:tcW w:w="4480" w:type="dxa"/>
            <w:vAlign w:val="bottom"/>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Cost of goods sold</w:t>
            </w:r>
          </w:p>
        </w:tc>
        <w:tc>
          <w:tcPr>
            <w:tcW w:w="1360" w:type="dxa"/>
            <w:vAlign w:val="bottom"/>
            <w:gridSpan w:val="2"/>
          </w:tcPr>
          <w:p>
            <w:pPr>
              <w:jc w:val="right"/>
              <w:ind w:right="170"/>
              <w:spacing w:after="0"/>
              <w:rPr>
                <w:sz w:val="20"/>
                <w:szCs w:val="20"/>
                <w:color w:val="auto"/>
              </w:rPr>
            </w:pPr>
            <w:r>
              <w:rPr>
                <w:rFonts w:ascii="Arial" w:cs="Arial" w:eastAsia="Arial" w:hAnsi="Arial"/>
                <w:sz w:val="18"/>
                <w:szCs w:val="18"/>
                <w:color w:val="auto"/>
              </w:rPr>
              <w:t>78.7</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78.3</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80.2</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78.5</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79.7</w:t>
            </w:r>
          </w:p>
        </w:tc>
      </w:tr>
      <w:tr>
        <w:trPr>
          <w:trHeight w:val="223"/>
        </w:trPr>
        <w:tc>
          <w:tcPr>
            <w:tcW w:w="44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Gross profit</w:t>
            </w:r>
          </w:p>
        </w:tc>
        <w:tc>
          <w:tcPr>
            <w:tcW w:w="1360" w:type="dxa"/>
            <w:vAlign w:val="bottom"/>
            <w:gridSpan w:val="2"/>
          </w:tcPr>
          <w:p>
            <w:pPr>
              <w:jc w:val="right"/>
              <w:ind w:right="170"/>
              <w:spacing w:after="0"/>
              <w:rPr>
                <w:sz w:val="20"/>
                <w:szCs w:val="20"/>
                <w:color w:val="auto"/>
              </w:rPr>
            </w:pPr>
            <w:r>
              <w:rPr>
                <w:rFonts w:ascii="Arial" w:cs="Arial" w:eastAsia="Arial" w:hAnsi="Arial"/>
                <w:sz w:val="18"/>
                <w:szCs w:val="18"/>
                <w:color w:val="auto"/>
              </w:rPr>
              <w:t>21.3</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19.8</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21.5</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20.3</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3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9.3</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360" w:type="dxa"/>
            <w:vAlign w:val="bottom"/>
            <w:gridSpan w:val="2"/>
          </w:tcPr>
          <w:p>
            <w:pPr>
              <w:jc w:val="right"/>
              <w:ind w:right="170"/>
              <w:spacing w:after="0"/>
              <w:rPr>
                <w:sz w:val="20"/>
                <w:szCs w:val="20"/>
                <w:color w:val="auto"/>
              </w:rPr>
            </w:pPr>
            <w:r>
              <w:rPr>
                <w:rFonts w:ascii="Arial" w:cs="Arial" w:eastAsia="Arial" w:hAnsi="Arial"/>
                <w:sz w:val="18"/>
                <w:szCs w:val="18"/>
                <w:color w:val="auto"/>
              </w:rPr>
              <w:t>3.1</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2.7</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2.7</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r>
      <w:tr>
        <w:trPr>
          <w:trHeight w:val="223"/>
        </w:trPr>
        <w:tc>
          <w:tcPr>
            <w:tcW w:w="44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Operating income</w:t>
            </w:r>
          </w:p>
        </w:tc>
        <w:tc>
          <w:tcPr>
            <w:tcW w:w="1360" w:type="dxa"/>
            <w:vAlign w:val="bottom"/>
            <w:gridSpan w:val="2"/>
          </w:tcPr>
          <w:p>
            <w:pPr>
              <w:jc w:val="right"/>
              <w:ind w:right="170"/>
              <w:spacing w:after="0"/>
              <w:rPr>
                <w:sz w:val="20"/>
                <w:szCs w:val="20"/>
                <w:color w:val="auto"/>
              </w:rPr>
            </w:pPr>
            <w:r>
              <w:rPr>
                <w:rFonts w:ascii="Arial" w:cs="Arial" w:eastAsia="Arial" w:hAnsi="Arial"/>
                <w:sz w:val="18"/>
                <w:szCs w:val="18"/>
                <w:color w:val="auto"/>
              </w:rPr>
              <w:t>8.9</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7.0</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9.6</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6.7</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3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(0.7)</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r>
      <w:tr>
        <w:trPr>
          <w:trHeight w:val="223"/>
        </w:trPr>
        <w:tc>
          <w:tcPr>
            <w:tcW w:w="4480" w:type="dxa"/>
            <w:vAlign w:val="bottom"/>
          </w:tcPr>
          <w:p>
            <w:pPr>
              <w:spacing w:after="0"/>
              <w:rPr>
                <w:sz w:val="19"/>
                <w:szCs w:val="19"/>
                <w:color w:val="auto"/>
              </w:rPr>
            </w:pPr>
          </w:p>
        </w:tc>
        <w:tc>
          <w:tcPr>
            <w:tcW w:w="1360" w:type="dxa"/>
            <w:vAlign w:val="bottom"/>
            <w:gridSpan w:val="2"/>
          </w:tcPr>
          <w:p>
            <w:pPr>
              <w:spacing w:after="0"/>
              <w:rPr>
                <w:sz w:val="19"/>
                <w:szCs w:val="19"/>
                <w:color w:val="auto"/>
              </w:rPr>
            </w:pPr>
          </w:p>
        </w:tc>
        <w:tc>
          <w:tcPr>
            <w:tcW w:w="138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spacing w:after="0"/>
              <w:rPr>
                <w:sz w:val="19"/>
                <w:szCs w:val="19"/>
                <w:color w:val="auto"/>
              </w:rPr>
            </w:pPr>
          </w:p>
        </w:tc>
        <w:tc>
          <w:tcPr>
            <w:tcW w:w="1380" w:type="dxa"/>
            <w:vAlign w:val="bottom"/>
            <w:gridSpan w:val="2"/>
          </w:tcPr>
          <w:p>
            <w:pPr>
              <w:spacing w:after="0"/>
              <w:rPr>
                <w:sz w:val="19"/>
                <w:szCs w:val="19"/>
                <w:color w:val="auto"/>
              </w:rPr>
            </w:pPr>
          </w:p>
        </w:tc>
        <w:tc>
          <w:tcPr>
            <w:tcW w:w="1260" w:type="dxa"/>
            <w:vAlign w:val="bottom"/>
            <w:gridSpan w:val="2"/>
          </w:tcPr>
          <w:p>
            <w:pPr>
              <w:spacing w:after="0"/>
              <w:rPr>
                <w:sz w:val="19"/>
                <w:szCs w:val="19"/>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6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Income tax provision</w:t>
            </w:r>
          </w:p>
        </w:tc>
        <w:tc>
          <w:tcPr>
            <w:tcW w:w="1360" w:type="dxa"/>
            <w:vAlign w:val="bottom"/>
            <w:gridSpan w:val="2"/>
          </w:tcPr>
          <w:p>
            <w:pPr>
              <w:jc w:val="right"/>
              <w:ind w:right="170"/>
              <w:spacing w:after="0"/>
              <w:rPr>
                <w:sz w:val="20"/>
                <w:szCs w:val="20"/>
                <w:color w:val="auto"/>
              </w:rPr>
            </w:pPr>
            <w:r>
              <w:rPr>
                <w:rFonts w:ascii="Arial" w:cs="Arial" w:eastAsia="Arial" w:hAnsi="Arial"/>
                <w:sz w:val="18"/>
                <w:szCs w:val="18"/>
                <w:color w:val="auto"/>
              </w:rPr>
              <w:t>2.6</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2.5</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4.3</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r>
      <w:tr>
        <w:trPr>
          <w:trHeight w:val="223"/>
        </w:trPr>
        <w:tc>
          <w:tcPr>
            <w:tcW w:w="44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Net income</w:t>
            </w:r>
          </w:p>
        </w:tc>
        <w:tc>
          <w:tcPr>
            <w:tcW w:w="1360" w:type="dxa"/>
            <w:vAlign w:val="bottom"/>
            <w:gridSpan w:val="2"/>
          </w:tcPr>
          <w:p>
            <w:pPr>
              <w:jc w:val="right"/>
              <w:ind w:right="170"/>
              <w:spacing w:after="0"/>
              <w:rPr>
                <w:sz w:val="20"/>
                <w:szCs w:val="20"/>
                <w:color w:val="auto"/>
              </w:rPr>
            </w:pPr>
            <w:r>
              <w:rPr>
                <w:rFonts w:ascii="Arial" w:cs="Arial" w:eastAsia="Arial" w:hAnsi="Arial"/>
                <w:sz w:val="18"/>
                <w:szCs w:val="18"/>
                <w:color w:val="auto"/>
              </w:rPr>
              <w:t>5.6</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7.5</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6.2</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6.9</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3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1.2</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1.1 1.1</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r>
      <w:tr>
        <w:trPr>
          <w:trHeight w:val="223"/>
        </w:trPr>
        <w:tc>
          <w:tcPr>
            <w:tcW w:w="448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3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r>
      <w:tr>
        <w:trPr>
          <w:trHeight w:val="20"/>
        </w:trPr>
        <w:tc>
          <w:tcPr>
            <w:tcW w:w="44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right="40" w:firstLine="247"/>
        <w:spacing w:after="0" w:line="263" w:lineRule="auto"/>
        <w:rPr>
          <w:sz w:val="20"/>
          <w:szCs w:val="20"/>
          <w:color w:val="auto"/>
        </w:rPr>
      </w:pPr>
      <w:r>
        <w:rPr>
          <w:rFonts w:ascii="Arial" w:cs="Arial" w:eastAsia="Arial" w:hAnsi="Arial"/>
          <w:sz w:val="18"/>
          <w:szCs w:val="18"/>
          <w:color w:val="auto"/>
        </w:rPr>
        <w:t>Note: All tabular comparisons included in the following discussion, unless otherwise indicated, are for the three months ended May 3, 2020 (Q2 FY20), February 2, 2020 (Q1 FY20) and April 28, 2019 (Q2 FY19), and for the six months ended May 3, 2020 (YTD FY20) and April 28, 2019 (YTD FY19), in millions of dollars.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52" w:lineRule="exact"/>
        <w:rPr>
          <w:sz w:val="20"/>
          <w:szCs w:val="20"/>
          <w:color w:val="auto"/>
        </w:rPr>
      </w:pPr>
    </w:p>
    <w:p>
      <w:pPr>
        <w:ind w:right="100" w:firstLine="243"/>
        <w:spacing w:after="0" w:line="263" w:lineRule="auto"/>
        <w:rPr>
          <w:sz w:val="20"/>
          <w:szCs w:val="20"/>
          <w:color w:val="auto"/>
        </w:rPr>
      </w:pPr>
      <w:r>
        <w:rPr>
          <w:rFonts w:ascii="Arial" w:cs="Arial" w:eastAsia="Arial" w:hAnsi="Arial"/>
          <w:sz w:val="18"/>
          <w:szCs w:val="18"/>
          <w:color w:val="auto"/>
        </w:rPr>
        <w:t>Our quarterly revenues can be affected by the seasonal purchasing practices of our customers. As a result, demand for our products is typically reduced during the first, and sometimes the second, quarters of our fiscal year, by the North American, European, and Asian holiday periods, as some of our customers reduce their development and, consequently, their buying activities during those periods.</w:t>
      </w:r>
    </w:p>
    <w:p>
      <w:pPr>
        <w:spacing w:after="0" w:line="211" w:lineRule="exact"/>
        <w:rPr>
          <w:sz w:val="20"/>
          <w:szCs w:val="20"/>
          <w:color w:val="auto"/>
        </w:rPr>
      </w:pPr>
    </w:p>
    <w:p>
      <w:pPr>
        <w:ind w:right="20" w:firstLine="243"/>
        <w:spacing w:after="0" w:line="296" w:lineRule="auto"/>
        <w:rPr>
          <w:sz w:val="20"/>
          <w:szCs w:val="20"/>
          <w:color w:val="auto"/>
        </w:rPr>
      </w:pPr>
      <w:r>
        <w:rPr>
          <w:rFonts w:ascii="Arial" w:cs="Arial" w:eastAsia="Arial" w:hAnsi="Arial"/>
          <w:sz w:val="16"/>
          <w:szCs w:val="16"/>
          <w:color w:val="auto"/>
        </w:rPr>
        <w:t>At the beginning of fiscal year 2020, we changed the threshold for the definition of high-end FPD, from G8 and above and active matrix organic light-emitting diode (AMOLED) display screens, to G10.5 and above, AMOLED, and low-temperature polysilicon display screens (LTPS), to reflect the overall advancement of technology in the FPD industry. Our definition of high-end IC products remains as 28 nanometer or smaller. The following analyses of quarterly changes in revenue by product type for the three-month periods ended February 2, 2020 and April 28, 2019, and the six-month period ended April 28, 2019, have been modified to reflect this change. High-end photomasks typically have higher selling prices (ASPs) than mainstream products.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160" w:firstLine="243"/>
        <w:spacing w:after="0" w:line="277" w:lineRule="auto"/>
        <w:rPr>
          <w:sz w:val="20"/>
          <w:szCs w:val="20"/>
          <w:color w:val="auto"/>
        </w:rPr>
      </w:pPr>
      <w:r>
        <w:rPr>
          <w:rFonts w:ascii="Arial" w:cs="Arial" w:eastAsia="Arial" w:hAnsi="Arial"/>
          <w:sz w:val="18"/>
          <w:szCs w:val="18"/>
          <w:color w:val="auto"/>
        </w:rPr>
        <w:t>The following tables present changes in disaggregated revenue in Q2 FY20 and YTD FY20 from revenue in prior reporting periods. Columns may not total due to rounding.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Quarterly Changes in Revenue by Product Type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340" w:type="dxa"/>
            <w:vAlign w:val="bottom"/>
            <w:gridSpan w:val="7"/>
          </w:tcPr>
          <w:p>
            <w:pPr>
              <w:jc w:val="center"/>
              <w:ind w:right="420"/>
              <w:spacing w:after="0"/>
              <w:rPr>
                <w:sz w:val="20"/>
                <w:szCs w:val="20"/>
                <w:color w:val="auto"/>
              </w:rPr>
            </w:pPr>
            <w:r>
              <w:rPr>
                <w:rFonts w:ascii="Arial" w:cs="Arial" w:eastAsia="Arial" w:hAnsi="Arial"/>
                <w:sz w:val="18"/>
                <w:szCs w:val="18"/>
                <w:b w:val="1"/>
                <w:bCs w:val="1"/>
                <w:color w:val="auto"/>
                <w:w w:val="94"/>
              </w:rPr>
              <w:t>Q2 FY20 from Q1 FY20</w:t>
            </w:r>
          </w:p>
        </w:tc>
        <w:tc>
          <w:tcPr>
            <w:tcW w:w="232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97"/>
              </w:rPr>
              <w:t>Q2 FY20 from Q2 FY19</w:t>
            </w:r>
          </w:p>
        </w:tc>
        <w:tc>
          <w:tcPr>
            <w:tcW w:w="280" w:type="dxa"/>
            <w:vAlign w:val="bottom"/>
          </w:tcPr>
          <w:p>
            <w:pPr>
              <w:spacing w:after="0"/>
              <w:rPr>
                <w:sz w:val="20"/>
                <w:szCs w:val="20"/>
                <w:color w:val="auto"/>
              </w:rPr>
            </w:pPr>
          </w:p>
        </w:tc>
        <w:tc>
          <w:tcPr>
            <w:tcW w:w="2980" w:type="dxa"/>
            <w:vAlign w:val="bottom"/>
            <w:gridSpan w:val="7"/>
          </w:tcPr>
          <w:p>
            <w:pPr>
              <w:jc w:val="center"/>
              <w:ind w:right="460"/>
              <w:spacing w:after="0"/>
              <w:rPr>
                <w:sz w:val="20"/>
                <w:szCs w:val="20"/>
                <w:color w:val="auto"/>
              </w:rPr>
            </w:pPr>
            <w:r>
              <w:rPr>
                <w:rFonts w:ascii="Arial" w:cs="Arial" w:eastAsia="Arial" w:hAnsi="Arial"/>
                <w:sz w:val="18"/>
                <w:szCs w:val="18"/>
                <w:b w:val="1"/>
                <w:bCs w:val="1"/>
                <w:color w:val="auto"/>
                <w:w w:val="99"/>
              </w:rPr>
              <w:t>YTD FY20 from YTD FY19</w:t>
            </w:r>
          </w:p>
        </w:tc>
      </w:tr>
      <w:tr>
        <w:trPr>
          <w:trHeight w:val="198"/>
        </w:trPr>
        <w:tc>
          <w:tcPr>
            <w:tcW w:w="2240" w:type="dxa"/>
            <w:vAlign w:val="bottom"/>
          </w:tcPr>
          <w:p>
            <w:pPr>
              <w:spacing w:after="0"/>
              <w:rPr>
                <w:sz w:val="17"/>
                <w:szCs w:val="17"/>
                <w:color w:val="auto"/>
              </w:rPr>
            </w:pPr>
          </w:p>
        </w:tc>
        <w:tc>
          <w:tcPr>
            <w:tcW w:w="880" w:type="dxa"/>
            <w:vAlign w:val="bottom"/>
            <w:tcBorders>
              <w:top w:val="single" w:sz="8" w:color="auto"/>
            </w:tcBorders>
            <w:gridSpan w:val="2"/>
          </w:tcPr>
          <w:p>
            <w:pPr>
              <w:ind w:left="20"/>
              <w:spacing w:after="0" w:line="198" w:lineRule="exact"/>
              <w:rPr>
                <w:sz w:val="20"/>
                <w:szCs w:val="20"/>
                <w:color w:val="auto"/>
              </w:rPr>
            </w:pPr>
            <w:r>
              <w:rPr>
                <w:rFonts w:ascii="Arial" w:cs="Arial" w:eastAsia="Arial" w:hAnsi="Arial"/>
                <w:sz w:val="18"/>
                <w:szCs w:val="18"/>
                <w:b w:val="1"/>
                <w:bCs w:val="1"/>
                <w:color w:val="auto"/>
                <w:w w:val="87"/>
              </w:rPr>
              <w:t>Revenue in</w:t>
            </w: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90"/>
              </w:rPr>
              <w:t>Increase</w:t>
            </w:r>
          </w:p>
        </w:tc>
        <w:tc>
          <w:tcPr>
            <w:tcW w:w="880" w:type="dxa"/>
            <w:vAlign w:val="bottom"/>
            <w:tcBorders>
              <w:top w:val="single" w:sz="8" w:color="auto"/>
            </w:tcBorders>
          </w:tcPr>
          <w:p>
            <w:pPr>
              <w:ind w:left="160"/>
              <w:spacing w:after="0" w:line="198" w:lineRule="exact"/>
              <w:rPr>
                <w:sz w:val="20"/>
                <w:szCs w:val="20"/>
                <w:color w:val="auto"/>
              </w:rPr>
            </w:pPr>
            <w:r>
              <w:rPr>
                <w:rFonts w:ascii="Arial" w:cs="Arial" w:eastAsia="Arial" w:hAnsi="Arial"/>
                <w:sz w:val="18"/>
                <w:szCs w:val="18"/>
                <w:b w:val="1"/>
                <w:bCs w:val="1"/>
                <w:color w:val="auto"/>
              </w:rPr>
              <w:t>Percent</w:t>
            </w:r>
          </w:p>
        </w:tc>
        <w:tc>
          <w:tcPr>
            <w:tcW w:w="3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right"/>
              <w:ind w:right="340"/>
              <w:spacing w:after="0" w:line="198" w:lineRule="exact"/>
              <w:rPr>
                <w:sz w:val="20"/>
                <w:szCs w:val="20"/>
                <w:color w:val="auto"/>
              </w:rPr>
            </w:pPr>
            <w:r>
              <w:rPr>
                <w:rFonts w:ascii="Arial" w:cs="Arial" w:eastAsia="Arial" w:hAnsi="Arial"/>
                <w:sz w:val="18"/>
                <w:szCs w:val="18"/>
                <w:b w:val="1"/>
                <w:bCs w:val="1"/>
                <w:color w:val="auto"/>
                <w:w w:val="87"/>
              </w:rPr>
              <w:t>Increase</w:t>
            </w:r>
          </w:p>
        </w:tc>
        <w:tc>
          <w:tcPr>
            <w:tcW w:w="880" w:type="dxa"/>
            <w:vAlign w:val="bottom"/>
            <w:tcBorders>
              <w:top w:val="single" w:sz="8" w:color="auto"/>
            </w:tcBorders>
          </w:tcPr>
          <w:p>
            <w:pPr>
              <w:ind w:left="160"/>
              <w:spacing w:after="0" w:line="198" w:lineRule="exact"/>
              <w:rPr>
                <w:sz w:val="20"/>
                <w:szCs w:val="20"/>
                <w:color w:val="auto"/>
              </w:rPr>
            </w:pPr>
            <w:r>
              <w:rPr>
                <w:rFonts w:ascii="Arial" w:cs="Arial" w:eastAsia="Arial" w:hAnsi="Arial"/>
                <w:sz w:val="18"/>
                <w:szCs w:val="18"/>
                <w:b w:val="1"/>
                <w:bCs w:val="1"/>
                <w:color w:val="auto"/>
              </w:rPr>
              <w:t>Percent</w:t>
            </w:r>
          </w:p>
        </w:tc>
        <w:tc>
          <w:tcPr>
            <w:tcW w:w="340" w:type="dxa"/>
            <w:vAlign w:val="bottom"/>
          </w:tcPr>
          <w:p>
            <w:pPr>
              <w:spacing w:after="0"/>
              <w:rPr>
                <w:sz w:val="17"/>
                <w:szCs w:val="17"/>
                <w:color w:val="auto"/>
              </w:rPr>
            </w:pPr>
          </w:p>
        </w:tc>
        <w:tc>
          <w:tcPr>
            <w:tcW w:w="1100" w:type="dxa"/>
            <w:vAlign w:val="bottom"/>
            <w:tcBorders>
              <w:top w:val="single" w:sz="8" w:color="auto"/>
            </w:tcBorders>
            <w:gridSpan w:val="3"/>
          </w:tcPr>
          <w:p>
            <w:pPr>
              <w:ind w:left="20"/>
              <w:spacing w:after="0" w:line="198" w:lineRule="exact"/>
              <w:rPr>
                <w:sz w:val="20"/>
                <w:szCs w:val="20"/>
                <w:color w:val="auto"/>
              </w:rPr>
            </w:pPr>
            <w:r>
              <w:rPr>
                <w:rFonts w:ascii="Arial" w:cs="Arial" w:eastAsia="Arial" w:hAnsi="Arial"/>
                <w:sz w:val="18"/>
                <w:szCs w:val="18"/>
                <w:b w:val="1"/>
                <w:bCs w:val="1"/>
                <w:color w:val="auto"/>
              </w:rPr>
              <w:t>Revenue in</w:t>
            </w: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87"/>
              </w:rPr>
              <w:t>Increase</w:t>
            </w:r>
          </w:p>
        </w:tc>
        <w:tc>
          <w:tcPr>
            <w:tcW w:w="900" w:type="dxa"/>
            <w:vAlign w:val="bottom"/>
            <w:tcBorders>
              <w:top w:val="single" w:sz="8" w:color="auto"/>
            </w:tcBorders>
          </w:tcPr>
          <w:p>
            <w:pPr>
              <w:ind w:left="160"/>
              <w:spacing w:after="0" w:line="198" w:lineRule="exact"/>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17"/>
                <w:szCs w:val="17"/>
                <w:color w:val="auto"/>
              </w:rPr>
            </w:pPr>
          </w:p>
        </w:tc>
      </w:tr>
      <w:tr>
        <w:trPr>
          <w:trHeight w:val="241"/>
        </w:trPr>
        <w:tc>
          <w:tcPr>
            <w:tcW w:w="2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Q2 FY20</w:t>
            </w:r>
          </w:p>
        </w:tc>
        <w:tc>
          <w:tcPr>
            <w:tcW w:w="220" w:type="dxa"/>
            <w:vAlign w:val="bottom"/>
          </w:tcPr>
          <w:p>
            <w:pPr>
              <w:spacing w:after="0"/>
              <w:rPr>
                <w:sz w:val="20"/>
                <w:szCs w:val="20"/>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(Decrease)</w:t>
            </w:r>
          </w:p>
        </w:tc>
        <w:tc>
          <w:tcPr>
            <w:tcW w:w="1220" w:type="dxa"/>
            <w:vAlign w:val="bottom"/>
            <w:gridSpan w:val="2"/>
          </w:tcPr>
          <w:p>
            <w:pPr>
              <w:ind w:left="160"/>
              <w:spacing w:after="0"/>
              <w:rPr>
                <w:sz w:val="20"/>
                <w:szCs w:val="20"/>
                <w:color w:val="auto"/>
              </w:rPr>
            </w:pPr>
            <w:r>
              <w:rPr>
                <w:rFonts w:ascii="Arial" w:cs="Arial" w:eastAsia="Arial" w:hAnsi="Arial"/>
                <w:sz w:val="18"/>
                <w:szCs w:val="18"/>
                <w:b w:val="1"/>
                <w:bCs w:val="1"/>
                <w:color w:val="auto"/>
              </w:rPr>
              <w:t>Change</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89"/>
              </w:rPr>
              <w:t>(Decrease)</w:t>
            </w: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Change</w:t>
            </w:r>
          </w:p>
        </w:tc>
        <w:tc>
          <w:tcPr>
            <w:tcW w:w="1100" w:type="dxa"/>
            <w:vAlign w:val="bottom"/>
            <w:gridSpan w:val="3"/>
          </w:tcPr>
          <w:p>
            <w:pPr>
              <w:ind w:left="20"/>
              <w:spacing w:after="0"/>
              <w:rPr>
                <w:sz w:val="20"/>
                <w:szCs w:val="20"/>
                <w:color w:val="auto"/>
              </w:rPr>
            </w:pPr>
            <w:r>
              <w:rPr>
                <w:rFonts w:ascii="Arial" w:cs="Arial" w:eastAsia="Arial" w:hAnsi="Arial"/>
                <w:sz w:val="18"/>
                <w:szCs w:val="18"/>
                <w:b w:val="1"/>
                <w:bCs w:val="1"/>
                <w:color w:val="auto"/>
              </w:rPr>
              <w:t>YTD FY20</w:t>
            </w: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6"/>
              </w:rPr>
              <w:t>(Decrease)</w:t>
            </w:r>
          </w:p>
        </w:tc>
        <w:tc>
          <w:tcPr>
            <w:tcW w:w="1060" w:type="dxa"/>
            <w:vAlign w:val="bottom"/>
            <w:gridSpan w:val="2"/>
          </w:tcPr>
          <w:p>
            <w:pPr>
              <w:ind w:left="160"/>
              <w:spacing w:after="0"/>
              <w:rPr>
                <w:sz w:val="20"/>
                <w:szCs w:val="20"/>
                <w:color w:val="auto"/>
              </w:rPr>
            </w:pPr>
            <w:r>
              <w:rPr>
                <w:rFonts w:ascii="Arial" w:cs="Arial" w:eastAsia="Arial" w:hAnsi="Arial"/>
                <w:sz w:val="18"/>
                <w:szCs w:val="18"/>
                <w:b w:val="1"/>
                <w:bCs w:val="1"/>
                <w:color w:val="auto"/>
              </w:rPr>
              <w:t>Change</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IC</w:t>
            </w: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High-end</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w:t>
            </w:r>
          </w:p>
        </w:tc>
      </w:tr>
      <w:tr>
        <w:trPr>
          <w:trHeight w:val="216"/>
        </w:trPr>
        <w:tc>
          <w:tcPr>
            <w:tcW w:w="2240" w:type="dxa"/>
            <w:vAlign w:val="bottom"/>
          </w:tcPr>
          <w:p>
            <w:pPr>
              <w:ind w:left="260"/>
              <w:spacing w:after="0"/>
              <w:rPr>
                <w:sz w:val="20"/>
                <w:szCs w:val="20"/>
                <w:color w:val="auto"/>
              </w:rPr>
            </w:pPr>
            <w:r>
              <w:rPr>
                <w:rFonts w:ascii="Arial" w:cs="Arial" w:eastAsia="Arial" w:hAnsi="Arial"/>
                <w:sz w:val="18"/>
                <w:szCs w:val="18"/>
                <w:color w:val="auto"/>
              </w:rPr>
              <w:t>Mainstream</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(7.4)</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124.5</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4.0</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r>
      <w:tr>
        <w:trPr>
          <w:trHeight w:val="223"/>
        </w:trPr>
        <w:tc>
          <w:tcPr>
            <w:tcW w:w="22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spacing w:after="0"/>
              <w:rPr>
                <w:sz w:val="19"/>
                <w:szCs w:val="19"/>
                <w:color w:val="auto"/>
              </w:rPr>
            </w:pPr>
          </w:p>
        </w:tc>
      </w:tr>
      <w:tr>
        <w:trPr>
          <w:trHeight w:val="216"/>
        </w:trPr>
        <w:tc>
          <w:tcPr>
            <w:tcW w:w="2240" w:type="dxa"/>
            <w:vAlign w:val="bottom"/>
          </w:tcPr>
          <w:p>
            <w:pPr>
              <w:ind w:left="460"/>
              <w:spacing w:after="0"/>
              <w:rPr>
                <w:sz w:val="20"/>
                <w:szCs w:val="20"/>
                <w:color w:val="auto"/>
              </w:rPr>
            </w:pPr>
            <w:r>
              <w:rPr>
                <w:rFonts w:ascii="Arial" w:cs="Arial" w:eastAsia="Arial" w:hAnsi="Arial"/>
                <w:sz w:val="18"/>
                <w:szCs w:val="18"/>
                <w:color w:val="auto"/>
              </w:rPr>
              <w:t>Total IC</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96.8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(10.1)</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203.8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10.4</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r>
      <w:tr>
        <w:trPr>
          <w:trHeight w:val="223"/>
        </w:trPr>
        <w:tc>
          <w:tcPr>
            <w:tcW w:w="22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FPD</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High-end</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44.2%</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34.2</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91.4%</w:t>
            </w:r>
          </w:p>
        </w:tc>
      </w:tr>
      <w:tr>
        <w:trPr>
          <w:trHeight w:val="216"/>
        </w:trPr>
        <w:tc>
          <w:tcPr>
            <w:tcW w:w="2240" w:type="dxa"/>
            <w:vAlign w:val="bottom"/>
          </w:tcPr>
          <w:p>
            <w:pPr>
              <w:ind w:left="260"/>
              <w:spacing w:after="0"/>
              <w:rPr>
                <w:sz w:val="20"/>
                <w:szCs w:val="20"/>
                <w:color w:val="auto"/>
              </w:rPr>
            </w:pPr>
            <w:r>
              <w:rPr>
                <w:rFonts w:ascii="Arial" w:cs="Arial" w:eastAsia="Arial" w:hAnsi="Arial"/>
                <w:sz w:val="18"/>
                <w:szCs w:val="18"/>
                <w:color w:val="auto"/>
              </w:rPr>
              <w:t>Mainstream</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29.0%</w:t>
            </w:r>
          </w:p>
        </w:tc>
        <w:tc>
          <w:tcPr>
            <w:tcW w:w="2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r>
      <w:tr>
        <w:trPr>
          <w:trHeight w:val="223"/>
        </w:trPr>
        <w:tc>
          <w:tcPr>
            <w:tcW w:w="22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spacing w:after="0"/>
              <w:rPr>
                <w:sz w:val="19"/>
                <w:szCs w:val="19"/>
                <w:color w:val="auto"/>
              </w:rPr>
            </w:pPr>
          </w:p>
        </w:tc>
      </w:tr>
      <w:tr>
        <w:trPr>
          <w:trHeight w:val="216"/>
        </w:trPr>
        <w:tc>
          <w:tcPr>
            <w:tcW w:w="2240" w:type="dxa"/>
            <w:vAlign w:val="bottom"/>
          </w:tcPr>
          <w:p>
            <w:pPr>
              <w:ind w:left="460"/>
              <w:spacing w:after="0"/>
              <w:rPr>
                <w:sz w:val="20"/>
                <w:szCs w:val="20"/>
                <w:color w:val="auto"/>
              </w:rPr>
            </w:pPr>
            <w:r>
              <w:rPr>
                <w:rFonts w:ascii="Arial" w:cs="Arial" w:eastAsia="Arial" w:hAnsi="Arial"/>
                <w:sz w:val="18"/>
                <w:szCs w:val="18"/>
                <w:color w:val="auto"/>
              </w:rPr>
              <w:t>Total FPD</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45.9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(6.8)</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(12.9)%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12.9</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39.2%</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98.7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35.9</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57.1%</w:t>
            </w:r>
          </w:p>
        </w:tc>
      </w:tr>
      <w:tr>
        <w:trPr>
          <w:trHeight w:val="223"/>
        </w:trPr>
        <w:tc>
          <w:tcPr>
            <w:tcW w:w="22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spacing w:after="0"/>
              <w:rPr>
                <w:sz w:val="19"/>
                <w:szCs w:val="19"/>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Total Revenue</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142.8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(17.0)</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(10.6)%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11.2</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8.5%</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302.5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46.2</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18.0%</w:t>
            </w:r>
          </w:p>
        </w:tc>
      </w:tr>
      <w:tr>
        <w:trPr>
          <w:trHeight w:val="20"/>
        </w:trPr>
        <w:tc>
          <w:tcPr>
            <w:tcW w:w="2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00" w:type="dxa"/>
            <w:vAlign w:val="bottom"/>
            <w:gridSpan w:val="7"/>
          </w:tcPr>
          <w:p>
            <w:pPr>
              <w:jc w:val="right"/>
              <w:ind w:right="180"/>
              <w:spacing w:after="0"/>
              <w:rPr>
                <w:sz w:val="20"/>
                <w:szCs w:val="20"/>
                <w:color w:val="auto"/>
              </w:rPr>
            </w:pPr>
            <w:r>
              <w:rPr>
                <w:rFonts w:ascii="Arial" w:cs="Arial" w:eastAsia="Arial" w:hAnsi="Arial"/>
                <w:sz w:val="18"/>
                <w:szCs w:val="18"/>
                <w:i w:val="1"/>
                <w:iCs w:val="1"/>
                <w:color w:val="auto"/>
                <w:w w:val="97"/>
              </w:rPr>
              <w:t>Quarterly Changes in Revenue by Geographic Origin</w:t>
            </w: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66"/>
        </w:trPr>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00" w:type="dxa"/>
            <w:vAlign w:val="bottom"/>
            <w:gridSpan w:val="7"/>
          </w:tcPr>
          <w:p>
            <w:pPr>
              <w:jc w:val="center"/>
              <w:ind w:right="400"/>
              <w:spacing w:after="0"/>
              <w:rPr>
                <w:sz w:val="20"/>
                <w:szCs w:val="20"/>
                <w:color w:val="auto"/>
              </w:rPr>
            </w:pPr>
            <w:r>
              <w:rPr>
                <w:rFonts w:ascii="Arial" w:cs="Arial" w:eastAsia="Arial" w:hAnsi="Arial"/>
                <w:sz w:val="18"/>
                <w:szCs w:val="18"/>
                <w:b w:val="1"/>
                <w:bCs w:val="1"/>
                <w:color w:val="auto"/>
                <w:w w:val="95"/>
              </w:rPr>
              <w:t>Q2 FY20 from Q1 FY20</w:t>
            </w:r>
          </w:p>
        </w:tc>
        <w:tc>
          <w:tcPr>
            <w:tcW w:w="234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98"/>
              </w:rPr>
              <w:t>Q2 FY20 from Q2 FY19</w:t>
            </w: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20" w:type="dxa"/>
            <w:vAlign w:val="bottom"/>
            <w:gridSpan w:val="5"/>
          </w:tcPr>
          <w:p>
            <w:pPr>
              <w:spacing w:after="0"/>
              <w:rPr>
                <w:sz w:val="20"/>
                <w:szCs w:val="20"/>
                <w:color w:val="auto"/>
              </w:rPr>
            </w:pPr>
            <w:r>
              <w:rPr>
                <w:rFonts w:ascii="Arial" w:cs="Arial" w:eastAsia="Arial" w:hAnsi="Arial"/>
                <w:sz w:val="18"/>
                <w:szCs w:val="18"/>
                <w:b w:val="1"/>
                <w:bCs w:val="1"/>
                <w:color w:val="auto"/>
              </w:rPr>
              <w:t>YTD FY20 from YTD FY19</w:t>
            </w:r>
          </w:p>
        </w:tc>
      </w:tr>
      <w:tr>
        <w:trPr>
          <w:trHeight w:val="198"/>
        </w:trPr>
        <w:tc>
          <w:tcPr>
            <w:tcW w:w="2080" w:type="dxa"/>
            <w:vAlign w:val="bottom"/>
          </w:tcPr>
          <w:p>
            <w:pPr>
              <w:spacing w:after="0"/>
              <w:rPr>
                <w:sz w:val="17"/>
                <w:szCs w:val="17"/>
                <w:color w:val="auto"/>
              </w:rPr>
            </w:pPr>
          </w:p>
        </w:tc>
        <w:tc>
          <w:tcPr>
            <w:tcW w:w="1120" w:type="dxa"/>
            <w:vAlign w:val="bottom"/>
            <w:tcBorders>
              <w:top w:val="single" w:sz="8" w:color="auto"/>
            </w:tcBorders>
            <w:gridSpan w:val="3"/>
          </w:tcPr>
          <w:p>
            <w:pPr>
              <w:ind w:left="20"/>
              <w:spacing w:after="0" w:line="198" w:lineRule="exact"/>
              <w:rPr>
                <w:sz w:val="20"/>
                <w:szCs w:val="20"/>
                <w:color w:val="auto"/>
              </w:rPr>
            </w:pPr>
            <w:r>
              <w:rPr>
                <w:rFonts w:ascii="Arial" w:cs="Arial" w:eastAsia="Arial" w:hAnsi="Arial"/>
                <w:sz w:val="18"/>
                <w:szCs w:val="18"/>
                <w:b w:val="1"/>
                <w:bCs w:val="1"/>
                <w:color w:val="auto"/>
              </w:rPr>
              <w:t>Revenue in</w:t>
            </w: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87"/>
              </w:rPr>
              <w:t>Increase</w:t>
            </w:r>
          </w:p>
        </w:tc>
        <w:tc>
          <w:tcPr>
            <w:tcW w:w="860" w:type="dxa"/>
            <w:vAlign w:val="bottom"/>
            <w:tcBorders>
              <w:top w:val="single" w:sz="8" w:color="auto"/>
            </w:tcBorders>
          </w:tcPr>
          <w:p>
            <w:pPr>
              <w:ind w:left="140"/>
              <w:spacing w:after="0" w:line="198" w:lineRule="exact"/>
              <w:rPr>
                <w:sz w:val="20"/>
                <w:szCs w:val="20"/>
                <w:color w:val="auto"/>
              </w:rPr>
            </w:pPr>
            <w:r>
              <w:rPr>
                <w:rFonts w:ascii="Arial" w:cs="Arial" w:eastAsia="Arial" w:hAnsi="Arial"/>
                <w:sz w:val="18"/>
                <w:szCs w:val="18"/>
                <w:b w:val="1"/>
                <w:bCs w:val="1"/>
                <w:color w:val="auto"/>
              </w:rPr>
              <w:t>Percent</w:t>
            </w:r>
          </w:p>
        </w:tc>
        <w:tc>
          <w:tcPr>
            <w:tcW w:w="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right"/>
              <w:ind w:right="340"/>
              <w:spacing w:after="0" w:line="198" w:lineRule="exact"/>
              <w:rPr>
                <w:sz w:val="20"/>
                <w:szCs w:val="20"/>
                <w:color w:val="auto"/>
              </w:rPr>
            </w:pPr>
            <w:r>
              <w:rPr>
                <w:rFonts w:ascii="Arial" w:cs="Arial" w:eastAsia="Arial" w:hAnsi="Arial"/>
                <w:sz w:val="18"/>
                <w:szCs w:val="18"/>
                <w:b w:val="1"/>
                <w:bCs w:val="1"/>
                <w:color w:val="auto"/>
                <w:w w:val="87"/>
              </w:rPr>
              <w:t>Increase</w:t>
            </w:r>
          </w:p>
        </w:tc>
        <w:tc>
          <w:tcPr>
            <w:tcW w:w="880" w:type="dxa"/>
            <w:vAlign w:val="bottom"/>
            <w:tcBorders>
              <w:top w:val="single" w:sz="8" w:color="auto"/>
            </w:tcBorders>
          </w:tcPr>
          <w:p>
            <w:pPr>
              <w:ind w:left="140"/>
              <w:spacing w:after="0" w:line="198" w:lineRule="exact"/>
              <w:rPr>
                <w:sz w:val="20"/>
                <w:szCs w:val="20"/>
                <w:color w:val="auto"/>
              </w:rPr>
            </w:pPr>
            <w:r>
              <w:rPr>
                <w:rFonts w:ascii="Arial" w:cs="Arial" w:eastAsia="Arial" w:hAnsi="Arial"/>
                <w:sz w:val="18"/>
                <w:szCs w:val="18"/>
                <w:b w:val="1"/>
                <w:bCs w:val="1"/>
                <w:color w:val="auto"/>
              </w:rPr>
              <w:t>Percent</w:t>
            </w:r>
          </w:p>
        </w:tc>
        <w:tc>
          <w:tcPr>
            <w:tcW w:w="340" w:type="dxa"/>
            <w:vAlign w:val="bottom"/>
          </w:tcPr>
          <w:p>
            <w:pPr>
              <w:spacing w:after="0"/>
              <w:rPr>
                <w:sz w:val="17"/>
                <w:szCs w:val="17"/>
                <w:color w:val="auto"/>
              </w:rPr>
            </w:pPr>
          </w:p>
        </w:tc>
        <w:tc>
          <w:tcPr>
            <w:tcW w:w="110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Revenue in</w:t>
            </w: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jc w:val="right"/>
              <w:ind w:right="360"/>
              <w:spacing w:after="0" w:line="198" w:lineRule="exact"/>
              <w:rPr>
                <w:sz w:val="20"/>
                <w:szCs w:val="20"/>
                <w:color w:val="auto"/>
              </w:rPr>
            </w:pPr>
            <w:r>
              <w:rPr>
                <w:rFonts w:ascii="Arial" w:cs="Arial" w:eastAsia="Arial" w:hAnsi="Arial"/>
                <w:sz w:val="18"/>
                <w:szCs w:val="18"/>
                <w:b w:val="1"/>
                <w:bCs w:val="1"/>
                <w:color w:val="auto"/>
                <w:w w:val="90"/>
              </w:rPr>
              <w:t>Increase</w:t>
            </w:r>
          </w:p>
        </w:tc>
        <w:tc>
          <w:tcPr>
            <w:tcW w:w="940" w:type="dxa"/>
            <w:vAlign w:val="bottom"/>
            <w:tcBorders>
              <w:top w:val="single" w:sz="8" w:color="auto"/>
            </w:tcBorders>
          </w:tcPr>
          <w:p>
            <w:pPr>
              <w:ind w:left="180"/>
              <w:spacing w:after="0" w:line="198" w:lineRule="exact"/>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17"/>
                <w:szCs w:val="17"/>
                <w:color w:val="auto"/>
              </w:rPr>
            </w:pPr>
          </w:p>
        </w:tc>
      </w:tr>
      <w:tr>
        <w:trPr>
          <w:trHeight w:val="241"/>
        </w:trPr>
        <w:tc>
          <w:tcPr>
            <w:tcW w:w="20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4"/>
              </w:rPr>
              <w:t>Q2 FY20</w:t>
            </w:r>
          </w:p>
        </w:tc>
        <w:tc>
          <w:tcPr>
            <w:tcW w:w="220" w:type="dxa"/>
            <w:vAlign w:val="bottom"/>
          </w:tcPr>
          <w:p>
            <w:pPr>
              <w:spacing w:after="0"/>
              <w:rPr>
                <w:sz w:val="20"/>
                <w:szCs w:val="20"/>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6"/>
              </w:rPr>
              <w:t>(Decrease)</w:t>
            </w:r>
          </w:p>
        </w:tc>
        <w:tc>
          <w:tcPr>
            <w:tcW w:w="220" w:type="dxa"/>
            <w:vAlign w:val="bottom"/>
          </w:tcPr>
          <w:p>
            <w:pPr>
              <w:spacing w:after="0"/>
              <w:rPr>
                <w:sz w:val="20"/>
                <w:szCs w:val="20"/>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Change</w:t>
            </w:r>
          </w:p>
        </w:tc>
        <w:tc>
          <w:tcPr>
            <w:tcW w:w="320" w:type="dxa"/>
            <w:vAlign w:val="bottom"/>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(Decrease)</w:t>
            </w:r>
          </w:p>
        </w:tc>
        <w:tc>
          <w:tcPr>
            <w:tcW w:w="220" w:type="dxa"/>
            <w:vAlign w:val="bottom"/>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Change</w:t>
            </w:r>
          </w:p>
        </w:tc>
        <w:tc>
          <w:tcPr>
            <w:tcW w:w="340" w:type="dxa"/>
            <w:vAlign w:val="bottom"/>
          </w:tcPr>
          <w:p>
            <w:pPr>
              <w:spacing w:after="0"/>
              <w:rPr>
                <w:sz w:val="20"/>
                <w:szCs w:val="20"/>
                <w:color w:val="auto"/>
              </w:rPr>
            </w:pPr>
          </w:p>
        </w:tc>
        <w:tc>
          <w:tcPr>
            <w:tcW w:w="8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9"/>
              </w:rPr>
              <w:t>YTD FY20</w:t>
            </w:r>
          </w:p>
        </w:tc>
        <w:tc>
          <w:tcPr>
            <w:tcW w:w="220" w:type="dxa"/>
            <w:vAlign w:val="bottom"/>
          </w:tcPr>
          <w:p>
            <w:pPr>
              <w:spacing w:after="0"/>
              <w:rPr>
                <w:sz w:val="20"/>
                <w:szCs w:val="20"/>
                <w:color w:val="auto"/>
              </w:rPr>
            </w:pPr>
          </w:p>
        </w:tc>
        <w:tc>
          <w:tcPr>
            <w:tcW w:w="9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3"/>
              </w:rPr>
              <w:t>(Decrease)</w:t>
            </w:r>
          </w:p>
        </w:tc>
        <w:tc>
          <w:tcPr>
            <w:tcW w:w="220" w:type="dxa"/>
            <w:vAlign w:val="bottom"/>
          </w:tcPr>
          <w:p>
            <w:pPr>
              <w:spacing w:after="0"/>
              <w:rPr>
                <w:sz w:val="20"/>
                <w:szCs w:val="20"/>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20"/>
                <w:szCs w:val="20"/>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Taiwan</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Korea</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77.0</w:t>
            </w:r>
          </w:p>
        </w:tc>
        <w:tc>
          <w:tcPr>
            <w:tcW w:w="1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49.9</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Europe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0.8</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1,091.8%</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37.4</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2,060.9%</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0.0</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(24.0)%</w:t>
            </w:r>
          </w:p>
        </w:tc>
        <w:tc>
          <w:tcPr>
            <w:tcW w:w="2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(34.7)%</w:t>
            </w:r>
          </w:p>
        </w:tc>
      </w:tr>
      <w:tr>
        <w:trPr>
          <w:trHeight w:val="223"/>
        </w:trPr>
        <w:tc>
          <w:tcPr>
            <w:tcW w:w="2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spacing w:after="0"/>
              <w:rPr>
                <w:sz w:val="19"/>
                <w:szCs w:val="19"/>
                <w:color w:val="auto"/>
              </w:rPr>
            </w:pPr>
          </w:p>
        </w:tc>
      </w:tr>
      <w:tr>
        <w:trPr>
          <w:trHeight w:val="216"/>
        </w:trPr>
        <w:tc>
          <w:tcPr>
            <w:tcW w:w="20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142.8</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(17.0)</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11.2</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8.5%</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302.5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46.2</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18.0%</w:t>
            </w:r>
          </w:p>
        </w:tc>
      </w:tr>
      <w:tr>
        <w:trPr>
          <w:trHeight w:val="20"/>
        </w:trPr>
        <w:tc>
          <w:tcPr>
            <w:tcW w:w="2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243"/>
        <w:spacing w:after="0" w:line="291" w:lineRule="auto"/>
        <w:rPr>
          <w:sz w:val="20"/>
          <w:szCs w:val="20"/>
          <w:color w:val="auto"/>
        </w:rPr>
      </w:pPr>
      <w:r>
        <w:rPr>
          <w:rFonts w:ascii="Arial" w:cs="Arial" w:eastAsia="Arial" w:hAnsi="Arial"/>
          <w:sz w:val="16"/>
          <w:szCs w:val="16"/>
          <w:color w:val="auto"/>
        </w:rPr>
        <w:t>Revenue decreased $17.0 million, or 10.6%, in Q2 FY20, compared with Q1 FY20, primarily due to push-outs of orders, first in China, due to the extended Lunar New Year period and concomitant reductions in manufacturing activity attributable to the coronavirus pandemic, and then in our other sites, as we encountered mobility restrictions due to the pandemic. The greatest impact of these restrictions was experienced in the mainstream IC and high-end FPD product lines. On a geographic basis, Asia revenue declined in varying degrees, the U.S. revenue was essentially flat, and Europe revenue increased $0.8 million or 10.4%. Most of our IC customers’ products have been deemed to be essential. However, with many of their design teams working remotely, design verification processes have been delayed, resulting in delays in their orders. Our three FPD facilities operated at capacity in Q2 FY20, but orders for G10.5+ products decreased from Q1 FY20, resulting in lower high-end and total FPD revenue in the current quarter.</w:t>
      </w:r>
    </w:p>
    <w:p>
      <w:pPr>
        <w:spacing w:after="0" w:line="193" w:lineRule="exact"/>
        <w:rPr>
          <w:sz w:val="20"/>
          <w:szCs w:val="20"/>
          <w:color w:val="auto"/>
        </w:rPr>
      </w:pPr>
    </w:p>
    <w:p>
      <w:pPr>
        <w:ind w:right="120" w:firstLine="243"/>
        <w:spacing w:after="0" w:line="259" w:lineRule="auto"/>
        <w:rPr>
          <w:sz w:val="20"/>
          <w:szCs w:val="20"/>
          <w:color w:val="auto"/>
        </w:rPr>
      </w:pPr>
      <w:r>
        <w:rPr>
          <w:rFonts w:ascii="Arial" w:cs="Arial" w:eastAsia="Arial" w:hAnsi="Arial"/>
          <w:sz w:val="18"/>
          <w:szCs w:val="18"/>
          <w:color w:val="auto"/>
        </w:rPr>
        <w:t>Revenue increased 8.5% in Q2 FY20, compared with Q2 FY19, due to increased high-end and mainstream FPD revenues. The increases reflected both stronger global demand and our increased ability to meet it through the utilization of our China-based FPD factory. IC revenues declined moderately by 1.8%, as design releases were behind schedule due to delays in design verification processes. On a geographic basis, the increase in revenue was attributable to revenues in our two China-based facilities.</w:t>
      </w:r>
    </w:p>
    <w:p>
      <w:pPr>
        <w:spacing w:after="0" w:line="214" w:lineRule="exact"/>
        <w:rPr>
          <w:sz w:val="20"/>
          <w:szCs w:val="20"/>
          <w:color w:val="auto"/>
        </w:rPr>
      </w:pPr>
    </w:p>
    <w:p>
      <w:pPr>
        <w:jc w:val="both"/>
        <w:ind w:right="100" w:firstLine="175"/>
        <w:spacing w:after="0" w:line="259" w:lineRule="auto"/>
        <w:rPr>
          <w:sz w:val="20"/>
          <w:szCs w:val="20"/>
          <w:color w:val="auto"/>
        </w:rPr>
      </w:pPr>
      <w:r>
        <w:rPr>
          <w:rFonts w:ascii="Arial" w:cs="Arial" w:eastAsia="Arial" w:hAnsi="Arial"/>
          <w:sz w:val="18"/>
          <w:szCs w:val="18"/>
          <w:color w:val="auto"/>
        </w:rPr>
        <w:t>On a year-to-date basis, revenues increased $46.2 million, or 18.0%, from YTD FY19, resulting from growth in all product categories, led by high-end FPD, which grew $34.2 million, or 91.4%, from the prior year period. While this growth was led by increased revenues from G10.5+ products, there were also significant increases in revenues from both AMOLED and LTPS products. On a geographic basis, approximately 77% of the increase was attributable to revenues in our two China-based sites.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81"/>
        </w:trPr>
        <w:tc>
          <w:tcPr>
            <w:tcW w:w="2120" w:type="dxa"/>
            <w:vAlign w:val="bottom"/>
          </w:tcPr>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Index</w:t>
              </w:r>
            </w:hyperlink>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377"/>
        </w:trPr>
        <w:tc>
          <w:tcPr>
            <w:tcW w:w="2120" w:type="dxa"/>
            <w:vAlign w:val="bottom"/>
          </w:tcPr>
          <w:p>
            <w:pPr>
              <w:spacing w:after="0"/>
              <w:rPr>
                <w:sz w:val="20"/>
                <w:szCs w:val="20"/>
                <w:color w:val="auto"/>
              </w:rPr>
            </w:pPr>
            <w:r>
              <w:rPr>
                <w:rFonts w:ascii="Arial" w:cs="Arial" w:eastAsia="Arial" w:hAnsi="Arial"/>
                <w:sz w:val="18"/>
                <w:szCs w:val="18"/>
                <w:b w:val="1"/>
                <w:bCs w:val="1"/>
                <w:i w:val="1"/>
                <w:iCs w:val="1"/>
                <w:color w:val="auto"/>
              </w:rPr>
              <w:t>Gross Margin</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66"/>
        </w:trPr>
        <w:tc>
          <w:tcPr>
            <w:tcW w:w="2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5"/>
          </w:tcPr>
          <w:p>
            <w:pPr>
              <w:jc w:val="center"/>
              <w:ind w:left="590"/>
              <w:spacing w:after="0"/>
              <w:rPr>
                <w:sz w:val="20"/>
                <w:szCs w:val="20"/>
                <w:color w:val="auto"/>
              </w:rPr>
            </w:pPr>
            <w:r>
              <w:rPr>
                <w:rFonts w:ascii="Arial" w:cs="Arial" w:eastAsia="Arial" w:hAnsi="Arial"/>
                <w:sz w:val="18"/>
                <w:szCs w:val="18"/>
                <w:b w:val="1"/>
                <w:bCs w:val="1"/>
                <w:color w:val="auto"/>
                <w:w w:val="92"/>
              </w:rPr>
              <w:t>Three Months Ended</w:t>
            </w:r>
          </w:p>
        </w:tc>
        <w:tc>
          <w:tcPr>
            <w:tcW w:w="8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6"/>
          </w:tcPr>
          <w:p>
            <w:pPr>
              <w:ind w:left="540"/>
              <w:spacing w:after="0"/>
              <w:rPr>
                <w:sz w:val="20"/>
                <w:szCs w:val="20"/>
                <w:color w:val="auto"/>
              </w:rPr>
            </w:pPr>
            <w:r>
              <w:rPr>
                <w:rFonts w:ascii="Arial" w:cs="Arial" w:eastAsia="Arial" w:hAnsi="Arial"/>
                <w:sz w:val="18"/>
                <w:szCs w:val="18"/>
                <w:b w:val="1"/>
                <w:bCs w:val="1"/>
                <w:color w:val="auto"/>
                <w:w w:val="90"/>
              </w:rPr>
              <w:t>Six Months Ended</w:t>
            </w:r>
          </w:p>
        </w:tc>
        <w:tc>
          <w:tcPr>
            <w:tcW w:w="8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98"/>
        </w:trPr>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3"/>
          </w:tcPr>
          <w:p>
            <w:pPr>
              <w:jc w:val="center"/>
              <w:ind w:right="400"/>
              <w:spacing w:after="0" w:line="198" w:lineRule="exact"/>
              <w:rPr>
                <w:sz w:val="20"/>
                <w:szCs w:val="20"/>
                <w:color w:val="auto"/>
              </w:rPr>
            </w:pPr>
            <w:r>
              <w:rPr>
                <w:rFonts w:ascii="Arial" w:cs="Arial" w:eastAsia="Arial" w:hAnsi="Arial"/>
                <w:sz w:val="18"/>
                <w:szCs w:val="18"/>
                <w:b w:val="1"/>
                <w:bCs w:val="1"/>
                <w:color w:val="auto"/>
                <w:w w:val="90"/>
              </w:rPr>
              <w:t>Percent</w:t>
            </w: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ind w:left="140"/>
              <w:spacing w:after="0" w:line="198" w:lineRule="exact"/>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ind w:left="140"/>
              <w:spacing w:after="0" w:line="198" w:lineRule="exact"/>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17"/>
                <w:szCs w:val="17"/>
                <w:color w:val="auto"/>
              </w:rPr>
            </w:pPr>
          </w:p>
        </w:tc>
      </w:tr>
      <w:tr>
        <w:trPr>
          <w:trHeight w:val="234"/>
        </w:trPr>
        <w:tc>
          <w:tcPr>
            <w:tcW w:w="2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Q2 FY20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Q1 FY20</w:t>
            </w:r>
          </w:p>
        </w:tc>
        <w:tc>
          <w:tcPr>
            <w:tcW w:w="128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0"/>
              </w:rPr>
              <w:t>Change</w:t>
            </w:r>
          </w:p>
        </w:tc>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Q2 FY19</w:t>
            </w:r>
          </w:p>
        </w:tc>
        <w:tc>
          <w:tcPr>
            <w:tcW w:w="1080" w:type="dxa"/>
            <w:vAlign w:val="bottom"/>
            <w:gridSpan w:val="2"/>
          </w:tcPr>
          <w:p>
            <w:pPr>
              <w:ind w:left="140"/>
              <w:spacing w:after="0"/>
              <w:rPr>
                <w:sz w:val="20"/>
                <w:szCs w:val="20"/>
                <w:color w:val="auto"/>
              </w:rPr>
            </w:pPr>
            <w:r>
              <w:rPr>
                <w:rFonts w:ascii="Arial" w:cs="Arial" w:eastAsia="Arial" w:hAnsi="Arial"/>
                <w:sz w:val="18"/>
                <w:szCs w:val="18"/>
                <w:b w:val="1"/>
                <w:bCs w:val="1"/>
                <w:color w:val="auto"/>
              </w:rPr>
              <w:t>Change</w:t>
            </w:r>
          </w:p>
        </w:tc>
        <w:tc>
          <w:tcPr>
            <w:tcW w:w="60" w:type="dxa"/>
            <w:vAlign w:val="bottom"/>
          </w:tcPr>
          <w:p>
            <w:pPr>
              <w:spacing w:after="0"/>
              <w:rPr>
                <w:sz w:val="20"/>
                <w:szCs w:val="20"/>
                <w:color w:val="auto"/>
              </w:rPr>
            </w:pPr>
          </w:p>
        </w:tc>
        <w:tc>
          <w:tcPr>
            <w:tcW w:w="1100" w:type="dxa"/>
            <w:vAlign w:val="bottom"/>
            <w:gridSpan w:val="3"/>
          </w:tcPr>
          <w:p>
            <w:pPr>
              <w:ind w:left="20"/>
              <w:spacing w:after="0"/>
              <w:rPr>
                <w:sz w:val="20"/>
                <w:szCs w:val="20"/>
                <w:color w:val="auto"/>
              </w:rPr>
            </w:pPr>
            <w:r>
              <w:rPr>
                <w:rFonts w:ascii="Arial" w:cs="Arial" w:eastAsia="Arial" w:hAnsi="Arial"/>
                <w:sz w:val="18"/>
                <w:szCs w:val="18"/>
                <w:b w:val="1"/>
                <w:bCs w:val="1"/>
                <w:color w:val="auto"/>
              </w:rPr>
              <w:t>YTD FY20</w:t>
            </w:r>
          </w:p>
        </w:tc>
        <w:tc>
          <w:tcPr>
            <w:tcW w:w="60" w:type="dxa"/>
            <w:vAlign w:val="bottom"/>
          </w:tcPr>
          <w:p>
            <w:pPr>
              <w:spacing w:after="0"/>
              <w:rPr>
                <w:sz w:val="20"/>
                <w:szCs w:val="20"/>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rPr>
              <w:t>YTD FY19</w:t>
            </w:r>
          </w:p>
        </w:tc>
        <w:tc>
          <w:tcPr>
            <w:tcW w:w="1040" w:type="dxa"/>
            <w:vAlign w:val="bottom"/>
            <w:gridSpan w:val="2"/>
          </w:tcPr>
          <w:p>
            <w:pPr>
              <w:ind w:left="140"/>
              <w:spacing w:after="0"/>
              <w:rPr>
                <w:sz w:val="20"/>
                <w:szCs w:val="20"/>
                <w:color w:val="auto"/>
              </w:rPr>
            </w:pPr>
            <w:r>
              <w:rPr>
                <w:rFonts w:ascii="Arial" w:cs="Arial" w:eastAsia="Arial" w:hAnsi="Arial"/>
                <w:sz w:val="18"/>
                <w:szCs w:val="18"/>
                <w:b w:val="1"/>
                <w:bCs w:val="1"/>
                <w:color w:val="auto"/>
              </w:rPr>
              <w:t>Change</w:t>
            </w:r>
          </w:p>
        </w:tc>
      </w:tr>
      <w:tr>
        <w:trPr>
          <w:trHeight w:val="223"/>
        </w:trPr>
        <w:tc>
          <w:tcPr>
            <w:tcW w:w="2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6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1280" w:type="dxa"/>
            <w:vAlign w:val="bottom"/>
            <w:gridSpan w:val="3"/>
          </w:tcPr>
          <w:p>
            <w:pPr>
              <w:spacing w:after="0"/>
              <w:rPr>
                <w:sz w:val="18"/>
                <w:szCs w:val="18"/>
                <w:color w:val="auto"/>
              </w:rPr>
            </w:pPr>
          </w:p>
        </w:tc>
        <w:tc>
          <w:tcPr>
            <w:tcW w:w="106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400" w:type="dxa"/>
            <w:vAlign w:val="bottom"/>
            <w:gridSpan w:val="2"/>
          </w:tcPr>
          <w:p>
            <w:pPr>
              <w:spacing w:after="0"/>
              <w:rPr>
                <w:sz w:val="18"/>
                <w:szCs w:val="18"/>
                <w:color w:val="auto"/>
              </w:rPr>
            </w:pPr>
          </w:p>
        </w:tc>
        <w:tc>
          <w:tcPr>
            <w:tcW w:w="760" w:type="dxa"/>
            <w:vAlign w:val="bottom"/>
            <w:gridSpan w:val="2"/>
          </w:tcPr>
          <w:p>
            <w:pPr>
              <w:spacing w:after="0"/>
              <w:rPr>
                <w:sz w:val="18"/>
                <w:szCs w:val="18"/>
                <w:color w:val="auto"/>
              </w:rPr>
            </w:pPr>
          </w:p>
        </w:tc>
        <w:tc>
          <w:tcPr>
            <w:tcW w:w="400" w:type="dxa"/>
            <w:vAlign w:val="bottom"/>
            <w:gridSpan w:val="2"/>
          </w:tcPr>
          <w:p>
            <w:pPr>
              <w:spacing w:after="0"/>
              <w:rPr>
                <w:sz w:val="18"/>
                <w:szCs w:val="18"/>
                <w:color w:val="auto"/>
              </w:rPr>
            </w:pPr>
          </w:p>
        </w:tc>
        <w:tc>
          <w:tcPr>
            <w:tcW w:w="82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r>
      <w:tr>
        <w:trPr>
          <w:trHeight w:val="216"/>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30.4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34.6</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(12.0)%  $</w:t>
            </w: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26.0</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65.0</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52.1</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w:t>
            </w:r>
          </w:p>
        </w:tc>
      </w:tr>
      <w:tr>
        <w:trPr>
          <w:trHeight w:val="230"/>
        </w:trPr>
        <w:tc>
          <w:tcPr>
            <w:tcW w:w="2120" w:type="dxa"/>
            <w:vAlign w:val="bottom"/>
          </w:tcPr>
          <w:p>
            <w:pPr>
              <w:spacing w:after="0"/>
              <w:rPr>
                <w:sz w:val="20"/>
                <w:szCs w:val="20"/>
                <w:color w:val="auto"/>
              </w:rPr>
            </w:pPr>
            <w:r>
              <w:rPr>
                <w:rFonts w:ascii="Arial" w:cs="Arial" w:eastAsia="Arial" w:hAnsi="Arial"/>
                <w:sz w:val="18"/>
                <w:szCs w:val="18"/>
                <w:color w:val="auto"/>
              </w:rPr>
              <w:t>Gross margin</w:t>
            </w:r>
          </w:p>
        </w:tc>
        <w:tc>
          <w:tcPr>
            <w:tcW w:w="80" w:type="dxa"/>
            <w:vAlign w:val="bottom"/>
          </w:tcPr>
          <w:p>
            <w:pPr>
              <w:spacing w:after="0"/>
              <w:rPr>
                <w:sz w:val="20"/>
                <w:szCs w:val="20"/>
                <w:color w:val="auto"/>
              </w:rPr>
            </w:pP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w w:val="97"/>
              </w:rPr>
              <w:t>21.3%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ind w:left="460"/>
              <w:spacing w:after="0"/>
              <w:rPr>
                <w:sz w:val="20"/>
                <w:szCs w:val="20"/>
                <w:color w:val="auto"/>
              </w:rPr>
            </w:pPr>
            <w:r>
              <w:rPr>
                <w:rFonts w:ascii="Arial" w:cs="Arial" w:eastAsia="Arial" w:hAnsi="Arial"/>
                <w:sz w:val="18"/>
                <w:szCs w:val="18"/>
                <w:color w:val="auto"/>
              </w:rPr>
              <w:t>21.7%</w:t>
            </w: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ind w:left="480"/>
              <w:spacing w:after="0"/>
              <w:rPr>
                <w:sz w:val="20"/>
                <w:szCs w:val="20"/>
                <w:color w:val="auto"/>
              </w:rPr>
            </w:pPr>
            <w:r>
              <w:rPr>
                <w:rFonts w:ascii="Arial" w:cs="Arial" w:eastAsia="Arial" w:hAnsi="Arial"/>
                <w:sz w:val="18"/>
                <w:szCs w:val="18"/>
                <w:color w:val="auto"/>
              </w:rPr>
              <w:t>19.8%</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gridSpan w:val="2"/>
          </w:tcPr>
          <w:p>
            <w:pPr>
              <w:ind w:left="240"/>
              <w:spacing w:after="0"/>
              <w:rPr>
                <w:sz w:val="20"/>
                <w:szCs w:val="20"/>
                <w:color w:val="auto"/>
              </w:rPr>
            </w:pPr>
            <w:r>
              <w:rPr>
                <w:rFonts w:ascii="Arial" w:cs="Arial" w:eastAsia="Arial" w:hAnsi="Arial"/>
                <w:sz w:val="18"/>
                <w:szCs w:val="18"/>
                <w:color w:val="auto"/>
                <w:w w:val="97"/>
              </w:rPr>
              <w:t>21.5%</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gridSpan w:val="2"/>
          </w:tcPr>
          <w:p>
            <w:pPr>
              <w:ind w:left="240"/>
              <w:spacing w:after="0"/>
              <w:rPr>
                <w:sz w:val="20"/>
                <w:szCs w:val="20"/>
                <w:color w:val="auto"/>
              </w:rPr>
            </w:pPr>
            <w:r>
              <w:rPr>
                <w:rFonts w:ascii="Arial" w:cs="Arial" w:eastAsia="Arial" w:hAnsi="Arial"/>
                <w:sz w:val="18"/>
                <w:szCs w:val="18"/>
                <w:color w:val="auto"/>
              </w:rPr>
              <w:t>20.3%</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214" w:lineRule="exact"/>
        <w:rPr>
          <w:sz w:val="20"/>
          <w:szCs w:val="20"/>
          <w:color w:val="auto"/>
        </w:rPr>
      </w:pPr>
    </w:p>
    <w:p>
      <w:pPr>
        <w:ind w:firstLine="247"/>
        <w:spacing w:after="0" w:line="279" w:lineRule="auto"/>
        <w:rPr>
          <w:sz w:val="20"/>
          <w:szCs w:val="20"/>
          <w:color w:val="auto"/>
        </w:rPr>
      </w:pPr>
      <w:r>
        <w:rPr>
          <w:rFonts w:ascii="Arial" w:cs="Arial" w:eastAsia="Arial" w:hAnsi="Arial"/>
          <w:sz w:val="17"/>
          <w:szCs w:val="17"/>
          <w:color w:val="auto"/>
        </w:rPr>
        <w:t>Gross margin decreased by 0.4% in Q2 FY20, from Q1 FY20, primarily as a result of the previously discussed 10.6% decrease in revenue. Total cost of goods sold decreased 10.2%, with the primary drivers being: an 11.8% decrease in material costs, reflecting the decrease in revenue; a decrease in compensation and related costs of 10.3%; a decrease in overhead costs of 8.9%, as variable and discretionary expenses declined in most categories, with the most notable exception being tool maintenance, which increased $0.6 million, or 11.3%.</w:t>
      </w:r>
    </w:p>
    <w:p>
      <w:pPr>
        <w:spacing w:after="0" w:line="198" w:lineRule="exact"/>
        <w:rPr>
          <w:sz w:val="20"/>
          <w:szCs w:val="20"/>
          <w:color w:val="auto"/>
        </w:rPr>
      </w:pPr>
    </w:p>
    <w:p>
      <w:pPr>
        <w:ind w:firstLine="247"/>
        <w:spacing w:after="0" w:line="279" w:lineRule="auto"/>
        <w:rPr>
          <w:sz w:val="20"/>
          <w:szCs w:val="20"/>
          <w:color w:val="auto"/>
        </w:rPr>
      </w:pPr>
      <w:r>
        <w:rPr>
          <w:rFonts w:ascii="Arial" w:cs="Arial" w:eastAsia="Arial" w:hAnsi="Arial"/>
          <w:sz w:val="17"/>
          <w:szCs w:val="17"/>
          <w:color w:val="auto"/>
        </w:rPr>
        <w:t>Gross margin increased by 1.5 percentage points in Q2 FY20, from Q2 FY19, primarily as a result of the 8.5% growth in revenue in the current year quarter. Material costs, as a percent of revenue, increased 1.0%, in contrast to labor costs, which decreased by 1.8 percentage points as a percent of revenue. Overhead costs increased 6.2%, with depreciation at our two China-based facilities, both of which began production in fiscal year 2019, the predominant cause. Net of depreciation at the China-based facilities, overhead costs decreased 1.0% from the prior year quarter.</w:t>
      </w:r>
    </w:p>
    <w:p>
      <w:pPr>
        <w:spacing w:after="0" w:line="198" w:lineRule="exact"/>
        <w:rPr>
          <w:sz w:val="20"/>
          <w:szCs w:val="20"/>
          <w:color w:val="auto"/>
        </w:rPr>
      </w:pPr>
    </w:p>
    <w:p>
      <w:pPr>
        <w:ind w:right="120" w:firstLine="247"/>
        <w:spacing w:after="0" w:line="301" w:lineRule="auto"/>
        <w:rPr>
          <w:sz w:val="20"/>
          <w:szCs w:val="20"/>
          <w:color w:val="auto"/>
        </w:rPr>
      </w:pPr>
      <w:r>
        <w:rPr>
          <w:rFonts w:ascii="Arial" w:cs="Arial" w:eastAsia="Arial" w:hAnsi="Arial"/>
          <w:sz w:val="16"/>
          <w:szCs w:val="16"/>
          <w:color w:val="auto"/>
        </w:rPr>
        <w:t>Gross margin increased by 1.2% in YTD FY20, from YTD FY19, primarily as a result of the 18.0% increase in revenue. Material costs, as a percent of revenue, increased 1.1 percentage points, in contrast to labor costs, which fell 1.7%, as a percent of revenue. Overhead costs increased 16.8%, with depreciation at our two China-based facilities, which began production in FY19, accounting for approximately half of the increase. Other outside services and other equipment related costs were up 27.5% and 15.6%, respectively, contributing significantly to the overall increase in overhead costs.</w:t>
      </w:r>
    </w:p>
    <w:p>
      <w:pPr>
        <w:spacing w:after="0" w:line="184" w:lineRule="exact"/>
        <w:rPr>
          <w:sz w:val="20"/>
          <w:szCs w:val="20"/>
          <w:color w:val="auto"/>
        </w:rPr>
      </w:pPr>
    </w:p>
    <w:p>
      <w:pPr>
        <w:ind w:right="240" w:firstLine="247"/>
        <w:spacing w:after="0" w:line="277" w:lineRule="auto"/>
        <w:rPr>
          <w:sz w:val="20"/>
          <w:szCs w:val="20"/>
          <w:color w:val="auto"/>
        </w:rPr>
      </w:pPr>
      <w:r>
        <w:rPr>
          <w:rFonts w:ascii="Arial" w:cs="Arial" w:eastAsia="Arial" w:hAnsi="Arial"/>
          <w:sz w:val="18"/>
          <w:szCs w:val="18"/>
          <w:color w:val="auto"/>
        </w:rPr>
        <w:t>As we operate in a high fixed cost environment, increases or decreases in our revenues and capacity utilization will generally positively or negatively impact our gross margin.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52" w:lineRule="exact"/>
        <w:rPr>
          <w:sz w:val="20"/>
          <w:szCs w:val="20"/>
          <w:color w:val="auto"/>
        </w:rPr>
      </w:pPr>
    </w:p>
    <w:p>
      <w:pPr>
        <w:ind w:right="100" w:firstLine="247"/>
        <w:spacing w:after="0" w:line="279" w:lineRule="auto"/>
        <w:rPr>
          <w:sz w:val="20"/>
          <w:szCs w:val="20"/>
          <w:color w:val="auto"/>
        </w:rPr>
      </w:pPr>
      <w:r>
        <w:rPr>
          <w:rFonts w:ascii="Arial" w:cs="Arial" w:eastAsia="Arial" w:hAnsi="Arial"/>
          <w:sz w:val="17"/>
          <w:szCs w:val="17"/>
          <w:color w:val="auto"/>
        </w:rPr>
        <w:t>Selling, general and administrative expenses decreased by $1.0 million, or 6.7%, to $13.3 million in Q2 FY20, from $14.2 million in Q1 FY20, primarily due to decreased compensation and related expenses. Selling, general and administrative expenses was unchanged from Q2 FY19, decreasing by 0.8 percentage points, as a percent of revenue. Selling, general and administrative expenses increased by $0.4 million, or 1.5%, to $27.5 million in YTD FY20, from $27.1 million in YTD FY19, primarily due to increased compensation and related expenses.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52" w:lineRule="exact"/>
        <w:rPr>
          <w:sz w:val="20"/>
          <w:szCs w:val="20"/>
          <w:color w:val="auto"/>
        </w:rPr>
      </w:pPr>
    </w:p>
    <w:p>
      <w:pPr>
        <w:ind w:right="840" w:firstLine="247"/>
        <w:spacing w:after="0" w:line="277" w:lineRule="auto"/>
        <w:rPr>
          <w:sz w:val="20"/>
          <w:szCs w:val="20"/>
          <w:color w:val="auto"/>
        </w:rPr>
      </w:pPr>
      <w:r>
        <w:rPr>
          <w:rFonts w:ascii="Arial" w:cs="Arial" w:eastAsia="Arial" w:hAnsi="Arial"/>
          <w:sz w:val="18"/>
          <w:szCs w:val="18"/>
          <w:color w:val="auto"/>
        </w:rPr>
        <w:t>Research and development expenses consist of development efforts generally related to process technologies for high-end IC nodes and FPD applications.</w:t>
      </w:r>
    </w:p>
    <w:p>
      <w:pPr>
        <w:spacing w:after="0" w:line="197" w:lineRule="exact"/>
        <w:rPr>
          <w:sz w:val="20"/>
          <w:szCs w:val="20"/>
          <w:color w:val="auto"/>
        </w:rPr>
      </w:pPr>
    </w:p>
    <w:p>
      <w:pPr>
        <w:ind w:firstLine="247"/>
        <w:spacing w:after="0" w:line="257" w:lineRule="auto"/>
        <w:rPr>
          <w:sz w:val="20"/>
          <w:szCs w:val="20"/>
          <w:color w:val="auto"/>
        </w:rPr>
      </w:pPr>
      <w:r>
        <w:rPr>
          <w:rFonts w:ascii="Arial" w:cs="Arial" w:eastAsia="Arial" w:hAnsi="Arial"/>
          <w:sz w:val="18"/>
          <w:szCs w:val="18"/>
          <w:color w:val="auto"/>
        </w:rPr>
        <w:t>Research and development expense increased $0.4 million, to $4.5 million, or 9.4%, in Q2 FY20, from Q1 FY20, primarily as a result of increased FPD development activities in China and IC development activities in the U.S. Research and development expense increased $ 0.9 million, or 26.0%, in Q2 FY20, from Q2 FY19, due to increased spending in the U.S. and the two China-based facilities. Research and development expense increased $ 0.7 million, or 9.4%, in YTD FY20, from YTD FY19, primarily due to increased development activities at the two China-based facilities, which were partially offset by reduced activities in the U.S.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81"/>
        </w:trPr>
        <w:tc>
          <w:tcPr>
            <w:tcW w:w="4620" w:type="dxa"/>
            <w:vAlign w:val="bottom"/>
          </w:tcPr>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Index</w:t>
              </w:r>
            </w:hyperlink>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77"/>
        </w:trPr>
        <w:tc>
          <w:tcPr>
            <w:tcW w:w="4620" w:type="dxa"/>
            <w:vAlign w:val="bottom"/>
          </w:tcPr>
          <w:p>
            <w:pPr>
              <w:spacing w:after="0"/>
              <w:rPr>
                <w:sz w:val="20"/>
                <w:szCs w:val="20"/>
                <w:color w:val="auto"/>
              </w:rPr>
            </w:pPr>
            <w:r>
              <w:rPr>
                <w:rFonts w:ascii="Arial" w:cs="Arial" w:eastAsia="Arial" w:hAnsi="Arial"/>
                <w:sz w:val="18"/>
                <w:szCs w:val="18"/>
                <w:b w:val="1"/>
                <w:bCs w:val="1"/>
                <w:i w:val="1"/>
                <w:iCs w:val="1"/>
                <w:color w:val="auto"/>
              </w:rPr>
              <w:t>Other Income (Expense)</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4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0" w:type="dxa"/>
            <w:vAlign w:val="bottom"/>
            <w:gridSpan w:val="5"/>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46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Q2 FY20</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Q1 FY20</w:t>
            </w: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Q2 FY19</w:t>
            </w: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w w:val="99"/>
              </w:rPr>
              <w:t>YTD FY20</w:t>
            </w: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YTD FY19</w:t>
            </w:r>
          </w:p>
        </w:tc>
        <w:tc>
          <w:tcPr>
            <w:tcW w:w="100" w:type="dxa"/>
            <w:vAlign w:val="bottom"/>
          </w:tcPr>
          <w:p>
            <w:pPr>
              <w:spacing w:after="0"/>
              <w:rPr>
                <w:sz w:val="20"/>
                <w:szCs w:val="20"/>
                <w:color w:val="auto"/>
              </w:rPr>
            </w:pPr>
          </w:p>
        </w:tc>
      </w:tr>
      <w:tr>
        <w:trPr>
          <w:trHeight w:val="205"/>
        </w:trPr>
        <w:tc>
          <w:tcPr>
            <w:tcW w:w="46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transaction (losses) gains, net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(0.9)</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other income (expense), net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r>
      <w:tr>
        <w:trPr>
          <w:trHeight w:val="223"/>
        </w:trPr>
        <w:tc>
          <w:tcPr>
            <w:tcW w:w="4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0"/>
                <w:szCs w:val="20"/>
                <w:color w:val="auto"/>
              </w:rPr>
            </w:pP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firstLine="243"/>
        <w:spacing w:after="0" w:line="275" w:lineRule="auto"/>
        <w:rPr>
          <w:sz w:val="20"/>
          <w:szCs w:val="20"/>
          <w:color w:val="auto"/>
        </w:rPr>
      </w:pPr>
      <w:r>
        <w:rPr>
          <w:rFonts w:ascii="Arial" w:cs="Arial" w:eastAsia="Arial" w:hAnsi="Arial"/>
          <w:sz w:val="17"/>
          <w:szCs w:val="17"/>
          <w:color w:val="auto"/>
        </w:rPr>
        <w:t>Other income (expense), net decreased $4.7 million from income of $3.7 million in Q1 FY20 to a loss of $1.0 million in Q2 FY20, primarily due to an unfavorable change in foreign currency transaction results of $6.1 million, partially offset by the receipt of interest subsidies in Q2 F20. Other income (expense), net decreased by $4.9 million, from income of $3.9 million in Q2 FY19, to the loss of $1.0 million in Q2 FY20; this loss was primarily due to an unfavorable change in foreign currency transaction results of $5.4 million. Other income (expense), net decreased $2.2 million year-to-date primarily due to a decrease in foreign currency exchange gains of $1.8 million in YTD FY20, compared with the prior year period.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r>
              <w:rPr>
                <w:rFonts w:ascii="Arial" w:cs="Arial" w:eastAsia="Arial" w:hAnsi="Arial"/>
                <w:sz w:val="18"/>
                <w:szCs w:val="18"/>
                <w:b w:val="1"/>
                <w:bCs w:val="1"/>
                <w:i w:val="1"/>
                <w:iCs w:val="1"/>
                <w:color w:val="auto"/>
              </w:rPr>
              <w:t>Income Tax Provision</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66"/>
        </w:trPr>
        <w:tc>
          <w:tcPr>
            <w:tcW w:w="4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gridSpan w:val="4"/>
          </w:tcPr>
          <w:p>
            <w:pPr>
              <w:jc w:val="right"/>
              <w:spacing w:after="0"/>
              <w:rPr>
                <w:sz w:val="20"/>
                <w:szCs w:val="20"/>
                <w:color w:val="auto"/>
              </w:rPr>
            </w:pPr>
            <w:r>
              <w:rPr>
                <w:rFonts w:ascii="Arial" w:cs="Arial" w:eastAsia="Arial" w:hAnsi="Arial"/>
                <w:sz w:val="18"/>
                <w:szCs w:val="18"/>
                <w:b w:val="1"/>
                <w:bCs w:val="1"/>
                <w:color w:val="auto"/>
                <w:w w:val="90"/>
              </w:rPr>
              <w:t>Three Months Ended</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5"/>
          </w:tcPr>
          <w:p>
            <w:pPr>
              <w:ind w:left="42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44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w w:val="99"/>
              </w:rPr>
              <w:t>Q2 FY20</w:t>
            </w:r>
          </w:p>
        </w:tc>
        <w:tc>
          <w:tcPr>
            <w:tcW w:w="2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gridSpan w:val="2"/>
          </w:tcPr>
          <w:p>
            <w:pPr>
              <w:jc w:val="right"/>
              <w:ind w:right="480"/>
              <w:spacing w:after="0"/>
              <w:rPr>
                <w:sz w:val="20"/>
                <w:szCs w:val="20"/>
                <w:color w:val="auto"/>
              </w:rPr>
            </w:pPr>
            <w:r>
              <w:rPr>
                <w:rFonts w:ascii="Arial" w:cs="Arial" w:eastAsia="Arial" w:hAnsi="Arial"/>
                <w:sz w:val="18"/>
                <w:szCs w:val="18"/>
                <w:b w:val="1"/>
                <w:bCs w:val="1"/>
                <w:color w:val="auto"/>
              </w:rPr>
              <w:t>Q1 FY20</w:t>
            </w: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Q2 FY19</w:t>
            </w:r>
          </w:p>
        </w:tc>
        <w:tc>
          <w:tcPr>
            <w:tcW w:w="2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YTD FY20</w:t>
            </w:r>
          </w:p>
        </w:tc>
        <w:tc>
          <w:tcPr>
            <w:tcW w:w="1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YTD FY19</w:t>
            </w:r>
          </w:p>
        </w:tc>
        <w:tc>
          <w:tcPr>
            <w:tcW w:w="160" w:type="dxa"/>
            <w:vAlign w:val="bottom"/>
          </w:tcPr>
          <w:p>
            <w:pPr>
              <w:spacing w:after="0"/>
              <w:rPr>
                <w:sz w:val="20"/>
                <w:szCs w:val="20"/>
                <w:color w:val="auto"/>
              </w:rPr>
            </w:pPr>
          </w:p>
        </w:tc>
      </w:tr>
      <w:tr>
        <w:trPr>
          <w:trHeight w:val="205"/>
        </w:trPr>
        <w:tc>
          <w:tcPr>
            <w:tcW w:w="44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40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w:t>
            </w: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160" w:type="dxa"/>
            <w:vAlign w:val="bottom"/>
          </w:tcPr>
          <w:p>
            <w:pPr>
              <w:spacing w:after="0"/>
              <w:rPr>
                <w:sz w:val="20"/>
                <w:szCs w:val="20"/>
                <w:color w:val="auto"/>
              </w:rPr>
            </w:pPr>
          </w:p>
        </w:tc>
        <w:tc>
          <w:tcPr>
            <w:tcW w:w="1220" w:type="dxa"/>
            <w:vAlign w:val="bottom"/>
            <w:gridSpan w:val="3"/>
          </w:tcPr>
          <w:p>
            <w:pPr>
              <w:jc w:val="right"/>
              <w:ind w:right="30"/>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45.4%</w:t>
            </w:r>
          </w:p>
        </w:tc>
        <w:tc>
          <w:tcPr>
            <w:tcW w:w="14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0"/>
                <w:szCs w:val="20"/>
                <w:color w:val="auto"/>
              </w:rPr>
            </w:pPr>
          </w:p>
        </w:tc>
        <w:tc>
          <w:tcPr>
            <w:tcW w:w="1280" w:type="dxa"/>
            <w:vAlign w:val="bottom"/>
            <w:gridSpan w:val="2"/>
          </w:tcPr>
          <w:p>
            <w:pPr>
              <w:ind w:left="680"/>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20.9%</w:t>
            </w:r>
          </w:p>
        </w:tc>
      </w:tr>
    </w:tbl>
    <w:p>
      <w:pPr>
        <w:spacing w:after="0" w:line="214" w:lineRule="exact"/>
        <w:rPr>
          <w:sz w:val="20"/>
          <w:szCs w:val="20"/>
          <w:color w:val="auto"/>
        </w:rPr>
      </w:pPr>
    </w:p>
    <w:p>
      <w:pPr>
        <w:ind w:right="880" w:firstLine="243"/>
        <w:spacing w:after="0" w:line="277" w:lineRule="auto"/>
        <w:rPr>
          <w:sz w:val="20"/>
          <w:szCs w:val="20"/>
          <w:color w:val="auto"/>
        </w:rPr>
      </w:pPr>
      <w:r>
        <w:rPr>
          <w:rFonts w:ascii="Arial" w:cs="Arial" w:eastAsia="Arial" w:hAnsi="Arial"/>
          <w:sz w:val="18"/>
          <w:szCs w:val="18"/>
          <w:color w:val="auto"/>
        </w:rPr>
        <w:t>The effective income tax rate is sensitive to the jurisdictional mix of earnings, due, in part, to the non-recognition of tax benefits on losses in jurisdictions with valuation allowances.</w:t>
      </w:r>
    </w:p>
    <w:p>
      <w:pPr>
        <w:spacing w:after="0" w:line="197" w:lineRule="exact"/>
        <w:rPr>
          <w:sz w:val="20"/>
          <w:szCs w:val="20"/>
          <w:color w:val="auto"/>
        </w:rPr>
      </w:pPr>
    </w:p>
    <w:p>
      <w:pPr>
        <w:ind w:right="100" w:firstLine="243"/>
        <w:spacing w:after="0" w:line="311" w:lineRule="auto"/>
        <w:rPr>
          <w:sz w:val="20"/>
          <w:szCs w:val="20"/>
          <w:color w:val="auto"/>
        </w:rPr>
      </w:pPr>
      <w:r>
        <w:rPr>
          <w:rFonts w:ascii="Arial" w:cs="Arial" w:eastAsia="Arial" w:hAnsi="Arial"/>
          <w:sz w:val="16"/>
          <w:szCs w:val="16"/>
          <w:color w:val="auto"/>
        </w:rPr>
        <w:t>The effective income tax rate decreased in Q2 FY20, compared with Q1 FY20, primarily due to the establishment of a valuation allowance for a loss carryforward in a non-U.S. jurisdiction in Q1 FY20 and changes in the jurisdictional mix of earnings. The effective income tax rate increased in Q2 FY20, compared with Q2 FY19, due to changes in the jurisdictional mix of earnings and the expiration of a tax holiday in Taiwan in December 2019.</w:t>
      </w:r>
    </w:p>
    <w:p>
      <w:pPr>
        <w:spacing w:after="0" w:line="176" w:lineRule="exact"/>
        <w:rPr>
          <w:sz w:val="20"/>
          <w:szCs w:val="20"/>
          <w:color w:val="auto"/>
        </w:rPr>
      </w:pPr>
    </w:p>
    <w:p>
      <w:pPr>
        <w:ind w:right="20" w:firstLine="243"/>
        <w:spacing w:after="0" w:line="259" w:lineRule="auto"/>
        <w:rPr>
          <w:sz w:val="20"/>
          <w:szCs w:val="20"/>
          <w:color w:val="auto"/>
        </w:rPr>
      </w:pPr>
      <w:r>
        <w:rPr>
          <w:rFonts w:ascii="Arial" w:cs="Arial" w:eastAsia="Arial" w:hAnsi="Arial"/>
          <w:sz w:val="18"/>
          <w:szCs w:val="18"/>
          <w:color w:val="auto"/>
        </w:rPr>
        <w:t>The effective income tax rate increased in YTD FY20, compared with YTD FY19, primarily due to the YTD FY20 establishment of a valuation allowance for a loss carryforward in a non-U.S. jurisdiction, which was partially offset by a non-repetitive, one-time audit settlement benefit in YTD FY19, as well as changes in the jurisdictional mix of earnings, the expiration of a tax holiday in Taiwan, and use of investment credits to reduce tax expense in 2019.</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Attributable to Noncontrolling Interests</w:t>
      </w:r>
    </w:p>
    <w:p>
      <w:pPr>
        <w:spacing w:after="0" w:line="252" w:lineRule="exact"/>
        <w:rPr>
          <w:sz w:val="20"/>
          <w:szCs w:val="20"/>
          <w:color w:val="auto"/>
        </w:rPr>
      </w:pPr>
    </w:p>
    <w:p>
      <w:pPr>
        <w:ind w:right="60" w:firstLine="247"/>
        <w:spacing w:after="0" w:line="255" w:lineRule="auto"/>
        <w:rPr>
          <w:sz w:val="20"/>
          <w:szCs w:val="20"/>
          <w:color w:val="auto"/>
        </w:rPr>
      </w:pPr>
      <w:r>
        <w:rPr>
          <w:rFonts w:ascii="Arial" w:cs="Arial" w:eastAsia="Arial" w:hAnsi="Arial"/>
          <w:sz w:val="18"/>
          <w:szCs w:val="18"/>
          <w:color w:val="auto"/>
        </w:rPr>
        <w:t>Net income attributable to noncontrolling interests was $1.7 million in Q2 FY20, which represented an increase of $1.1 million from Q1 FY20, as a decreased loss at our China-based IC facility exceeded decreased income at our Taiwan-based IC facility. Net income attributable to noncontrolling interests increased $0.3 million in Q2 FY20 from $1.4 million in Q2 FY19, as a result of increased income at our Taiwan-based IC facility, and a decreased loss at our China-based IC facility. On a year-to-date basis, net income attributable to noncontrolling interests decreased $1.6 million; the decrease was the result of an increased loss at the China-based facility, which was partially offset by increased income at the Taiwan-based facility. We hold 50.01% ownership interests in both of these facilities.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100" w:firstLine="247"/>
        <w:spacing w:after="0" w:line="277" w:lineRule="auto"/>
        <w:rPr>
          <w:sz w:val="20"/>
          <w:szCs w:val="20"/>
          <w:color w:val="auto"/>
        </w:rPr>
      </w:pPr>
      <w:r>
        <w:rPr>
          <w:rFonts w:ascii="Arial" w:cs="Arial" w:eastAsia="Arial" w:hAnsi="Arial"/>
          <w:sz w:val="18"/>
          <w:szCs w:val="18"/>
          <w:color w:val="auto"/>
        </w:rPr>
        <w:t>We had cash and cash equivalents of $237.8 million at the end of Q2 FY20, compared with $206.5 million at the end of fiscal 2019. The net increase is primarily attributable to:</w:t>
      </w:r>
    </w:p>
    <w:p>
      <w:pPr>
        <w:spacing w:after="0" w:line="197" w:lineRule="exact"/>
        <w:rPr>
          <w:sz w:val="20"/>
          <w:szCs w:val="20"/>
          <w:color w:val="auto"/>
        </w:rPr>
      </w:pPr>
    </w:p>
    <w:p>
      <w:pPr>
        <w:ind w:left="820" w:hanging="164"/>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$61.3 million provided by operating activities;</w:t>
      </w:r>
    </w:p>
    <w:p>
      <w:pPr>
        <w:spacing w:after="0" w:line="23" w:lineRule="exact"/>
        <w:rPr>
          <w:rFonts w:ascii="Arial" w:cs="Arial" w:eastAsia="Arial" w:hAnsi="Arial"/>
          <w:sz w:val="18"/>
          <w:szCs w:val="18"/>
          <w:color w:val="auto"/>
        </w:rPr>
      </w:pPr>
    </w:p>
    <w:p>
      <w:pPr>
        <w:ind w:left="820" w:hanging="164"/>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$7.6 million contributed to our China-based IC facility by noncontrolling interests;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$5.3 million government incentives received in China;</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$3.4 million received from exercises of employee stock options;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$1.1 million received from borrowings in China;</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$30.1 million paid for property, plant, and equipment;</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$16.9 million used to repurchase our common stock.</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120" w:firstLine="247"/>
        <w:spacing w:after="0" w:line="277" w:lineRule="auto"/>
        <w:rPr>
          <w:sz w:val="20"/>
          <w:szCs w:val="20"/>
          <w:color w:val="auto"/>
        </w:rPr>
      </w:pPr>
      <w:r>
        <w:rPr>
          <w:rFonts w:ascii="Arial" w:cs="Arial" w:eastAsia="Arial" w:hAnsi="Arial"/>
          <w:sz w:val="18"/>
          <w:szCs w:val="18"/>
          <w:color w:val="auto"/>
        </w:rPr>
        <w:t>Our working capital at the end of Q2 FY20 was $318.9 million, compared with $275.6 million at the end of fiscal 2019. The $43.3 million net increase is primarily attributable to the below increases (decreases) in working capital:</w:t>
      </w:r>
    </w:p>
    <w:p>
      <w:pPr>
        <w:spacing w:after="0" w:line="197" w:lineRule="exact"/>
        <w:rPr>
          <w:sz w:val="20"/>
          <w:szCs w:val="20"/>
          <w:color w:val="auto"/>
        </w:rPr>
      </w:pPr>
    </w:p>
    <w:p>
      <w:pPr>
        <w:ind w:left="820" w:hanging="16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cash and cash equivalents of $31.3 million;</w:t>
      </w:r>
    </w:p>
    <w:p>
      <w:pPr>
        <w:spacing w:after="0" w:line="23" w:lineRule="exact"/>
        <w:rPr>
          <w:rFonts w:ascii="Arial" w:cs="Arial" w:eastAsia="Arial" w:hAnsi="Arial"/>
          <w:sz w:val="18"/>
          <w:szCs w:val="18"/>
          <w:color w:val="auto"/>
        </w:rPr>
      </w:pPr>
    </w:p>
    <w:p>
      <w:pPr>
        <w:ind w:left="820" w:hanging="16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inventories of $8.8 million, acquired to protect against potential COVID 19 related supply chain disruptions;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recoverable value added taxes of $6.2 million, related to our China-based facilities;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Decreased discretionary compensation accruals of $5.3 million;</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Decreased accruals for capital expenditures of $4.6 million;</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current portion of long-term debt of $(6.8) million;</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value added taxes payable of $(6.3) million.</w:t>
      </w:r>
    </w:p>
    <w:p>
      <w:pPr>
        <w:spacing w:after="0" w:line="238" w:lineRule="exact"/>
        <w:rPr>
          <w:sz w:val="20"/>
          <w:szCs w:val="20"/>
          <w:color w:val="auto"/>
        </w:rPr>
      </w:pPr>
    </w:p>
    <w:p>
      <w:pPr>
        <w:ind w:firstLine="247"/>
        <w:spacing w:after="0" w:line="277" w:lineRule="auto"/>
        <w:rPr>
          <w:sz w:val="20"/>
          <w:szCs w:val="20"/>
          <w:color w:val="auto"/>
        </w:rPr>
      </w:pPr>
      <w:r>
        <w:rPr>
          <w:rFonts w:ascii="Arial" w:cs="Arial" w:eastAsia="Arial" w:hAnsi="Arial"/>
          <w:sz w:val="18"/>
          <w:szCs w:val="18"/>
          <w:color w:val="auto"/>
        </w:rPr>
        <w:t>The net cash provided by operating activities of $61.3 million in YTD FY20 was a $63.6 million increase from $2.3 million used in YTD FY19. The net increase was primarily due to:</w:t>
      </w:r>
    </w:p>
    <w:p>
      <w:pPr>
        <w:spacing w:after="0" w:line="197" w:lineRule="exact"/>
        <w:rPr>
          <w:sz w:val="20"/>
          <w:szCs w:val="20"/>
          <w:color w:val="auto"/>
        </w:rPr>
      </w:pPr>
    </w:p>
    <w:p>
      <w:pPr>
        <w:ind w:left="820" w:hanging="164"/>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net income of $1.3 million in YTD FY20;</w:t>
      </w:r>
    </w:p>
    <w:p>
      <w:pPr>
        <w:spacing w:after="0" w:line="23" w:lineRule="exact"/>
        <w:rPr>
          <w:rFonts w:ascii="Arial" w:cs="Arial" w:eastAsia="Arial" w:hAnsi="Arial"/>
          <w:sz w:val="18"/>
          <w:szCs w:val="18"/>
          <w:color w:val="auto"/>
        </w:rPr>
      </w:pPr>
    </w:p>
    <w:p>
      <w:pPr>
        <w:ind w:left="820" w:right="180" w:hanging="164"/>
        <w:spacing w:after="0" w:line="250"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non-cash add backs to net income, including depreciation, share-based compensation and deferred income taxes of $10.2 million in YTD FY20;</w:t>
      </w:r>
    </w:p>
    <w:p>
      <w:pPr>
        <w:ind w:left="820" w:right="360" w:hanging="164"/>
        <w:spacing w:after="0" w:line="250"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comparative decrease in value added tax prepayments related to our China facilities of $25.1 million inQ1 FY20. These prepayments are recoverable through future revenue transactions of the facilities;</w:t>
      </w:r>
    </w:p>
    <w:p>
      <w:pPr>
        <w:ind w:left="820" w:hanging="164"/>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comparative decrease in the increase of prepaid income taxes of $2.8 million in YTD FY20;</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operating lease liabilities of $1.8 million, which resulted from our adoption of ASC 842 in Q1 FY20.</w:t>
      </w:r>
    </w:p>
    <w:p>
      <w:pPr>
        <w:spacing w:after="0" w:line="238" w:lineRule="exact"/>
        <w:rPr>
          <w:sz w:val="20"/>
          <w:szCs w:val="20"/>
          <w:color w:val="auto"/>
        </w:rPr>
      </w:pPr>
    </w:p>
    <w:p>
      <w:pPr>
        <w:ind w:right="40" w:firstLine="247"/>
        <w:spacing w:after="0" w:line="263" w:lineRule="auto"/>
        <w:rPr>
          <w:sz w:val="20"/>
          <w:szCs w:val="20"/>
          <w:color w:val="auto"/>
        </w:rPr>
      </w:pPr>
      <w:r>
        <w:rPr>
          <w:rFonts w:ascii="Arial" w:cs="Arial" w:eastAsia="Arial" w:hAnsi="Arial"/>
          <w:sz w:val="18"/>
          <w:szCs w:val="18"/>
          <w:color w:val="auto"/>
        </w:rPr>
        <w:t>Net cash used in investing activities was $25.0 million in YTD FY20, a decrease of $109.8 million from the $134.8 million used in YTD FY19. The net decrease was primarily attributable to decreased capital expenditures of $110.3 million; this was the result of a reduction in payments to equip our China-based facilities, which were in the start-up phase in the first half of fiscal year 2019.</w:t>
      </w:r>
    </w:p>
    <w:p>
      <w:pPr>
        <w:spacing w:after="0" w:line="211" w:lineRule="exact"/>
        <w:rPr>
          <w:sz w:val="20"/>
          <w:szCs w:val="20"/>
          <w:color w:val="auto"/>
        </w:rPr>
      </w:pPr>
    </w:p>
    <w:p>
      <w:pPr>
        <w:ind w:right="200" w:firstLine="247"/>
        <w:spacing w:after="0" w:line="277" w:lineRule="auto"/>
        <w:rPr>
          <w:sz w:val="20"/>
          <w:szCs w:val="20"/>
          <w:color w:val="auto"/>
        </w:rPr>
      </w:pPr>
      <w:r>
        <w:rPr>
          <w:rFonts w:ascii="Arial" w:cs="Arial" w:eastAsia="Arial" w:hAnsi="Arial"/>
          <w:sz w:val="18"/>
          <w:szCs w:val="18"/>
          <w:color w:val="auto"/>
        </w:rPr>
        <w:t>Net cash flows used in financing activities decreased to $5.4 million in YTD FY20 from $28.0 million used in YTD FY19. Significant components of the $22.6 million net decrease were:</w:t>
      </w:r>
    </w:p>
    <w:p>
      <w:pPr>
        <w:spacing w:after="0" w:line="197" w:lineRule="exact"/>
        <w:rPr>
          <w:sz w:val="20"/>
          <w:szCs w:val="20"/>
          <w:color w:val="auto"/>
        </w:rPr>
      </w:pPr>
    </w:p>
    <w:p>
      <w:pPr>
        <w:ind w:left="820" w:hanging="164"/>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$57.5 million used to repay (upon their maturity) our convertible senior notes in YTD FY19;</w:t>
      </w:r>
    </w:p>
    <w:p>
      <w:pPr>
        <w:spacing w:after="0" w:line="23" w:lineRule="exact"/>
        <w:rPr>
          <w:rFonts w:ascii="Arial" w:cs="Arial" w:eastAsia="Arial" w:hAnsi="Arial"/>
          <w:sz w:val="18"/>
          <w:szCs w:val="18"/>
          <w:color w:val="auto"/>
        </w:rPr>
      </w:pPr>
    </w:p>
    <w:p>
      <w:pPr>
        <w:ind w:left="820" w:hanging="164"/>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$26.1 million used to pay dividends to DNP (related to their 49.99% interest in our IC facility in Taiwan) in YTD FY19;</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$(38.5) million less received from borrowings in China in YTD FY20 than in YTD FY19;</w:t>
      </w:r>
    </w:p>
    <w:p>
      <w:pPr>
        <w:spacing w:after="0" w:line="9" w:lineRule="exact"/>
        <w:rPr>
          <w:rFonts w:ascii="Arial" w:cs="Arial" w:eastAsia="Arial" w:hAnsi="Arial"/>
          <w:sz w:val="18"/>
          <w:szCs w:val="18"/>
          <w:color w:val="auto"/>
        </w:rPr>
      </w:pPr>
    </w:p>
    <w:p>
      <w:pPr>
        <w:ind w:left="820" w:right="140" w:hanging="164"/>
        <w:spacing w:after="0" w:line="260"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$(21.8) million less contributed by DNP to maintain their proportionate ownership interest in our IC joint venture in China in YTD FY20 than in YTD FY19.</w:t>
      </w:r>
    </w:p>
    <w:p>
      <w:pPr>
        <w:spacing w:after="0" w:line="212" w:lineRule="exact"/>
        <w:rPr>
          <w:sz w:val="20"/>
          <w:szCs w:val="20"/>
          <w:color w:val="auto"/>
        </w:rPr>
      </w:pPr>
    </w:p>
    <w:p>
      <w:pPr>
        <w:ind w:firstLine="247"/>
        <w:spacing w:after="0" w:line="301" w:lineRule="auto"/>
        <w:rPr>
          <w:sz w:val="20"/>
          <w:szCs w:val="20"/>
          <w:color w:val="auto"/>
        </w:rPr>
      </w:pPr>
      <w:r>
        <w:rPr>
          <w:rFonts w:ascii="Arial" w:cs="Arial" w:eastAsia="Arial" w:hAnsi="Arial"/>
          <w:sz w:val="16"/>
          <w:szCs w:val="16"/>
          <w:color w:val="auto"/>
        </w:rPr>
        <w:t>As of May 3, 2020 and October 31, 2019, our total cash and cash equivalents included $192.7 million and $147.2 million, respectively, held by our foreign subsidiaries. The majority of earnings of our foreign subsidiaries are considered to be indefinitely reinvested. Repatriation of these funds to the U.S. may subject them to U.S. state income taxes and local country withholding taxes in certain jurisdictions. Furthermore, our foreign subsidiaries continue to grow through the reinvestment of earnings in additional manufacturing capacity and capability, particularly in the high-end IC and FPD areas.</w:t>
      </w:r>
    </w:p>
    <w:p>
      <w:pPr>
        <w:spacing w:after="0" w:line="184" w:lineRule="exact"/>
        <w:rPr>
          <w:sz w:val="20"/>
          <w:szCs w:val="20"/>
          <w:color w:val="auto"/>
        </w:rPr>
      </w:pPr>
    </w:p>
    <w:p>
      <w:pPr>
        <w:ind w:firstLine="247"/>
        <w:spacing w:after="0" w:line="270" w:lineRule="auto"/>
        <w:rPr>
          <w:sz w:val="20"/>
          <w:szCs w:val="20"/>
          <w:color w:val="auto"/>
        </w:rPr>
      </w:pPr>
      <w:r>
        <w:rPr>
          <w:rFonts w:ascii="Arial" w:cs="Arial" w:eastAsia="Arial" w:hAnsi="Arial"/>
          <w:sz w:val="17"/>
          <w:szCs w:val="17"/>
          <w:color w:val="auto"/>
        </w:rPr>
        <w:t>Our liquidity, as we operate in a high fixed cost environment, is highly dependent on our revenue, cash conversion cycle, and the timing of our capital expenditures (which can vary significantly from period to period). We believe that our cash on hand, cash generated from operations, and amounts available to borrow will be sufficient to meet our cash requirements for the next twelve months. However, depending on conditions in the semiconductor and FPD markets, our cash flows from operations and current holdings of cash may not be adequate to meet our current and long-term needs for capital expenditures, operations and debt repayments. Historically, in certain years, we have used external financing to fund these needs. Due to conditions in the credit markets and covenant restrictions on our existing debt, some financing instruments we have used in the past may not be available to us when required. Consequently, we cannot assure that additional sources of financing would be available to us on commercially favorable terms, should our long-term cash requirements exceed our existing cash and cash available under our credit agreements (which are discussed in Note 5 to the condensed consolidated financial statements).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20" w:firstLine="247"/>
        <w:spacing w:after="0" w:line="257" w:lineRule="auto"/>
        <w:rPr>
          <w:sz w:val="20"/>
          <w:szCs w:val="20"/>
          <w:color w:val="auto"/>
        </w:rPr>
      </w:pPr>
      <w:r>
        <w:rPr>
          <w:rFonts w:ascii="Arial" w:cs="Arial" w:eastAsia="Arial" w:hAnsi="Arial"/>
          <w:sz w:val="18"/>
          <w:szCs w:val="18"/>
          <w:color w:val="auto"/>
        </w:rPr>
        <w:t>As of May 3, 2020, we had outstanding capital commitments of approximately $138 million. We intend to finance our capital expenditures with our working capital, contributions from our joint venture partners, borrowings under the MLA we entered into in fiscal 2019 (as discussed in Note 5 to the condensed consolidated financial statements), cash generated from operations and, if necessary, additional borrowings. Our remaining funding commitment for our IC facility in China, which commenced production in the third quarter of fiscal 2019, was approximately $8 million as of May 3, 2020; we fulfilled this commitment in May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right="40" w:firstLine="247"/>
        <w:spacing w:after="0" w:line="269" w:lineRule="auto"/>
        <w:rPr>
          <w:sz w:val="20"/>
          <w:szCs w:val="20"/>
          <w:color w:val="auto"/>
        </w:rPr>
      </w:pPr>
      <w:r>
        <w:rPr>
          <w:rFonts w:ascii="Arial" w:cs="Arial" w:eastAsia="Arial" w:hAnsi="Arial"/>
          <w:sz w:val="17"/>
          <w:szCs w:val="17"/>
          <w:color w:val="auto"/>
        </w:rPr>
        <w:t>As noted above, in January 2018, Photronics, through its wholly owned Singapore subsidiary, entered into the PDMCX joint venture with DNP, through its wholly owned subsidiary “DNP Asia Pacific PTE, Ltd.” under which DNP obtained a 49.99% interest in our IC business in Xiamen, China. The joint venture was established to develop and manufacture photomasks for leading edge and advanced generation semiconductors. Under the joint venture’s operating agreement, DNP is afforded, under certain circumstances, the right to put its interest in PDMCX to Photronics. These circumstances include disputes regarding the strategic direction of PDMCX that may arise after the initial two-year term of the Agreement that cannot be resolved between the two parties. As of the date of issuance of this report, DNP had not indicated its intention to exercise this right. In addition, both Photronics and DNP have the option to purchase, or put, their interest from, or to, the other party, should their ownership interest fall below 20% for a period of more than six consecutive months. Under all such circumstances, the sales of ownership interests would be at the exiting party’s ownership percentage of the joint venture’s net book value, with closing to take place within three business days of obtaining required approvals and clearance. Should DNP exercise an option to put their, or purchase our, interest in PDMCX we may, depending on the relationship of the fair and book value of PDMCX’s net assets, incur a loss. As of May 3, 2020, Photronics and DNP each had net investments in PDMCX of $43.0 million.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56" w:lineRule="exact"/>
        <w:rPr>
          <w:sz w:val="20"/>
          <w:szCs w:val="20"/>
          <w:color w:val="auto"/>
        </w:rPr>
      </w:pPr>
    </w:p>
    <w:p>
      <w:pPr>
        <w:ind w:firstLine="247"/>
        <w:spacing w:after="0" w:line="255" w:lineRule="auto"/>
        <w:rPr>
          <w:sz w:val="20"/>
          <w:szCs w:val="20"/>
          <w:color w:val="auto"/>
        </w:rPr>
      </w:pPr>
      <w:r>
        <w:rPr>
          <w:rFonts w:ascii="Arial" w:cs="Arial" w:eastAsia="Arial" w:hAnsi="Arial"/>
          <w:sz w:val="18"/>
          <w:szCs w:val="18"/>
          <w:color w:val="auto"/>
        </w:rPr>
        <w:t>While the near-term effects of the global coronavirus pandemic on our business cannot be predicted, we continue to believe that a majority of the growth in the IC and FPD markets will continue to come from the Asia region, predominantly in China. We expect to meet these demands both through the utilization of our new facilities in China, and by importing photomasks into China from our other facilities. We make continual assessments of our global manufacturing strategy and monitor our revenue and related cash flows from operations. These ongoing assessments could result in future facility closures, asset redeployments, impairments of intangible or long-lived assets, workforce reductions, or the addition of manufacturing facilities, all of which would be based on market conditions and customer requirements.</w:t>
      </w:r>
    </w:p>
    <w:p>
      <w:pPr>
        <w:spacing w:after="0" w:line="219" w:lineRule="exact"/>
        <w:rPr>
          <w:sz w:val="20"/>
          <w:szCs w:val="20"/>
          <w:color w:val="auto"/>
        </w:rPr>
      </w:pPr>
    </w:p>
    <w:p>
      <w:pPr>
        <w:ind w:right="140" w:firstLine="247"/>
        <w:spacing w:after="0" w:line="259" w:lineRule="auto"/>
        <w:rPr>
          <w:sz w:val="20"/>
          <w:szCs w:val="20"/>
          <w:color w:val="auto"/>
        </w:rPr>
      </w:pPr>
      <w:r>
        <w:rPr>
          <w:rFonts w:ascii="Arial" w:cs="Arial" w:eastAsia="Arial" w:hAnsi="Arial"/>
          <w:sz w:val="18"/>
          <w:szCs w:val="18"/>
          <w:color w:val="auto"/>
        </w:rPr>
        <w:t>Our future results of operations and the other forward-looking statements contained in this filing involve a number of risks and uncertainties, some of which are discussed in Part1, Item 1A in our Annual Report on Form 10-K for the year ended October 31, 2019 and in Part 2, Item 1A in our Quarterly Report on Form 10-Q for the quarter ended February 2, 2020; a number of other unforeseen factors could cause actual results to differ materially from our expectations.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Recent Accounting Pronouncements</w:t>
      </w:r>
    </w:p>
    <w:p>
      <w:pPr>
        <w:spacing w:after="0" w:line="256" w:lineRule="exact"/>
        <w:rPr>
          <w:sz w:val="20"/>
          <w:szCs w:val="20"/>
          <w:color w:val="auto"/>
        </w:rPr>
      </w:pPr>
    </w:p>
    <w:p>
      <w:pPr>
        <w:ind w:right="260" w:firstLine="247"/>
        <w:spacing w:after="0" w:line="277" w:lineRule="auto"/>
        <w:rPr>
          <w:sz w:val="20"/>
          <w:szCs w:val="20"/>
          <w:color w:val="auto"/>
        </w:rPr>
      </w:pPr>
      <w:r>
        <w:rPr>
          <w:rFonts w:ascii="Arial" w:cs="Arial" w:eastAsia="Arial" w:hAnsi="Arial"/>
          <w:sz w:val="18"/>
          <w:szCs w:val="18"/>
          <w:color w:val="auto"/>
        </w:rPr>
        <w:t>See “Item 1. Condensed Consolidated Financial Statements– Notes to Condensed Consolidated Financial Statements – Note 15 – Recent Accounting Pronouncements” for recent accounting pronouncements that may affect the Company’s financial reporting.</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56" w:lineRule="exact"/>
        <w:rPr>
          <w:sz w:val="20"/>
          <w:szCs w:val="20"/>
          <w:color w:val="auto"/>
        </w:rPr>
      </w:pPr>
    </w:p>
    <w:p>
      <w:pPr>
        <w:ind w:firstLine="247"/>
        <w:spacing w:after="0" w:line="257" w:lineRule="auto"/>
        <w:rPr>
          <w:sz w:val="20"/>
          <w:szCs w:val="20"/>
          <w:color w:val="auto"/>
        </w:rPr>
      </w:pPr>
      <w:r>
        <w:rPr>
          <w:rFonts w:ascii="Arial" w:cs="Arial" w:eastAsia="Arial" w:hAnsi="Arial"/>
          <w:sz w:val="18"/>
          <w:szCs w:val="18"/>
          <w:color w:val="auto"/>
        </w:rPr>
        <w:t>We conduct business in several major international currencies throughout our worldwide operations, and our financial performance may be affected by fluctuations in the exchange rates of these currencies. Changes in exchange rates can positively or negatively affect our reported revenue, operating income, assets, liabilities, and equity. The functional currencies of our Asian subsidiaries are the South Korean won, the New Taiwan dollar, the Chinese renminbi, and the Singapore dollar. The functional currencies of our European subsidiaries are the British pound and the euro. In addition, we engage in transactions in, and have exposures to, the Japanese yen.</w:t>
      </w:r>
    </w:p>
    <w:p>
      <w:pPr>
        <w:spacing w:after="0" w:line="215" w:lineRule="exact"/>
        <w:rPr>
          <w:sz w:val="20"/>
          <w:szCs w:val="20"/>
          <w:color w:val="auto"/>
        </w:rPr>
      </w:pPr>
    </w:p>
    <w:p>
      <w:pPr>
        <w:ind w:firstLine="247"/>
        <w:spacing w:after="0" w:line="269" w:lineRule="auto"/>
        <w:rPr>
          <w:sz w:val="20"/>
          <w:szCs w:val="20"/>
          <w:color w:val="auto"/>
        </w:rPr>
      </w:pPr>
      <w:r>
        <w:rPr>
          <w:rFonts w:ascii="Arial" w:cs="Arial" w:eastAsia="Arial" w:hAnsi="Arial"/>
          <w:sz w:val="17"/>
          <w:szCs w:val="17"/>
          <w:color w:val="auto"/>
        </w:rPr>
        <w:t>We attempt to minimize our risk of foreign currency transaction losses by producing products in the same country in which the products are sold (thereby generating revenues and incurring expenses in the same currency), and by managing our working capital. However, in some instances, we sell products in a currency other than the functional currency of the country where it was produced, or purchase products in a currency that differs from the functional currency of the purchasing entity. In addition, to the extent practicable, we attempt to reduce our exposure to foreign currency exchange fluctuations by converting cash and cash equivalents into the functional currency of the subsidiary which holds the cash. We may also enter into derivative contracts to mitigate our exposure to foreign currency fluctuations when we have a significant purchase obligation, or a significant receivable denominated in a currency that differs from the functional currency of the transacting subsidiary. We do not enter into derivatives for speculative purposes. There can be no assurance that this approach will protect us from the need to recognize significant foreign currency transaction gains and losses, especially in the event of a significant adverse movement in the value of any foreign currency in which we conduct business against any of our functional currencies, including the U.S. dollar.</w:t>
      </w:r>
    </w:p>
    <w:p>
      <w:pPr>
        <w:sectPr>
          <w:pgSz w:w="11900" w:h="16838" w:orient="portrait"/>
          <w:cols w:equalWidth="0" w:num="1">
            <w:col w:w="11240"/>
          </w:cols>
          <w:pgMar w:left="320" w:top="121" w:right="339"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80" w:firstLine="247"/>
        <w:spacing w:after="0" w:line="291" w:lineRule="auto"/>
        <w:rPr>
          <w:sz w:val="20"/>
          <w:szCs w:val="20"/>
          <w:color w:val="auto"/>
        </w:rPr>
      </w:pPr>
      <w:r>
        <w:rPr>
          <w:rFonts w:ascii="Arial" w:cs="Arial" w:eastAsia="Arial" w:hAnsi="Arial"/>
          <w:sz w:val="16"/>
          <w:szCs w:val="16"/>
          <w:color w:val="auto"/>
        </w:rPr>
        <w:t>Our primary net foreign currency exposures as of May 3, 2020, included the South Korean won, the Japanese yen, the New Taiwan dollar, the Chinese renminbi, the Singapore dollar, the British pound sterling, and the euro. As of that date, a 10% adverse movement in the value of currencies different than the functional currencies of our subsidiaries would have resulted in a net unrealized pre-tax loss of $33.1 million, which represents a decrease of $0.8 million from our exposure at February 2, 2020, and is equivalent to our exposure at October 31, 2019. Our most significant exposures at May 3, 2020, related to the Chinese renminbi and the South Korean won to the U.S. dollar, which were, respectively, $13.3 million and $11.8 million at that date. We do not believe that a 10% change in the exchange rates of non-US dollar currencies, other than the aforementioned currencies and the Japanese Yen, would have had a material effect on our May 3, 2020, condensed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ind w:right="400" w:firstLine="247"/>
        <w:spacing w:after="0" w:line="277" w:lineRule="auto"/>
        <w:rPr>
          <w:sz w:val="20"/>
          <w:szCs w:val="20"/>
          <w:color w:val="auto"/>
        </w:rPr>
      </w:pPr>
      <w:r>
        <w:rPr>
          <w:rFonts w:ascii="Arial" w:cs="Arial" w:eastAsia="Arial" w:hAnsi="Arial"/>
          <w:sz w:val="18"/>
          <w:szCs w:val="18"/>
          <w:color w:val="auto"/>
        </w:rPr>
        <w:t>A 10% adverse movement in the interest rates on our variable rate borrowings would not have had a material effect on our May 3, 2020 condensed consolidated financial statements.</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ind w:firstLine="247"/>
        <w:spacing w:after="0" w:line="254" w:lineRule="auto"/>
        <w:rPr>
          <w:sz w:val="20"/>
          <w:szCs w:val="20"/>
          <w:color w:val="auto"/>
        </w:rPr>
      </w:pPr>
      <w:r>
        <w:rPr>
          <w:rFonts w:ascii="Arial" w:cs="Arial" w:eastAsia="Arial" w:hAnsi="Arial"/>
          <w:sz w:val="18"/>
          <w:szCs w:val="18"/>
          <w:color w:val="auto"/>
        </w:rPr>
        <w:t>We have established and currently maintain disclosure controls and procedures, as such term is defined in Rules 13a-15(e) and 15d-15(e) of the Securities Exchange Act of 1934, as amended (the "Exchange Act"), designed to provide reasonable assurance that information required to be disclosed in reports filed under the Exchange Act, is recorded, processed, summarized and reported within the time periods specified in the Securities and Exchange Commission's rules and forms, and that such information is accumulated and communicated to management, including our chief executive officer and chief financial officer, as appropriate, to allow for timely decisions regarding required disclosure. In designing and evaluating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219" w:lineRule="exact"/>
        <w:rPr>
          <w:sz w:val="20"/>
          <w:szCs w:val="20"/>
          <w:color w:val="auto"/>
        </w:rPr>
      </w:pPr>
    </w:p>
    <w:p>
      <w:pPr>
        <w:ind w:right="60" w:firstLine="247"/>
        <w:spacing w:after="0" w:line="259" w:lineRule="auto"/>
        <w:rPr>
          <w:sz w:val="20"/>
          <w:szCs w:val="20"/>
          <w:color w:val="auto"/>
        </w:rPr>
      </w:pPr>
      <w:r>
        <w:rPr>
          <w:rFonts w:ascii="Arial" w:cs="Arial" w:eastAsia="Arial" w:hAnsi="Arial"/>
          <w:sz w:val="18"/>
          <w:szCs w:val="18"/>
          <w:color w:val="auto"/>
        </w:rPr>
        <w:t>Our management, under the supervision and with the participation of our chief executive officer and chief financial officer, evaluated the effectiveness of the design and operation of our disclosure controls and procedures as of the end of the period covered by this report. Based upon that evaluation, our chief executive officer and chief financial officer concluded that our disclosure controls and procedures were effective at a reasonable assurance level as of the end of the period covered by this report.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ind w:right="80" w:firstLine="247"/>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second fiscal quarter that has materially affected, or is reasonably likely to materially affect, our internal control over financial reporting.</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8"/>
          <w:szCs w:val="18"/>
          <w:b w:val="1"/>
          <w:bCs w:val="1"/>
          <w:color w:val="auto"/>
        </w:rPr>
        <w:t>OTHER INFORMATION</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MATTERS</w:t>
      </w:r>
    </w:p>
    <w:p>
      <w:pPr>
        <w:spacing w:after="0" w:line="256" w:lineRule="exact"/>
        <w:rPr>
          <w:sz w:val="20"/>
          <w:szCs w:val="20"/>
          <w:color w:val="auto"/>
        </w:rPr>
      </w:pPr>
    </w:p>
    <w:p>
      <w:pPr>
        <w:ind w:firstLine="247"/>
        <w:spacing w:after="0" w:line="268" w:lineRule="auto"/>
        <w:rPr>
          <w:sz w:val="20"/>
          <w:szCs w:val="20"/>
          <w:color w:val="auto"/>
        </w:rPr>
      </w:pPr>
      <w:r>
        <w:rPr>
          <w:rFonts w:ascii="Arial" w:cs="Arial" w:eastAsia="Arial" w:hAnsi="Arial"/>
          <w:sz w:val="17"/>
          <w:szCs w:val="17"/>
          <w:color w:val="auto"/>
        </w:rPr>
        <w:t>The Company’s wholly owned subsidiary in South Korea has been involved in litigation regarding a 2016 informational tax filing regarding its non-South Korean bank accounts that was not timely made under a then recently issued presidential decree. A fine (based solely on the amount in such accounts) in the amount of $2.2 million was assessed against our subsidiary. Our subsidiary appealed the fine on the grounds that it was not required to make the tax filing, and such appeal was pursued up to the Supreme Court in South Korea. Under South Korean law, the tax authorities were entitled to pursue the matter in both civil and criminal courts simultaneously, with the proviso that any criminal fine imposed would act to dismiss any civil fine. The prosecutor recommended a fine of $0.03 million. The civil matter has subsequently been dismissed. Photronics was notified on March 12, 2020, that the Supreme Court rendered a decision against our subsidiary on the issue of whether our subsidiary was required to make the tax filing and remanded the case to the appellate court for determination of the fine. We are awaiting a trial date from the appellate court. Prior to the Supreme Court decision, the possibility of a fine had been deemed remote, as our initial assessment based on advice of local counsel and the subsequent judgments in the lower courts were all in our favor. Our estimate of the possible range of loss is $0.03 million to $2.2 million with the most likely amount being $0.03 million (based on the prosecutor’s recommendation). Accordingly, during the three-month period ended May 3, 2020, we accrued a contingent loss of $0.03 million, with a charge to Selling, general and administrative expense in the consolidated statements of income. It is reasonably possible that the estimated loss will change in the near term. Our exposure to loss in excess of amounts accrued is $2.17 million. The imposition of the fine will not have a material impact on our financial position or financial performance.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260" w:firstLine="247"/>
        <w:spacing w:after="0" w:line="277" w:lineRule="auto"/>
        <w:rPr>
          <w:sz w:val="20"/>
          <w:szCs w:val="20"/>
          <w:color w:val="auto"/>
        </w:rPr>
      </w:pPr>
      <w:r>
        <w:rPr>
          <w:rFonts w:ascii="Arial" w:cs="Arial" w:eastAsia="Arial" w:hAnsi="Arial"/>
          <w:sz w:val="18"/>
          <w:szCs w:val="18"/>
          <w:color w:val="auto"/>
        </w:rPr>
        <w:t>We are subject to various other claims that arise in the ordinary course of business. We believe that such claims, individually or in the aggregate, will not have a material effect on the consolidated financial statements.</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ind w:right="20" w:firstLine="247"/>
        <w:spacing w:after="0" w:line="342" w:lineRule="auto"/>
        <w:rPr>
          <w:sz w:val="20"/>
          <w:szCs w:val="20"/>
          <w:color w:val="auto"/>
        </w:rPr>
      </w:pPr>
      <w:r>
        <w:rPr>
          <w:rFonts w:ascii="Arial" w:cs="Arial" w:eastAsia="Arial" w:hAnsi="Arial"/>
          <w:sz w:val="16"/>
          <w:szCs w:val="16"/>
          <w:color w:val="auto"/>
        </w:rPr>
        <w:t>Other than the below, there have been no other material changes to risks relating to our business as disclosed in Part 1, Item 1A of our Annual Report on Form 10-K for the year ended October 31, 2019 and Part 2, Item 1A of our Quarterly Report on Form 10-Q for the quarter ended February 2, 2020.</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expansion into China entails substantial risks.</w:t>
      </w:r>
    </w:p>
    <w:p>
      <w:pPr>
        <w:spacing w:after="0" w:line="256" w:lineRule="exact"/>
        <w:rPr>
          <w:sz w:val="20"/>
          <w:szCs w:val="20"/>
          <w:color w:val="auto"/>
        </w:rPr>
      </w:pPr>
    </w:p>
    <w:p>
      <w:pPr>
        <w:ind w:firstLine="247"/>
        <w:spacing w:after="0" w:line="270" w:lineRule="auto"/>
        <w:rPr>
          <w:sz w:val="20"/>
          <w:szCs w:val="20"/>
          <w:color w:val="auto"/>
        </w:rPr>
      </w:pPr>
      <w:r>
        <w:rPr>
          <w:rFonts w:ascii="Arial" w:cs="Arial" w:eastAsia="Arial" w:hAnsi="Arial"/>
          <w:sz w:val="17"/>
          <w:szCs w:val="17"/>
          <w:color w:val="auto"/>
        </w:rPr>
        <w:t>In the past year, we commenced operations at our two newly constructed manufacturing facilities in China. These investments are subject to substantial risks which may include, but are not limited to: the inability to protect our intellectual property rights under Chinese law, which may not offer as high a level of protection as U.S. law; unexpectedly long negotiation periods with Chinese suppliers and customers; quality issues related to materials sourced from local vendors; unexpectedly high labor costs due to a tight labor supply; and difficulty in repatriating funds and selling or transferring assets. Our investments in China also expose us to a significant additional foreign currency exchange risk, which we had not been subject to in recent years. In addition, while we do not see any imminent threat, as tensions have escalated between the U.S. and China, we believe there is an enhanced risk that our substantial investments in China may be subject to unforeseen restrictions, which may include expropriation of the investments by the Chinese government. These and other risks may result in our not realizing a return on, or losing some, or all, of our planned investments in China, which would have a material adverse effect on our financial condition and financial performance.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could be adversely impacted by global or regional catastrophic events.</w:t>
      </w:r>
    </w:p>
    <w:p>
      <w:pPr>
        <w:spacing w:after="0" w:line="256" w:lineRule="exact"/>
        <w:rPr>
          <w:sz w:val="20"/>
          <w:szCs w:val="20"/>
          <w:color w:val="auto"/>
        </w:rPr>
      </w:pPr>
    </w:p>
    <w:p>
      <w:pPr>
        <w:ind w:right="40" w:firstLine="247"/>
        <w:spacing w:after="0" w:line="273" w:lineRule="auto"/>
        <w:rPr>
          <w:sz w:val="20"/>
          <w:szCs w:val="20"/>
          <w:color w:val="auto"/>
        </w:rPr>
      </w:pPr>
      <w:r>
        <w:rPr>
          <w:rFonts w:ascii="Arial" w:cs="Arial" w:eastAsia="Arial" w:hAnsi="Arial"/>
          <w:sz w:val="17"/>
          <w:szCs w:val="17"/>
          <w:color w:val="auto"/>
        </w:rPr>
        <w:t>Our business could be adversely affected by terrorist acts, widespread outbreaks of infectious diseases (such as the COVID-19 pandemic), government responses such as shelter-in-place directives to limit the impact of infectious diseases, or the outbreak or escalation of wars, especially in the Asian markets in which we generate a significant portion of our sales and in Japan where we purchase raw materials and capital equipment. Such events in the geographic regions in which we do business, including escalations of political tensions and military conflicts within the Korean Peninsula, or between the People’s Republic of China and the U.S. or the Republic of China (Taiwan), could have material adverse impacts on our revenue, cost and availability of raw materials, results of operations, cash flows, and financial condition.</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products and technology could be subject to U.S. export control laws and the export control laws of the foreign jurisdictions where we operate</w:t>
      </w:r>
    </w:p>
    <w:p>
      <w:pPr>
        <w:spacing w:after="0" w:line="279" w:lineRule="exact"/>
        <w:rPr>
          <w:sz w:val="20"/>
          <w:szCs w:val="20"/>
          <w:color w:val="auto"/>
        </w:rPr>
      </w:pPr>
    </w:p>
    <w:p>
      <w:pPr>
        <w:ind w:right="120" w:firstLine="247"/>
        <w:spacing w:after="0" w:line="263" w:lineRule="auto"/>
        <w:rPr>
          <w:sz w:val="20"/>
          <w:szCs w:val="20"/>
          <w:color w:val="auto"/>
        </w:rPr>
      </w:pPr>
      <w:r>
        <w:rPr>
          <w:rFonts w:ascii="Arial" w:cs="Arial" w:eastAsia="Arial" w:hAnsi="Arial"/>
          <w:sz w:val="18"/>
          <w:szCs w:val="18"/>
          <w:color w:val="auto"/>
        </w:rPr>
        <w:t>We are subject to various laws relating to the export of products we manufacture and the technology related thereto, and our failure to comply with these laws could subject us to substantial fines, penalties and even injunctions, the imposition of which could have a material adverse effect on the success of our business.</w:t>
      </w:r>
    </w:p>
    <w:p>
      <w:pPr>
        <w:spacing w:after="0" w:line="184" w:lineRule="exact"/>
        <w:rPr>
          <w:sz w:val="20"/>
          <w:szCs w:val="20"/>
          <w:color w:val="auto"/>
        </w:rPr>
      </w:pPr>
    </w:p>
    <w:p>
      <w:pPr>
        <w:ind w:right="100" w:firstLine="247"/>
        <w:spacing w:after="0" w:line="269" w:lineRule="auto"/>
        <w:rPr>
          <w:sz w:val="20"/>
          <w:szCs w:val="20"/>
          <w:color w:val="auto"/>
        </w:rPr>
      </w:pPr>
      <w:r>
        <w:rPr>
          <w:rFonts w:ascii="Arial" w:cs="Arial" w:eastAsia="Arial" w:hAnsi="Arial"/>
          <w:sz w:val="17"/>
          <w:szCs w:val="17"/>
          <w:color w:val="auto"/>
        </w:rPr>
        <w:t>We are subject to the export control laws of the United States and the export control laws of the foreign jurisdictions where we operate. On April 28, 2020, the Trump administration significantly expanded the reach of U.S. export controls over certain products and certain countries. The U.S. Department of Commerce has, among other things: expanded license requirements to China, Russia and Venezuela; broadened the list of products covered by these expanded license requirements; expanded the definition of “military end use”; created a new “reason for control”; created a new review policy for certain items to certain countries; added substantial electronic export information filing requirements; eliminated the license exception for civil end use for certain countries, including China, Russia and Venezuela; and proposed to remove those same countries from the list of those eligible for additional re-exports license exceptions. The final rules relating to most of these changes are effective June 29, 2020, and comments to the proposed rule on re-exports are due on the same day. Application of these laws may adversely affect our business in various ways, including by regulating the export of our products, equipment, services, and technology from the United States and abroad, increasing the time necessary to obtain required authorizations, and the possibility of monetary fines and other penalties for non-compliance.</w:t>
      </w:r>
    </w:p>
    <w:p>
      <w:pPr>
        <w:spacing w:after="0" w:line="20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56" w:lineRule="exact"/>
        <w:rPr>
          <w:sz w:val="20"/>
          <w:szCs w:val="20"/>
          <w:color w:val="auto"/>
        </w:rPr>
      </w:pPr>
    </w:p>
    <w:p>
      <w:pPr>
        <w:ind w:right="160" w:firstLine="247"/>
        <w:spacing w:after="0" w:line="259" w:lineRule="auto"/>
        <w:rPr>
          <w:sz w:val="20"/>
          <w:szCs w:val="20"/>
          <w:color w:val="auto"/>
        </w:rPr>
      </w:pPr>
      <w:r>
        <w:rPr>
          <w:rFonts w:ascii="Arial" w:cs="Arial" w:eastAsia="Arial" w:hAnsi="Arial"/>
          <w:sz w:val="18"/>
          <w:szCs w:val="18"/>
          <w:color w:val="auto"/>
        </w:rPr>
        <w:t>In August 2019, the Company’s board of directors authorized the repurchase of up to $100 million of its common stock, pursuant to a repurchase plan under Rule 10b5-1 of the Securities Act of 1933 (as amended). The authorization did not obligate us to repurchase any dollar amount or number of shares of common stock, and the repurchase program could have been suspended or discontinued at any time. The following table presents information on our common stock repurchase activity for the second fiscal quarter of 2020.</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Total Number of Shares</w:t>
            </w:r>
          </w:p>
        </w:tc>
        <w:tc>
          <w:tcPr>
            <w:tcW w:w="1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0"/>
              </w:rPr>
              <w:t>Dollar Value of</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Total Number of</w:t>
            </w:r>
          </w:p>
        </w:tc>
        <w:tc>
          <w:tcPr>
            <w:tcW w:w="10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Average Price</w:t>
            </w:r>
          </w:p>
        </w:tc>
        <w:tc>
          <w:tcPr>
            <w:tcW w:w="100" w:type="dxa"/>
            <w:vAlign w:val="bottom"/>
          </w:tcPr>
          <w:p>
            <w:pPr>
              <w:spacing w:after="0"/>
              <w:rPr>
                <w:sz w:val="18"/>
                <w:szCs w:val="18"/>
                <w:color w:val="auto"/>
              </w:rPr>
            </w:pPr>
          </w:p>
        </w:tc>
        <w:tc>
          <w:tcPr>
            <w:tcW w:w="2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Purchased as Part of</w:t>
            </w:r>
          </w:p>
        </w:tc>
        <w:tc>
          <w:tcPr>
            <w:tcW w:w="146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Shares That May</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 Purchased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Paid</w:t>
            </w:r>
          </w:p>
        </w:tc>
        <w:tc>
          <w:tcPr>
            <w:tcW w:w="100" w:type="dxa"/>
            <w:vAlign w:val="bottom"/>
          </w:tcPr>
          <w:p>
            <w:pPr>
              <w:spacing w:after="0"/>
              <w:rPr>
                <w:sz w:val="18"/>
                <w:szCs w:val="18"/>
                <w:color w:val="auto"/>
              </w:rPr>
            </w:pPr>
          </w:p>
        </w:tc>
        <w:tc>
          <w:tcPr>
            <w:tcW w:w="2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Publicly Announced</w:t>
            </w: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w w:val="94"/>
              </w:rPr>
              <w:t>Yet Be Purchased</w:t>
            </w:r>
          </w:p>
        </w:tc>
        <w:tc>
          <w:tcPr>
            <w:tcW w:w="0" w:type="dxa"/>
            <w:vAlign w:val="bottom"/>
          </w:tcPr>
          <w:p>
            <w:pPr>
              <w:spacing w:after="0"/>
              <w:rPr>
                <w:sz w:val="1"/>
                <w:szCs w:val="1"/>
                <w:color w:val="auto"/>
              </w:rPr>
            </w:pPr>
          </w:p>
        </w:tc>
      </w:tr>
      <w:tr>
        <w:trPr>
          <w:trHeight w:val="234"/>
        </w:trPr>
        <w:tc>
          <w:tcPr>
            <w:tcW w:w="4840" w:type="dxa"/>
            <w:vAlign w:val="bottom"/>
          </w:tcPr>
          <w:p>
            <w:pPr>
              <w:spacing w:after="0"/>
              <w:rPr>
                <w:sz w:val="20"/>
                <w:szCs w:val="20"/>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(in millions)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Per share</w:t>
            </w:r>
          </w:p>
        </w:tc>
        <w:tc>
          <w:tcPr>
            <w:tcW w:w="100" w:type="dxa"/>
            <w:vAlign w:val="bottom"/>
          </w:tcPr>
          <w:p>
            <w:pPr>
              <w:spacing w:after="0"/>
              <w:rPr>
                <w:sz w:val="20"/>
                <w:szCs w:val="20"/>
                <w:color w:val="auto"/>
              </w:rPr>
            </w:pP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Program (in millions)</w:t>
            </w:r>
          </w:p>
        </w:tc>
        <w:tc>
          <w:tcPr>
            <w:tcW w:w="100" w:type="dxa"/>
            <w:vAlign w:val="bottom"/>
          </w:tcPr>
          <w:p>
            <w:pPr>
              <w:spacing w:after="0"/>
              <w:rPr>
                <w:sz w:val="20"/>
                <w:szCs w:val="20"/>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(in millions)</w:t>
            </w:r>
          </w:p>
        </w:tc>
        <w:tc>
          <w:tcPr>
            <w:tcW w:w="0" w:type="dxa"/>
            <w:vAlign w:val="bottom"/>
          </w:tcPr>
          <w:p>
            <w:pPr>
              <w:spacing w:after="0"/>
              <w:rPr>
                <w:sz w:val="1"/>
                <w:szCs w:val="1"/>
                <w:color w:val="auto"/>
              </w:rPr>
            </w:pPr>
          </w:p>
        </w:tc>
      </w:tr>
      <w:tr>
        <w:trPr>
          <w:trHeight w:val="223"/>
        </w:trPr>
        <w:tc>
          <w:tcPr>
            <w:tcW w:w="4840" w:type="dxa"/>
            <w:vAlign w:val="bottom"/>
            <w:vMerge w:val="restart"/>
          </w:tcPr>
          <w:p>
            <w:pPr>
              <w:spacing w:after="0"/>
              <w:rPr>
                <w:sz w:val="20"/>
                <w:szCs w:val="20"/>
                <w:color w:val="auto"/>
              </w:rPr>
            </w:pPr>
            <w:r>
              <w:rPr>
                <w:rFonts w:ascii="Arial" w:cs="Arial" w:eastAsia="Arial" w:hAnsi="Arial"/>
                <w:sz w:val="18"/>
                <w:szCs w:val="18"/>
                <w:b w:val="1"/>
                <w:bCs w:val="1"/>
                <w:color w:val="auto"/>
              </w:rPr>
              <w:t>Period</w:t>
            </w:r>
          </w:p>
        </w:tc>
        <w:tc>
          <w:tcPr>
            <w:tcW w:w="13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40" w:type="dxa"/>
            <w:vAlign w:val="bottom"/>
            <w:vMerge w:val="continue"/>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February 3, 2020 – March 1, 2020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12.37</w:t>
            </w:r>
          </w:p>
        </w:tc>
        <w:tc>
          <w:tcPr>
            <w:tcW w:w="2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23"/>
        </w:trPr>
        <w:tc>
          <w:tcPr>
            <w:tcW w:w="4840" w:type="dxa"/>
            <w:vAlign w:val="bottom"/>
          </w:tcPr>
          <w:p>
            <w:pPr>
              <w:spacing w:after="0"/>
              <w:rPr>
                <w:sz w:val="20"/>
                <w:szCs w:val="20"/>
                <w:color w:val="auto"/>
              </w:rPr>
            </w:pPr>
            <w:r>
              <w:rPr>
                <w:rFonts w:ascii="Arial" w:cs="Arial" w:eastAsia="Arial" w:hAnsi="Arial"/>
                <w:sz w:val="18"/>
                <w:szCs w:val="18"/>
                <w:color w:val="auto"/>
              </w:rPr>
              <w:t>March 2, 2020 – March 29, 2020</w:t>
            </w:r>
          </w:p>
        </w:tc>
        <w:tc>
          <w:tcPr>
            <w:tcW w:w="136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10.48</w:t>
            </w:r>
          </w:p>
        </w:tc>
        <w:tc>
          <w:tcPr>
            <w:tcW w:w="2140" w:type="dxa"/>
            <w:vAlign w:val="bottom"/>
            <w:gridSpan w:val="3"/>
          </w:tcPr>
          <w:p>
            <w:pPr>
              <w:jc w:val="right"/>
              <w:ind w:right="22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56"/>
        </w:trPr>
        <w:tc>
          <w:tcPr>
            <w:tcW w:w="4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10.75</w:t>
            </w:r>
          </w:p>
        </w:tc>
        <w:tc>
          <w:tcPr>
            <w:tcW w:w="1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The share repurchase program was terminated on March 20, 2020.</w:t>
      </w:r>
    </w:p>
    <w:p>
      <w:pPr>
        <w:sectPr>
          <w:pgSz w:w="11900" w:h="16838" w:orient="portrait"/>
          <w:cols w:equalWidth="0" w:num="1">
            <w:col w:w="11240"/>
          </w:cols>
          <w:pgMar w:left="320" w:top="121" w:right="339" w:bottom="3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301" w:gutter="0" w:footer="0" w:header="0"/>
          <w:type w:val="continuous"/>
        </w:sectPr>
      </w:pPr>
    </w:p>
    <w:bookmarkStart w:id="34" w:name="page35"/>
    <w:bookmarkEnd w:id="34"/>
    <w:tbl>
      <w:tblPr>
        <w:tblLayout w:type="fixed"/>
        <w:tblInd w:w="0" w:type="dxa"/>
        <w:tblCellMar>
          <w:top w:w="0" w:type="dxa"/>
          <w:left w:w="0" w:type="dxa"/>
          <w:bottom w:w="0" w:type="dxa"/>
          <w:right w:w="0" w:type="dxa"/>
        </w:tblCellMar>
      </w:tblPr>
      <w:tr>
        <w:trPr>
          <w:trHeight w:val="181"/>
        </w:trPr>
        <w:tc>
          <w:tcPr>
            <w:tcW w:w="840" w:type="dxa"/>
            <w:vAlign w:val="bottom"/>
            <w:gridSpan w:val="5"/>
          </w:tcPr>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Index</w:t>
              </w:r>
            </w:hyperlink>
          </w:p>
        </w:tc>
        <w:tc>
          <w:tcPr>
            <w:tcW w:w="2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7"/>
        </w:trPr>
        <w:tc>
          <w:tcPr>
            <w:tcW w:w="840" w:type="dxa"/>
            <w:vAlign w:val="bottom"/>
            <w:gridSpan w:val="5"/>
          </w:tcPr>
          <w:p>
            <w:pPr>
              <w:spacing w:after="0"/>
              <w:rPr>
                <w:sz w:val="20"/>
                <w:szCs w:val="20"/>
                <w:color w:val="auto"/>
              </w:rPr>
            </w:pPr>
            <w:r>
              <w:rPr>
                <w:rFonts w:ascii="Arial" w:cs="Arial" w:eastAsia="Arial" w:hAnsi="Arial"/>
                <w:sz w:val="18"/>
                <w:szCs w:val="18"/>
                <w:b w:val="1"/>
                <w:bCs w:val="1"/>
                <w:color w:val="auto"/>
              </w:rPr>
              <w:t>Item 6.</w:t>
            </w:r>
          </w:p>
        </w:tc>
        <w:tc>
          <w:tcPr>
            <w:tcW w:w="6540" w:type="dxa"/>
            <w:vAlign w:val="bottom"/>
            <w:gridSpan w:val="3"/>
          </w:tcPr>
          <w:p>
            <w:pPr>
              <w:ind w:left="460"/>
              <w:spacing w:after="0"/>
              <w:rPr>
                <w:sz w:val="20"/>
                <w:szCs w:val="20"/>
                <w:color w:val="auto"/>
              </w:rPr>
            </w:pPr>
            <w:r>
              <w:rPr>
                <w:rFonts w:ascii="Arial" w:cs="Arial" w:eastAsia="Arial" w:hAnsi="Arial"/>
                <w:sz w:val="18"/>
                <w:szCs w:val="18"/>
                <w:b w:val="1"/>
                <w:bCs w:val="1"/>
                <w:color w:val="auto"/>
              </w:rPr>
              <w:t>EXHIBITS</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9"/>
        </w:trPr>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10"/>
          </w:tcPr>
          <w:p>
            <w:pPr>
              <w:ind w:left="240"/>
              <w:spacing w:after="0"/>
              <w:rPr>
                <w:sz w:val="20"/>
                <w:szCs w:val="20"/>
                <w:color w:val="auto"/>
              </w:rPr>
            </w:pPr>
            <w:r>
              <w:rPr>
                <w:rFonts w:ascii="Arial" w:cs="Arial" w:eastAsia="Arial" w:hAnsi="Arial"/>
                <w:sz w:val="18"/>
                <w:szCs w:val="18"/>
                <w:b w:val="1"/>
                <w:bCs w:val="1"/>
                <w:color w:val="auto"/>
              </w:rPr>
              <w:t>Incorporated by Reference</w:t>
            </w:r>
          </w:p>
        </w:tc>
        <w:tc>
          <w:tcPr>
            <w:tcW w:w="240" w:type="dxa"/>
            <w:vAlign w:val="bottom"/>
          </w:tcPr>
          <w:p>
            <w:pPr>
              <w:spacing w:after="0"/>
              <w:rPr>
                <w:sz w:val="24"/>
                <w:szCs w:val="24"/>
                <w:color w:val="auto"/>
              </w:rPr>
            </w:pPr>
          </w:p>
        </w:tc>
        <w:tc>
          <w:tcPr>
            <w:tcW w:w="840" w:type="dxa"/>
            <w:vAlign w:val="bottom"/>
            <w:gridSpan w:val="3"/>
            <w:vMerge w:val="restart"/>
          </w:tcPr>
          <w:p>
            <w:pPr>
              <w:jc w:val="center"/>
              <w:ind w:right="240"/>
              <w:spacing w:after="0"/>
              <w:rPr>
                <w:sz w:val="20"/>
                <w:szCs w:val="20"/>
                <w:color w:val="auto"/>
              </w:rPr>
            </w:pPr>
            <w:r>
              <w:rPr>
                <w:rFonts w:ascii="Arial" w:cs="Arial" w:eastAsia="Arial" w:hAnsi="Arial"/>
                <w:sz w:val="18"/>
                <w:szCs w:val="18"/>
                <w:b w:val="1"/>
                <w:bCs w:val="1"/>
                <w:color w:val="auto"/>
                <w:w w:val="92"/>
              </w:rPr>
              <w:t>Filed or</w:t>
            </w: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gridSpan w:val="6"/>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gridSpan w:val="3"/>
          </w:tcPr>
          <w:p>
            <w:pPr>
              <w:jc w:val="center"/>
              <w:ind w:right="160"/>
              <w:spacing w:after="0" w:line="196" w:lineRule="exact"/>
              <w:rPr>
                <w:sz w:val="20"/>
                <w:szCs w:val="20"/>
                <w:color w:val="auto"/>
              </w:rPr>
            </w:pPr>
            <w:r>
              <w:rPr>
                <w:rFonts w:ascii="Arial" w:cs="Arial" w:eastAsia="Arial" w:hAnsi="Arial"/>
                <w:sz w:val="18"/>
                <w:szCs w:val="18"/>
                <w:b w:val="1"/>
                <w:bCs w:val="1"/>
                <w:color w:val="auto"/>
                <w:w w:val="93"/>
              </w:rPr>
              <w:t>Exhibit</w:t>
            </w:r>
          </w:p>
        </w:tc>
        <w:tc>
          <w:tcPr>
            <w:tcW w:w="2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6"/>
          </w:tcPr>
          <w:p>
            <w:pPr>
              <w:ind w:left="180"/>
              <w:spacing w:after="0" w:line="196" w:lineRule="exact"/>
              <w:rPr>
                <w:sz w:val="20"/>
                <w:szCs w:val="20"/>
                <w:color w:val="auto"/>
              </w:rPr>
            </w:pPr>
            <w:r>
              <w:rPr>
                <w:rFonts w:ascii="Arial" w:cs="Arial" w:eastAsia="Arial" w:hAnsi="Arial"/>
                <w:sz w:val="18"/>
                <w:szCs w:val="18"/>
                <w:b w:val="1"/>
                <w:bCs w:val="1"/>
                <w:color w:val="auto"/>
              </w:rPr>
              <w:t>File</w:t>
            </w:r>
          </w:p>
        </w:tc>
        <w:tc>
          <w:tcPr>
            <w:tcW w:w="500" w:type="dxa"/>
            <w:vAlign w:val="bottom"/>
            <w:gridSpan w:val="2"/>
          </w:tcPr>
          <w:p>
            <w:pPr>
              <w:jc w:val="center"/>
              <w:ind w:right="80"/>
              <w:spacing w:after="0" w:line="196" w:lineRule="exact"/>
              <w:rPr>
                <w:sz w:val="20"/>
                <w:szCs w:val="20"/>
                <w:color w:val="auto"/>
              </w:rPr>
            </w:pPr>
            <w:r>
              <w:rPr>
                <w:rFonts w:ascii="Arial" w:cs="Arial" w:eastAsia="Arial" w:hAnsi="Arial"/>
                <w:sz w:val="18"/>
                <w:szCs w:val="18"/>
                <w:b w:val="1"/>
                <w:bCs w:val="1"/>
                <w:color w:val="auto"/>
                <w:w w:val="87"/>
              </w:rPr>
              <w:t>Filing</w:t>
            </w:r>
          </w:p>
        </w:tc>
        <w:tc>
          <w:tcPr>
            <w:tcW w:w="240" w:type="dxa"/>
            <w:vAlign w:val="bottom"/>
          </w:tcPr>
          <w:p>
            <w:pPr>
              <w:spacing w:after="0"/>
              <w:rPr>
                <w:sz w:val="17"/>
                <w:szCs w:val="17"/>
                <w:color w:val="auto"/>
              </w:rPr>
            </w:pPr>
          </w:p>
        </w:tc>
        <w:tc>
          <w:tcPr>
            <w:tcW w:w="840" w:type="dxa"/>
            <w:vAlign w:val="bottom"/>
            <w:gridSpan w:val="3"/>
          </w:tcPr>
          <w:p>
            <w:pPr>
              <w:jc w:val="center"/>
              <w:ind w:right="140"/>
              <w:spacing w:after="0" w:line="196" w:lineRule="exact"/>
              <w:rPr>
                <w:sz w:val="20"/>
                <w:szCs w:val="20"/>
                <w:color w:val="auto"/>
              </w:rPr>
            </w:pPr>
            <w:r>
              <w:rPr>
                <w:rFonts w:ascii="Arial" w:cs="Arial" w:eastAsia="Arial" w:hAnsi="Arial"/>
                <w:sz w:val="18"/>
                <w:szCs w:val="18"/>
                <w:b w:val="1"/>
                <w:bCs w:val="1"/>
                <w:color w:val="auto"/>
                <w:w w:val="80"/>
              </w:rPr>
              <w:t>Furnished</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760" w:type="dxa"/>
            <w:vAlign w:val="bottom"/>
            <w:gridSpan w:val="4"/>
          </w:tcPr>
          <w:p>
            <w:pPr>
              <w:jc w:val="center"/>
              <w:ind w:right="120"/>
              <w:spacing w:after="0" w:line="196" w:lineRule="exact"/>
              <w:rPr>
                <w:sz w:val="20"/>
                <w:szCs w:val="20"/>
                <w:color w:val="auto"/>
              </w:rPr>
            </w:pPr>
            <w:r>
              <w:rPr>
                <w:rFonts w:ascii="Arial" w:cs="Arial" w:eastAsia="Arial" w:hAnsi="Arial"/>
                <w:sz w:val="18"/>
                <w:szCs w:val="18"/>
                <w:b w:val="1"/>
                <w:bCs w:val="1"/>
                <w:color w:val="auto"/>
                <w:w w:val="94"/>
              </w:rPr>
              <w:t>Number</w:t>
            </w:r>
          </w:p>
        </w:tc>
        <w:tc>
          <w:tcPr>
            <w:tcW w:w="2540" w:type="dxa"/>
            <w:vAlign w:val="bottom"/>
          </w:tcPr>
          <w:p>
            <w:pPr>
              <w:spacing w:after="0"/>
              <w:rPr>
                <w:sz w:val="17"/>
                <w:szCs w:val="17"/>
                <w:color w:val="auto"/>
              </w:rPr>
            </w:pPr>
          </w:p>
        </w:tc>
        <w:tc>
          <w:tcPr>
            <w:tcW w:w="400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Description</w:t>
            </w:r>
          </w:p>
        </w:tc>
        <w:tc>
          <w:tcPr>
            <w:tcW w:w="2280" w:type="dxa"/>
            <w:vAlign w:val="bottom"/>
            <w:gridSpan w:val="9"/>
          </w:tcPr>
          <w:p>
            <w:pPr>
              <w:ind w:left="120"/>
              <w:spacing w:after="0" w:line="196" w:lineRule="exact"/>
              <w:rPr>
                <w:sz w:val="20"/>
                <w:szCs w:val="20"/>
                <w:color w:val="auto"/>
              </w:rPr>
            </w:pPr>
            <w:r>
              <w:rPr>
                <w:rFonts w:ascii="Arial" w:cs="Arial" w:eastAsia="Arial" w:hAnsi="Arial"/>
                <w:sz w:val="18"/>
                <w:szCs w:val="18"/>
                <w:b w:val="1"/>
                <w:bCs w:val="1"/>
                <w:color w:val="auto"/>
              </w:rPr>
              <w:t>Form  Number  Exhibit</w:t>
            </w:r>
          </w:p>
        </w:tc>
        <w:tc>
          <w:tcPr>
            <w:tcW w:w="500" w:type="dxa"/>
            <w:vAlign w:val="bottom"/>
            <w:gridSpan w:val="2"/>
          </w:tcPr>
          <w:p>
            <w:pPr>
              <w:jc w:val="center"/>
              <w:ind w:right="60"/>
              <w:spacing w:after="0" w:line="196" w:lineRule="exact"/>
              <w:rPr>
                <w:sz w:val="20"/>
                <w:szCs w:val="20"/>
                <w:color w:val="auto"/>
              </w:rPr>
            </w:pPr>
            <w:r>
              <w:rPr>
                <w:rFonts w:ascii="Arial" w:cs="Arial" w:eastAsia="Arial" w:hAnsi="Arial"/>
                <w:sz w:val="18"/>
                <w:szCs w:val="18"/>
                <w:b w:val="1"/>
                <w:bCs w:val="1"/>
                <w:color w:val="auto"/>
                <w:w w:val="92"/>
              </w:rPr>
              <w:t>Date</w:t>
            </w:r>
          </w:p>
        </w:tc>
        <w:tc>
          <w:tcPr>
            <w:tcW w:w="240" w:type="dxa"/>
            <w:vAlign w:val="bottom"/>
          </w:tcPr>
          <w:p>
            <w:pPr>
              <w:spacing w:after="0"/>
              <w:rPr>
                <w:sz w:val="17"/>
                <w:szCs w:val="17"/>
                <w:color w:val="auto"/>
              </w:rPr>
            </w:pPr>
          </w:p>
        </w:tc>
        <w:tc>
          <w:tcPr>
            <w:tcW w:w="840" w:type="dxa"/>
            <w:vAlign w:val="bottom"/>
            <w:gridSpan w:val="3"/>
          </w:tcPr>
          <w:p>
            <w:pPr>
              <w:jc w:val="center"/>
              <w:ind w:right="180"/>
              <w:spacing w:after="0" w:line="196" w:lineRule="exact"/>
              <w:rPr>
                <w:sz w:val="20"/>
                <w:szCs w:val="20"/>
                <w:color w:val="auto"/>
              </w:rPr>
            </w:pPr>
            <w:r>
              <w:rPr>
                <w:rFonts w:ascii="Arial" w:cs="Arial" w:eastAsia="Arial" w:hAnsi="Arial"/>
                <w:sz w:val="18"/>
                <w:szCs w:val="18"/>
                <w:b w:val="1"/>
                <w:bCs w:val="1"/>
                <w:color w:val="auto"/>
                <w:w w:val="86"/>
              </w:rPr>
              <w:t>Herewith</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80" w:type="dxa"/>
            <w:vAlign w:val="bottom"/>
            <w:gridSpan w:val="3"/>
            <w:shd w:val="clear" w:color="auto" w:fill="CCEEFF"/>
          </w:tcPr>
          <w:p>
            <w:pPr>
              <w:spacing w:after="0" w:line="201" w:lineRule="exact"/>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31.1</w:t>
              </w:r>
            </w:hyperlink>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540" w:type="dxa"/>
            <w:vAlign w:val="bottom"/>
            <w:gridSpan w:val="3"/>
            <w:shd w:val="clear" w:color="auto" w:fill="CCEEFF"/>
          </w:tcPr>
          <w:p>
            <w:pPr>
              <w:ind w:left="140"/>
              <w:spacing w:after="0" w:line="201" w:lineRule="exact"/>
              <w:rPr>
                <w:sz w:val="20"/>
                <w:szCs w:val="20"/>
                <w:color w:val="auto"/>
              </w:rPr>
            </w:pPr>
            <w:r>
              <w:rPr>
                <w:rFonts w:ascii="Arial" w:cs="Arial" w:eastAsia="Arial" w:hAnsi="Arial"/>
                <w:sz w:val="18"/>
                <w:szCs w:val="18"/>
                <w:color w:val="auto"/>
              </w:rPr>
              <w:t>Certification of Chief Executive Officer pursuant to Rule 13a-14(a)/15d-14(a)</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4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5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of the Securities Exchange Act of 1934, as adopted pursuant to Section 302 of</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5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the Sarbanes-Oxley Act of 2002.</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4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80" w:type="dxa"/>
            <w:vAlign w:val="bottom"/>
            <w:gridSpan w:val="3"/>
            <w:shd w:val="clear" w:color="auto" w:fill="CCEEFF"/>
          </w:tcPr>
          <w:p>
            <w:pPr>
              <w:spacing w:after="0" w:line="201" w:lineRule="exact"/>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31.2</w:t>
              </w:r>
            </w:hyperlink>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540" w:type="dxa"/>
            <w:vAlign w:val="bottom"/>
            <w:gridSpan w:val="3"/>
            <w:shd w:val="clear" w:color="auto" w:fill="CCEEFF"/>
          </w:tcPr>
          <w:p>
            <w:pPr>
              <w:ind w:left="140"/>
              <w:spacing w:after="0" w:line="201" w:lineRule="exact"/>
              <w:rPr>
                <w:sz w:val="20"/>
                <w:szCs w:val="20"/>
                <w:color w:val="auto"/>
              </w:rPr>
            </w:pPr>
            <w:r>
              <w:rPr>
                <w:rFonts w:ascii="Arial" w:cs="Arial" w:eastAsia="Arial" w:hAnsi="Arial"/>
                <w:sz w:val="18"/>
                <w:szCs w:val="18"/>
                <w:color w:val="auto"/>
              </w:rPr>
              <w:t>Certification of Chief Financial Officer pursuant to Rule 13a-14(a)/15d-14(a)</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4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840" w:type="dxa"/>
            <w:vAlign w:val="bottom"/>
            <w:gridSpan w:val="3"/>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5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of the Securities Exchange Act of 1934, as adopted pursuant to Section 302 of</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5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the Sarbanes-Oxley Act of 2002.</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4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80" w:type="dxa"/>
            <w:vAlign w:val="bottom"/>
            <w:gridSpan w:val="3"/>
            <w:shd w:val="clear" w:color="auto" w:fill="CCEEFF"/>
          </w:tcPr>
          <w:p>
            <w:pPr>
              <w:spacing w:after="0" w:line="201" w:lineRule="exact"/>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32.1</w:t>
              </w:r>
            </w:hyperlink>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540" w:type="dxa"/>
            <w:vAlign w:val="bottom"/>
            <w:gridSpan w:val="3"/>
            <w:shd w:val="clear" w:color="auto" w:fill="CCEEFF"/>
          </w:tcPr>
          <w:p>
            <w:pPr>
              <w:ind w:left="140"/>
              <w:spacing w:after="0" w:line="201" w:lineRule="exact"/>
              <w:rPr>
                <w:sz w:val="20"/>
                <w:szCs w:val="20"/>
                <w:color w:val="auto"/>
              </w:rPr>
            </w:pPr>
            <w:r>
              <w:rPr>
                <w:rFonts w:ascii="Arial" w:cs="Arial" w:eastAsia="Arial" w:hAnsi="Arial"/>
                <w:sz w:val="18"/>
                <w:szCs w:val="18"/>
                <w:color w:val="auto"/>
              </w:rPr>
              <w:t>Certification of Chief Executive Officer pursuant to 18 U.S.C. Section 1350,</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4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840" w:type="dxa"/>
            <w:vAlign w:val="bottom"/>
            <w:gridSpan w:val="3"/>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5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5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adopted pursuant to Section 906 of the Sarbanes-Oxley Act of 2002.</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4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80" w:type="dxa"/>
            <w:vAlign w:val="bottom"/>
            <w:gridSpan w:val="3"/>
            <w:shd w:val="clear" w:color="auto" w:fill="CCEEFF"/>
          </w:tcPr>
          <w:p>
            <w:pPr>
              <w:spacing w:after="0" w:line="201" w:lineRule="exact"/>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32.2</w:t>
              </w:r>
            </w:hyperlink>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540" w:type="dxa"/>
            <w:vAlign w:val="bottom"/>
            <w:gridSpan w:val="3"/>
            <w:shd w:val="clear" w:color="auto" w:fill="CCEEFF"/>
          </w:tcPr>
          <w:p>
            <w:pPr>
              <w:ind w:left="140"/>
              <w:spacing w:after="0" w:line="201" w:lineRule="exact"/>
              <w:rPr>
                <w:sz w:val="20"/>
                <w:szCs w:val="20"/>
                <w:color w:val="auto"/>
              </w:rPr>
            </w:pPr>
            <w:r>
              <w:rPr>
                <w:rFonts w:ascii="Arial" w:cs="Arial" w:eastAsia="Arial" w:hAnsi="Arial"/>
                <w:sz w:val="18"/>
                <w:szCs w:val="18"/>
                <w:color w:val="auto"/>
              </w:rPr>
              <w:t>Certification of Chief Financial Officer pursuant to 18 U.S.C. Section 1350, as</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4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840" w:type="dxa"/>
            <w:vAlign w:val="bottom"/>
            <w:gridSpan w:val="3"/>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5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adopted pursuant to Section 906 of the Sarbanes-Oxley Act of 2002.</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4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101.INS</w:t>
            </w:r>
          </w:p>
        </w:tc>
        <w:tc>
          <w:tcPr>
            <w:tcW w:w="65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XBRL Instance Document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101.SCH</w:t>
            </w:r>
          </w:p>
        </w:tc>
        <w:tc>
          <w:tcPr>
            <w:tcW w:w="65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XBRL Taxonomy Extension Schema Document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101.CAL</w:t>
            </w:r>
          </w:p>
        </w:tc>
        <w:tc>
          <w:tcPr>
            <w:tcW w:w="65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XBRL Taxonomy Extension Calculation Linkbase Document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101.DEF</w:t>
            </w:r>
          </w:p>
        </w:tc>
        <w:tc>
          <w:tcPr>
            <w:tcW w:w="65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XBRL Taxonomy Extension Definition Linkbase Document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101.LAB</w:t>
            </w:r>
          </w:p>
        </w:tc>
        <w:tc>
          <w:tcPr>
            <w:tcW w:w="65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XBRL Taxonomy Extension Label Linkbase Document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101.PRE</w:t>
            </w:r>
          </w:p>
        </w:tc>
        <w:tc>
          <w:tcPr>
            <w:tcW w:w="65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XBRL Taxonomy Extension Presentation Linkbase Document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59"/>
        </w:trPr>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120" w:type="dxa"/>
            <w:vAlign w:val="bottom"/>
          </w:tcPr>
          <w:p>
            <w:pPr>
              <w:ind w:left="780"/>
              <w:spacing w:after="0"/>
              <w:rPr>
                <w:sz w:val="20"/>
                <w:szCs w:val="20"/>
                <w:color w:val="auto"/>
              </w:rPr>
            </w:pPr>
            <w:r>
              <w:rPr>
                <w:rFonts w:ascii="Arial" w:cs="Arial" w:eastAsia="Arial" w:hAnsi="Arial"/>
                <w:sz w:val="18"/>
                <w:szCs w:val="18"/>
                <w:b w:val="1"/>
                <w:bCs w:val="1"/>
                <w:color w:val="auto"/>
              </w:rPr>
              <w:t>SIGNATURES</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60" w:firstLine="247"/>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Photronics, Inc.</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40" w:type="dxa"/>
            <w:vAlign w:val="bottom"/>
          </w:tcPr>
          <w:p>
            <w:pPr>
              <w:ind w:left="40"/>
              <w:spacing w:after="0"/>
              <w:rPr>
                <w:sz w:val="20"/>
                <w:szCs w:val="20"/>
                <w:color w:val="auto"/>
              </w:rPr>
            </w:pPr>
            <w:r>
              <w:rPr>
                <w:rFonts w:ascii="Arial" w:cs="Arial" w:eastAsia="Arial" w:hAnsi="Arial"/>
                <w:sz w:val="18"/>
                <w:szCs w:val="18"/>
                <w:color w:val="auto"/>
              </w:rPr>
              <w:t>By:</w:t>
            </w: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JOHN P. JORDAN</w:t>
            </w:r>
          </w:p>
        </w:tc>
        <w:tc>
          <w:tcPr>
            <w:tcW w:w="2360" w:type="dxa"/>
            <w:vAlign w:val="bottom"/>
          </w:tcPr>
          <w:p>
            <w:pPr>
              <w:ind w:left="2080"/>
              <w:spacing w:after="0"/>
              <w:rPr>
                <w:sz w:val="20"/>
                <w:szCs w:val="20"/>
                <w:color w:val="auto"/>
              </w:rPr>
            </w:pPr>
            <w:r>
              <w:rPr>
                <w:rFonts w:ascii="Arial" w:cs="Arial" w:eastAsia="Arial" w:hAnsi="Arial"/>
                <w:sz w:val="18"/>
                <w:szCs w:val="18"/>
                <w:color w:val="auto"/>
                <w:w w:val="99"/>
              </w:rPr>
              <w:t>By:</w:t>
            </w:r>
          </w:p>
        </w:tc>
        <w:tc>
          <w:tcPr>
            <w:tcW w:w="4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ERIC RIVERA</w:t>
            </w:r>
          </w:p>
        </w:tc>
        <w:tc>
          <w:tcPr>
            <w:tcW w:w="300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2820" w:type="dxa"/>
            <w:vAlign w:val="bottom"/>
          </w:tcPr>
          <w:p>
            <w:pPr>
              <w:jc w:val="center"/>
              <w:spacing w:after="0" w:line="201" w:lineRule="exact"/>
              <w:rPr>
                <w:sz w:val="20"/>
                <w:szCs w:val="20"/>
                <w:color w:val="auto"/>
              </w:rPr>
            </w:pPr>
            <w:r>
              <w:rPr>
                <w:rFonts w:ascii="Arial" w:cs="Arial" w:eastAsia="Arial" w:hAnsi="Arial"/>
                <w:sz w:val="18"/>
                <w:szCs w:val="18"/>
                <w:color w:val="auto"/>
                <w:w w:val="91"/>
              </w:rPr>
              <w:t>JOHN P. JORDAN</w:t>
            </w:r>
          </w:p>
        </w:tc>
        <w:tc>
          <w:tcPr>
            <w:tcW w:w="2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80" w:type="dxa"/>
            <w:vAlign w:val="bottom"/>
          </w:tcPr>
          <w:p>
            <w:pPr>
              <w:jc w:val="center"/>
              <w:spacing w:after="0" w:line="201" w:lineRule="exact"/>
              <w:rPr>
                <w:sz w:val="20"/>
                <w:szCs w:val="20"/>
                <w:color w:val="auto"/>
              </w:rPr>
            </w:pPr>
            <w:r>
              <w:rPr>
                <w:rFonts w:ascii="Arial" w:cs="Arial" w:eastAsia="Arial" w:hAnsi="Arial"/>
                <w:sz w:val="18"/>
                <w:szCs w:val="18"/>
                <w:color w:val="auto"/>
                <w:w w:val="97"/>
              </w:rPr>
              <w:t>ERIC RIVERA</w:t>
            </w:r>
          </w:p>
        </w:tc>
        <w:tc>
          <w:tcPr>
            <w:tcW w:w="300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Arial" w:cs="Arial" w:eastAsia="Arial" w:hAnsi="Arial"/>
                <w:sz w:val="18"/>
                <w:szCs w:val="18"/>
                <w:color w:val="auto"/>
                <w:w w:val="89"/>
              </w:rPr>
              <w:t>Senior Vice President,</w:t>
            </w:r>
          </w:p>
        </w:tc>
        <w:tc>
          <w:tcPr>
            <w:tcW w:w="2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89"/>
              </w:rPr>
              <w:t>Vice President,</w:t>
            </w:r>
          </w:p>
        </w:tc>
        <w:tc>
          <w:tcPr>
            <w:tcW w:w="30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c>
          <w:tcPr>
            <w:tcW w:w="2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1"/>
              </w:rPr>
              <w:t>Corporate Controller</w:t>
            </w:r>
          </w:p>
        </w:tc>
        <w:tc>
          <w:tcPr>
            <w:tcW w:w="300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282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c>
          <w:tcPr>
            <w:tcW w:w="2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5"/>
              </w:rPr>
              <w:t>(Principal Accounting Officer)</w:t>
            </w:r>
          </w:p>
        </w:tc>
        <w:tc>
          <w:tcPr>
            <w:tcW w:w="3000" w:type="dxa"/>
            <w:vAlign w:val="bottom"/>
          </w:tcPr>
          <w:p>
            <w:pPr>
              <w:spacing w:after="0"/>
              <w:rPr>
                <w:sz w:val="20"/>
                <w:szCs w:val="20"/>
                <w:color w:val="auto"/>
              </w:rPr>
            </w:pPr>
          </w:p>
        </w:tc>
      </w:tr>
      <w:tr>
        <w:trPr>
          <w:trHeight w:val="432"/>
        </w:trPr>
        <w:tc>
          <w:tcPr>
            <w:tcW w:w="3160" w:type="dxa"/>
            <w:vAlign w:val="bottom"/>
            <w:gridSpan w:val="2"/>
          </w:tcPr>
          <w:p>
            <w:pPr>
              <w:ind w:left="180"/>
              <w:spacing w:after="0"/>
              <w:rPr>
                <w:sz w:val="20"/>
                <w:szCs w:val="20"/>
                <w:color w:val="auto"/>
              </w:rPr>
            </w:pPr>
            <w:r>
              <w:rPr>
                <w:rFonts w:ascii="Arial" w:cs="Arial" w:eastAsia="Arial" w:hAnsi="Arial"/>
                <w:sz w:val="18"/>
                <w:szCs w:val="18"/>
                <w:color w:val="auto"/>
              </w:rPr>
              <w:t>Date: June 12, 2020</w:t>
            </w:r>
          </w:p>
        </w:tc>
        <w:tc>
          <w:tcPr>
            <w:tcW w:w="5080" w:type="dxa"/>
            <w:vAlign w:val="bottom"/>
            <w:gridSpan w:val="3"/>
          </w:tcPr>
          <w:p>
            <w:pPr>
              <w:jc w:val="right"/>
              <w:ind w:right="1310"/>
              <w:spacing w:after="0"/>
              <w:rPr>
                <w:sz w:val="20"/>
                <w:szCs w:val="20"/>
                <w:color w:val="auto"/>
              </w:rPr>
            </w:pPr>
            <w:r>
              <w:rPr>
                <w:rFonts w:ascii="Arial" w:cs="Arial" w:eastAsia="Arial" w:hAnsi="Arial"/>
                <w:sz w:val="18"/>
                <w:szCs w:val="18"/>
                <w:color w:val="auto"/>
              </w:rPr>
              <w:t>Date: June 12, 2020</w:t>
            </w:r>
          </w:p>
        </w:tc>
        <w:tc>
          <w:tcPr>
            <w:tcW w:w="3000" w:type="dxa"/>
            <w:vAlign w:val="bottom"/>
          </w:tcPr>
          <w:p>
            <w:pPr>
              <w:spacing w:after="0"/>
              <w:rPr>
                <w:sz w:val="24"/>
                <w:szCs w:val="24"/>
                <w:color w:val="auto"/>
              </w:rPr>
            </w:pPr>
          </w:p>
        </w:tc>
      </w:tr>
      <w:tr>
        <w:trPr>
          <w:trHeight w:val="649"/>
        </w:trPr>
        <w:tc>
          <w:tcPr>
            <w:tcW w:w="3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720" w:type="dxa"/>
            <w:vAlign w:val="bottom"/>
            <w:gridSpan w:val="2"/>
          </w:tcPr>
          <w:p>
            <w:pPr>
              <w:jc w:val="right"/>
              <w:ind w:right="2450"/>
              <w:spacing w:after="0"/>
              <w:rPr>
                <w:sz w:val="20"/>
                <w:szCs w:val="20"/>
                <w:color w:val="auto"/>
              </w:rPr>
            </w:pPr>
            <w:r>
              <w:rPr>
                <w:rFonts w:ascii="Arial" w:cs="Arial" w:eastAsia="Arial" w:hAnsi="Arial"/>
                <w:sz w:val="14"/>
                <w:szCs w:val="14"/>
                <w:color w:val="auto"/>
              </w:rPr>
              <w:t>34</w:t>
            </w:r>
          </w:p>
        </w:tc>
        <w:tc>
          <w:tcPr>
            <w:tcW w:w="3000" w:type="dxa"/>
            <w:vAlign w:val="bottom"/>
          </w:tcPr>
          <w:p>
            <w:pPr>
              <w:spacing w:after="0"/>
              <w:rPr>
                <w:sz w:val="24"/>
                <w:szCs w:val="24"/>
                <w:color w:val="auto"/>
              </w:rPr>
            </w:pPr>
          </w:p>
        </w:tc>
      </w:tr>
      <w:tr>
        <w:trPr>
          <w:trHeight w:val="73"/>
        </w:trPr>
        <w:tc>
          <w:tcPr>
            <w:tcW w:w="340" w:type="dxa"/>
            <w:vAlign w:val="bottom"/>
            <w:tcBorders>
              <w:bottom w:val="single" w:sz="8" w:color="auto"/>
            </w:tcBorders>
          </w:tcPr>
          <w:p>
            <w:pPr>
              <w:spacing w:after="0"/>
              <w:rPr>
                <w:sz w:val="6"/>
                <w:szCs w:val="6"/>
                <w:color w:val="auto"/>
              </w:rPr>
            </w:pPr>
          </w:p>
        </w:tc>
        <w:tc>
          <w:tcPr>
            <w:tcW w:w="2820" w:type="dxa"/>
            <w:vAlign w:val="bottom"/>
            <w:tcBorders>
              <w:bottom w:val="single" w:sz="8" w:color="auto"/>
            </w:tcBorders>
          </w:tcPr>
          <w:p>
            <w:pPr>
              <w:spacing w:after="0"/>
              <w:rPr>
                <w:sz w:val="6"/>
                <w:szCs w:val="6"/>
                <w:color w:val="auto"/>
              </w:rPr>
            </w:pPr>
          </w:p>
        </w:tc>
        <w:tc>
          <w:tcPr>
            <w:tcW w:w="23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680" w:type="dxa"/>
            <w:vAlign w:val="bottom"/>
            <w:tcBorders>
              <w:bottom w:val="single" w:sz="8" w:color="auto"/>
            </w:tcBorders>
          </w:tcPr>
          <w:p>
            <w:pPr>
              <w:spacing w:after="0"/>
              <w:rPr>
                <w:sz w:val="6"/>
                <w:szCs w:val="6"/>
                <w:color w:val="auto"/>
              </w:rPr>
            </w:pPr>
          </w:p>
        </w:tc>
        <w:tc>
          <w:tcPr>
            <w:tcW w:w="3000" w:type="dxa"/>
            <w:vAlign w:val="bottom"/>
            <w:tcBorders>
              <w:bottom w:val="single" w:sz="8" w:color="auto"/>
            </w:tcBorders>
          </w:tcPr>
          <w:p>
            <w:pPr>
              <w:spacing w:after="0"/>
              <w:rPr>
                <w:sz w:val="6"/>
                <w:szCs w:val="6"/>
                <w:color w:val="auto"/>
              </w:rPr>
            </w:pPr>
          </w:p>
        </w:tc>
      </w:tr>
    </w:tbl>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I, Peter S. Kirlin, certify that:</w:t>
      </w:r>
    </w:p>
    <w:p>
      <w:pPr>
        <w:spacing w:after="0" w:line="240"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Photronics, Inc.</w:t>
      </w:r>
    </w:p>
    <w:p>
      <w:pPr>
        <w:spacing w:after="0" w:line="252" w:lineRule="exact"/>
        <w:rPr>
          <w:rFonts w:ascii="Arial" w:cs="Arial" w:eastAsia="Arial" w:hAnsi="Arial"/>
          <w:sz w:val="18"/>
          <w:szCs w:val="18"/>
          <w:color w:val="auto"/>
        </w:rPr>
      </w:pPr>
    </w:p>
    <w:p>
      <w:pPr>
        <w:jc w:val="both"/>
        <w:ind w:left="500" w:right="280" w:hanging="492"/>
        <w:spacing w:after="0" w:line="263"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500" w:right="240" w:hanging="492"/>
        <w:spacing w:after="0" w:line="308" w:lineRule="auto"/>
        <w:tabs>
          <w:tab w:leader="none" w:pos="50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500" w:right="280" w:hanging="492"/>
        <w:spacing w:after="0" w:line="263"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980" w:right="100" w:hanging="486"/>
        <w:spacing w:after="0" w:line="263"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980" w:right="360" w:hanging="486"/>
        <w:spacing w:after="0" w:line="263"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980" w:right="540" w:hanging="486"/>
        <w:spacing w:after="0" w:line="342" w:lineRule="auto"/>
        <w:tabs>
          <w:tab w:leader="none" w:pos="98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980" w:right="120" w:hanging="486"/>
        <w:spacing w:after="0" w:line="263"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500" w:right="180" w:hanging="492"/>
        <w:spacing w:after="0" w:line="308" w:lineRule="auto"/>
        <w:tabs>
          <w:tab w:leader="none" w:pos="5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hanging="486"/>
        <w:spacing w:after="0" w:line="308" w:lineRule="auto"/>
        <w:tabs>
          <w:tab w:leader="none" w:pos="980" w:val="left"/>
        </w:tabs>
        <w:numPr>
          <w:ilvl w:val="1"/>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980" w:right="540" w:hanging="486"/>
        <w:spacing w:after="0" w:line="277"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/s/ PETER S. KIRLIN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250317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Peter S. Kirlin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6" w:name="page37"/>
    <w:bookmarkEnd w:id="36"/>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I, John P. Jordan, certify that:</w:t>
      </w:r>
    </w:p>
    <w:p>
      <w:pPr>
        <w:spacing w:after="0" w:line="240"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Photronics, Inc.</w:t>
      </w:r>
    </w:p>
    <w:p>
      <w:pPr>
        <w:spacing w:after="0" w:line="252" w:lineRule="exact"/>
        <w:rPr>
          <w:rFonts w:ascii="Arial" w:cs="Arial" w:eastAsia="Arial" w:hAnsi="Arial"/>
          <w:sz w:val="18"/>
          <w:szCs w:val="18"/>
          <w:color w:val="auto"/>
        </w:rPr>
      </w:pPr>
    </w:p>
    <w:p>
      <w:pPr>
        <w:jc w:val="both"/>
        <w:ind w:left="500" w:right="280" w:hanging="492"/>
        <w:spacing w:after="0" w:line="263"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500" w:right="240" w:hanging="492"/>
        <w:spacing w:after="0" w:line="308" w:lineRule="auto"/>
        <w:tabs>
          <w:tab w:leader="none" w:pos="5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500" w:right="280" w:hanging="492"/>
        <w:spacing w:after="0" w:line="263"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980" w:right="100" w:hanging="486"/>
        <w:spacing w:after="0" w:line="263"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980" w:right="360" w:hanging="486"/>
        <w:spacing w:after="0" w:line="263"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980" w:right="540" w:hanging="486"/>
        <w:spacing w:after="0" w:line="342" w:lineRule="auto"/>
        <w:tabs>
          <w:tab w:leader="none" w:pos="98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980" w:right="120" w:hanging="486"/>
        <w:spacing w:after="0" w:line="263"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500" w:right="180" w:hanging="492"/>
        <w:spacing w:after="0" w:line="308" w:lineRule="auto"/>
        <w:tabs>
          <w:tab w:leader="none" w:pos="5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hanging="486"/>
        <w:spacing w:after="0" w:line="308" w:lineRule="auto"/>
        <w:tabs>
          <w:tab w:leader="none" w:pos="980" w:val="left"/>
        </w:tabs>
        <w:numPr>
          <w:ilvl w:val="1"/>
          <w:numId w:val="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980" w:right="540" w:hanging="486"/>
        <w:spacing w:after="0" w:line="277"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/s/ JOHN P. JORDAN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250317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John P. Jordan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7" w:name="page38"/>
    <w:bookmarkEnd w:id="37"/>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1350 Certification of the Chief Executive Officer</w:t>
      </w:r>
    </w:p>
    <w:p>
      <w:pPr>
        <w:spacing w:after="0" w:line="23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I, Peter S. Kirlin, Chief Executive Officer of Photronics, Inc. (the “Company”), certify, to my knowledge, pursuant to Section 906 of the Sarbanes-Oxley Act of 2002, 18 U.S.C. Section 1350, that:</w:t>
      </w:r>
    </w:p>
    <w:p>
      <w:pPr>
        <w:spacing w:after="0" w:line="209" w:lineRule="exact"/>
        <w:rPr>
          <w:sz w:val="20"/>
          <w:szCs w:val="20"/>
          <w:color w:val="auto"/>
        </w:rPr>
      </w:pPr>
    </w:p>
    <w:p>
      <w:pPr>
        <w:ind w:left="500" w:right="440" w:hanging="492"/>
        <w:spacing w:after="0" w:line="277"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May 3, 2020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500" w:hanging="492"/>
        <w:spacing w:after="0"/>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8" w:lineRule="exact"/>
        <w:rPr>
          <w:sz w:val="20"/>
          <w:szCs w:val="20"/>
          <w:color w:val="auto"/>
        </w:rPr>
      </w:pPr>
    </w:p>
    <w:p>
      <w:pPr>
        <w:ind w:right="260"/>
        <w:spacing w:after="0" w:line="238" w:lineRule="auto"/>
        <w:rPr>
          <w:sz w:val="20"/>
          <w:szCs w:val="20"/>
          <w:color w:val="auto"/>
        </w:rPr>
      </w:pPr>
      <w:r>
        <w:rPr>
          <w:rFonts w:ascii="Arial" w:cs="Arial" w:eastAsia="Arial" w:hAnsi="Arial"/>
          <w:sz w:val="22"/>
          <w:szCs w:val="22"/>
          <w:color w:val="auto"/>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PETER S. KIRLIN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250317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Peter S. Kirlin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74" w:right="359" w:bottom="1440" w:gutter="0" w:footer="0" w:header="0"/>
        </w:sectPr>
      </w:pPr>
    </w:p>
    <w:bookmarkStart w:id="38" w:name="page39"/>
    <w:bookmarkEnd w:id="38"/>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1350 Certification of the Chief Financial Officer</w:t>
      </w:r>
    </w:p>
    <w:p>
      <w:pPr>
        <w:spacing w:after="0" w:line="23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I, John P. Jordan, Chief Financial Officer of Photronics, Inc. (the “Company”), certify, to my knowledge, pursuant to Section 906 of the Sarbanes-Oxley Act of 2002, 18 U.S.C. Section 1350, that:</w:t>
      </w:r>
    </w:p>
    <w:p>
      <w:pPr>
        <w:spacing w:after="0" w:line="209" w:lineRule="exact"/>
        <w:rPr>
          <w:sz w:val="20"/>
          <w:szCs w:val="20"/>
          <w:color w:val="auto"/>
        </w:rPr>
      </w:pPr>
    </w:p>
    <w:p>
      <w:pPr>
        <w:ind w:left="500" w:right="380" w:hanging="492"/>
        <w:spacing w:after="0" w:line="277"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May 3, 2020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500" w:hanging="492"/>
        <w:spacing w:after="0"/>
        <w:tabs>
          <w:tab w:leader="none" w:pos="5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8" w:lineRule="exact"/>
        <w:rPr>
          <w:sz w:val="20"/>
          <w:szCs w:val="20"/>
          <w:color w:val="auto"/>
        </w:rPr>
      </w:pPr>
    </w:p>
    <w:p>
      <w:pPr>
        <w:ind w:right="200"/>
        <w:spacing w:after="0" w:line="238" w:lineRule="auto"/>
        <w:rPr>
          <w:sz w:val="20"/>
          <w:szCs w:val="20"/>
          <w:color w:val="auto"/>
        </w:rPr>
      </w:pPr>
      <w:r>
        <w:rPr>
          <w:rFonts w:ascii="Arial" w:cs="Arial" w:eastAsia="Arial" w:hAnsi="Arial"/>
          <w:sz w:val="22"/>
          <w:szCs w:val="22"/>
          <w:color w:val="auto"/>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JOHN P. JORDAN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250317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John P. Jordan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60"/>
      </w:cols>
      <w:pgMar w:left="320" w:top="27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lvl w:ilvl="1">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2020-06-12T15:46:39Z</dcterms:created>
  <dcterms:modified xsi:type="dcterms:W3CDTF">2020-06-12T15:46:39Z</dcterms:modified>
</cp:coreProperties>
</file>