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532" w:rsidRDefault="00187DCB">
      <w:pPr>
        <w:jc w:val="center"/>
        <w:rPr>
          <w:sz w:val="20"/>
          <w:szCs w:val="20"/>
        </w:rPr>
      </w:pPr>
      <w:bookmarkStart w:id="0" w:name="page1"/>
      <w:bookmarkStart w:id="1" w:name="_GoBack"/>
      <w:bookmarkEnd w:id="0"/>
      <w:bookmarkEnd w:id="1"/>
      <w:r>
        <w:rPr>
          <w:rFonts w:eastAsia="Times New Roman"/>
          <w:b/>
          <w:bCs/>
          <w:noProof/>
          <w:sz w:val="25"/>
          <w:szCs w:val="25"/>
        </w:rPr>
        <w:drawing>
          <wp:anchor distT="0" distB="0" distL="114300" distR="114300" simplePos="0" relativeHeight="251652608" behindDoc="1" locked="0" layoutInCell="0" allowOverlap="1">
            <wp:simplePos x="0" y="0"/>
            <wp:positionH relativeFrom="page">
              <wp:posOffset>208280</wp:posOffset>
            </wp:positionH>
            <wp:positionV relativeFrom="page">
              <wp:posOffset>157480</wp:posOffset>
            </wp:positionV>
            <wp:extent cx="7132320" cy="342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7132320" cy="34290"/>
                    </a:xfrm>
                    <a:prstGeom prst="rect">
                      <a:avLst/>
                    </a:prstGeom>
                    <a:noFill/>
                  </pic:spPr>
                </pic:pic>
              </a:graphicData>
            </a:graphic>
          </wp:anchor>
        </w:drawing>
      </w:r>
      <w:r>
        <w:rPr>
          <w:rFonts w:eastAsia="Times New Roman"/>
          <w:b/>
          <w:bCs/>
          <w:noProof/>
          <w:sz w:val="25"/>
          <w:szCs w:val="25"/>
        </w:rPr>
        <w:drawing>
          <wp:anchor distT="0" distB="0" distL="114300" distR="114300" simplePos="0" relativeHeight="251653632" behindDoc="1" locked="0" layoutInCell="0" allowOverlap="1">
            <wp:simplePos x="0" y="0"/>
            <wp:positionH relativeFrom="page">
              <wp:posOffset>208280</wp:posOffset>
            </wp:positionH>
            <wp:positionV relativeFrom="page">
              <wp:posOffset>277495</wp:posOffset>
            </wp:positionV>
            <wp:extent cx="7132320" cy="8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7132320" cy="8890"/>
                    </a:xfrm>
                    <a:prstGeom prst="rect">
                      <a:avLst/>
                    </a:prstGeom>
                    <a:noFill/>
                  </pic:spPr>
                </pic:pic>
              </a:graphicData>
            </a:graphic>
          </wp:anchor>
        </w:drawing>
      </w:r>
      <w:r>
        <w:rPr>
          <w:rFonts w:eastAsia="Times New Roman"/>
          <w:b/>
          <w:bCs/>
          <w:sz w:val="25"/>
          <w:szCs w:val="25"/>
        </w:rPr>
        <w:t>UNITED STATES</w:t>
      </w:r>
    </w:p>
    <w:p w:rsidR="00B33532" w:rsidRDefault="00B33532">
      <w:pPr>
        <w:spacing w:line="44" w:lineRule="exact"/>
        <w:rPr>
          <w:sz w:val="24"/>
          <w:szCs w:val="24"/>
        </w:rPr>
      </w:pPr>
    </w:p>
    <w:p w:rsidR="00B33532" w:rsidRDefault="00187DCB">
      <w:pPr>
        <w:jc w:val="center"/>
        <w:rPr>
          <w:sz w:val="20"/>
          <w:szCs w:val="20"/>
        </w:rPr>
      </w:pPr>
      <w:r>
        <w:rPr>
          <w:rFonts w:eastAsia="Times New Roman"/>
          <w:b/>
          <w:bCs/>
          <w:sz w:val="25"/>
          <w:szCs w:val="25"/>
        </w:rPr>
        <w:t>SECURITIES AND EXCHANGE COMMISSION</w:t>
      </w:r>
    </w:p>
    <w:p w:rsidR="00B33532" w:rsidRDefault="00B33532">
      <w:pPr>
        <w:spacing w:line="1" w:lineRule="exact"/>
        <w:rPr>
          <w:sz w:val="24"/>
          <w:szCs w:val="24"/>
        </w:rPr>
      </w:pPr>
    </w:p>
    <w:p w:rsidR="00B33532" w:rsidRDefault="00187DCB">
      <w:pPr>
        <w:jc w:val="center"/>
        <w:rPr>
          <w:sz w:val="20"/>
          <w:szCs w:val="20"/>
        </w:rPr>
      </w:pPr>
      <w:r>
        <w:rPr>
          <w:rFonts w:eastAsia="Times New Roman"/>
          <w:b/>
          <w:bCs/>
        </w:rPr>
        <w:t>Washington, D.C. 20549</w:t>
      </w:r>
    </w:p>
    <w:p w:rsidR="00B33532" w:rsidRDefault="00B33532">
      <w:pPr>
        <w:spacing w:line="189" w:lineRule="exact"/>
        <w:rPr>
          <w:sz w:val="24"/>
          <w:szCs w:val="24"/>
        </w:rPr>
      </w:pPr>
    </w:p>
    <w:p w:rsidR="00B33532" w:rsidRDefault="00187DCB">
      <w:pPr>
        <w:jc w:val="center"/>
        <w:rPr>
          <w:sz w:val="20"/>
          <w:szCs w:val="20"/>
        </w:rPr>
      </w:pPr>
      <w:r>
        <w:rPr>
          <w:rFonts w:eastAsia="Times New Roman"/>
          <w:b/>
          <w:bCs/>
          <w:sz w:val="32"/>
          <w:szCs w:val="32"/>
        </w:rPr>
        <w:t>FORM 8-K</w:t>
      </w:r>
    </w:p>
    <w:p w:rsidR="00B33532" w:rsidRDefault="00B33532">
      <w:pPr>
        <w:spacing w:line="264" w:lineRule="exact"/>
        <w:rPr>
          <w:sz w:val="24"/>
          <w:szCs w:val="24"/>
        </w:rPr>
      </w:pPr>
    </w:p>
    <w:p w:rsidR="00B33532" w:rsidRDefault="00187DCB">
      <w:pPr>
        <w:jc w:val="center"/>
        <w:rPr>
          <w:sz w:val="20"/>
          <w:szCs w:val="20"/>
        </w:rPr>
      </w:pPr>
      <w:r>
        <w:rPr>
          <w:rFonts w:eastAsia="Times New Roman"/>
          <w:b/>
          <w:bCs/>
          <w:sz w:val="18"/>
          <w:szCs w:val="18"/>
        </w:rPr>
        <w:t>CURRENT REPORT</w:t>
      </w:r>
    </w:p>
    <w:p w:rsidR="00B33532" w:rsidRDefault="00187DCB">
      <w:pPr>
        <w:spacing w:line="20" w:lineRule="exact"/>
        <w:rPr>
          <w:sz w:val="24"/>
          <w:szCs w:val="24"/>
        </w:rPr>
      </w:pPr>
      <w:r>
        <w:rPr>
          <w:noProof/>
          <w:sz w:val="24"/>
          <w:szCs w:val="24"/>
        </w:rPr>
        <w:drawing>
          <wp:anchor distT="0" distB="0" distL="114300" distR="114300" simplePos="0" relativeHeight="251654656" behindDoc="1" locked="0" layoutInCell="0" allowOverlap="1">
            <wp:simplePos x="0" y="0"/>
            <wp:positionH relativeFrom="column">
              <wp:posOffset>3150870</wp:posOffset>
            </wp:positionH>
            <wp:positionV relativeFrom="paragraph">
              <wp:posOffset>173990</wp:posOffset>
            </wp:positionV>
            <wp:extent cx="848360" cy="925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848360" cy="925830"/>
                    </a:xfrm>
                    <a:prstGeom prst="rect">
                      <a:avLst/>
                    </a:prstGeom>
                    <a:noFill/>
                  </pic:spPr>
                </pic:pic>
              </a:graphicData>
            </a:graphic>
          </wp:anchor>
        </w:drawing>
      </w:r>
    </w:p>
    <w:p w:rsidR="00B33532" w:rsidRDefault="00B33532">
      <w:pPr>
        <w:spacing w:line="200" w:lineRule="exact"/>
        <w:rPr>
          <w:sz w:val="24"/>
          <w:szCs w:val="24"/>
        </w:rPr>
      </w:pPr>
    </w:p>
    <w:p w:rsidR="00B33532" w:rsidRDefault="00B33532">
      <w:pPr>
        <w:spacing w:line="200" w:lineRule="exact"/>
        <w:rPr>
          <w:sz w:val="24"/>
          <w:szCs w:val="24"/>
        </w:rPr>
      </w:pPr>
    </w:p>
    <w:p w:rsidR="00B33532" w:rsidRDefault="00B33532">
      <w:pPr>
        <w:spacing w:line="200" w:lineRule="exact"/>
        <w:rPr>
          <w:sz w:val="24"/>
          <w:szCs w:val="24"/>
        </w:rPr>
      </w:pPr>
    </w:p>
    <w:p w:rsidR="00B33532" w:rsidRDefault="00B33532">
      <w:pPr>
        <w:spacing w:line="200" w:lineRule="exact"/>
        <w:rPr>
          <w:sz w:val="24"/>
          <w:szCs w:val="24"/>
        </w:rPr>
      </w:pPr>
    </w:p>
    <w:p w:rsidR="00B33532" w:rsidRDefault="00B33532">
      <w:pPr>
        <w:spacing w:line="200" w:lineRule="exact"/>
        <w:rPr>
          <w:sz w:val="24"/>
          <w:szCs w:val="24"/>
        </w:rPr>
      </w:pPr>
    </w:p>
    <w:p w:rsidR="00B33532" w:rsidRDefault="00B33532">
      <w:pPr>
        <w:spacing w:line="200" w:lineRule="exact"/>
        <w:rPr>
          <w:sz w:val="24"/>
          <w:szCs w:val="24"/>
        </w:rPr>
      </w:pPr>
    </w:p>
    <w:p w:rsidR="00B33532" w:rsidRDefault="00B33532">
      <w:pPr>
        <w:spacing w:line="200" w:lineRule="exact"/>
        <w:rPr>
          <w:sz w:val="24"/>
          <w:szCs w:val="24"/>
        </w:rPr>
      </w:pPr>
    </w:p>
    <w:p w:rsidR="00B33532" w:rsidRDefault="00B33532">
      <w:pPr>
        <w:spacing w:line="290" w:lineRule="exact"/>
        <w:rPr>
          <w:sz w:val="24"/>
          <w:szCs w:val="24"/>
        </w:rPr>
      </w:pPr>
    </w:p>
    <w:p w:rsidR="00B33532" w:rsidRDefault="00187DCB">
      <w:pPr>
        <w:ind w:left="2840"/>
        <w:rPr>
          <w:sz w:val="20"/>
          <w:szCs w:val="20"/>
        </w:rPr>
      </w:pPr>
      <w:r>
        <w:rPr>
          <w:rFonts w:eastAsia="Times New Roman"/>
          <w:b/>
          <w:bCs/>
          <w:sz w:val="18"/>
          <w:szCs w:val="18"/>
        </w:rPr>
        <w:t>Pursuant To Section 13 Or 15(d) Of The Securities Exchange Act Of 1934</w:t>
      </w:r>
    </w:p>
    <w:p w:rsidR="00B33532" w:rsidRDefault="00B33532">
      <w:pPr>
        <w:spacing w:line="252" w:lineRule="exact"/>
        <w:rPr>
          <w:sz w:val="24"/>
          <w:szCs w:val="24"/>
        </w:rPr>
      </w:pPr>
    </w:p>
    <w:p w:rsidR="00B33532" w:rsidRDefault="00187DCB">
      <w:pPr>
        <w:tabs>
          <w:tab w:val="left" w:pos="3980"/>
        </w:tabs>
        <w:rPr>
          <w:sz w:val="20"/>
          <w:szCs w:val="20"/>
        </w:rPr>
      </w:pPr>
      <w:r>
        <w:rPr>
          <w:rFonts w:eastAsia="Times New Roman"/>
          <w:sz w:val="18"/>
          <w:szCs w:val="18"/>
        </w:rPr>
        <w:t>Date of report (Date of earliest event reported)</w:t>
      </w:r>
      <w:r>
        <w:rPr>
          <w:sz w:val="20"/>
          <w:szCs w:val="20"/>
        </w:rPr>
        <w:tab/>
      </w:r>
      <w:r>
        <w:rPr>
          <w:rFonts w:eastAsia="Times New Roman"/>
          <w:b/>
          <w:bCs/>
          <w:sz w:val="17"/>
          <w:szCs w:val="17"/>
        </w:rPr>
        <w:t>September 14, 2020</w:t>
      </w:r>
    </w:p>
    <w:p w:rsidR="00B33532" w:rsidRDefault="00187DCB">
      <w:pPr>
        <w:spacing w:line="20" w:lineRule="exact"/>
        <w:rPr>
          <w:sz w:val="24"/>
          <w:szCs w:val="24"/>
        </w:rPr>
      </w:pPr>
      <w:r>
        <w:rPr>
          <w:noProof/>
          <w:sz w:val="24"/>
          <w:szCs w:val="24"/>
        </w:rPr>
        <w:drawing>
          <wp:anchor distT="0" distB="0" distL="114300" distR="114300" simplePos="0" relativeHeight="251655680" behindDoc="1" locked="0" layoutInCell="0" allowOverlap="1">
            <wp:simplePos x="0" y="0"/>
            <wp:positionH relativeFrom="column">
              <wp:posOffset>2465070</wp:posOffset>
            </wp:positionH>
            <wp:positionV relativeFrom="paragraph">
              <wp:posOffset>19685</wp:posOffset>
            </wp:positionV>
            <wp:extent cx="1106170" cy="171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blip>
                    <a:srcRect/>
                    <a:stretch>
                      <a:fillRect/>
                    </a:stretch>
                  </pic:blipFill>
                  <pic:spPr bwMode="auto">
                    <a:xfrm>
                      <a:off x="0" y="0"/>
                      <a:ext cx="1106170" cy="17145"/>
                    </a:xfrm>
                    <a:prstGeom prst="rect">
                      <a:avLst/>
                    </a:prstGeom>
                    <a:noFill/>
                  </pic:spPr>
                </pic:pic>
              </a:graphicData>
            </a:graphic>
          </wp:anchor>
        </w:drawing>
      </w:r>
    </w:p>
    <w:p w:rsidR="00B33532" w:rsidRDefault="00B33532">
      <w:pPr>
        <w:spacing w:line="230" w:lineRule="exact"/>
        <w:rPr>
          <w:sz w:val="24"/>
          <w:szCs w:val="24"/>
        </w:rPr>
      </w:pPr>
    </w:p>
    <w:p w:rsidR="00B33532" w:rsidRDefault="00187DCB">
      <w:pPr>
        <w:jc w:val="center"/>
        <w:rPr>
          <w:sz w:val="20"/>
          <w:szCs w:val="20"/>
        </w:rPr>
      </w:pPr>
      <w:r>
        <w:rPr>
          <w:rFonts w:eastAsia="Times New Roman"/>
          <w:b/>
          <w:bCs/>
          <w:sz w:val="43"/>
          <w:szCs w:val="43"/>
        </w:rPr>
        <w:t>PHOTRONICS, INC.</w:t>
      </w:r>
    </w:p>
    <w:p w:rsidR="00B33532" w:rsidRDefault="00B33532">
      <w:pPr>
        <w:spacing w:line="58" w:lineRule="exact"/>
        <w:rPr>
          <w:sz w:val="24"/>
          <w:szCs w:val="24"/>
        </w:rPr>
      </w:pPr>
    </w:p>
    <w:p w:rsidR="00B33532" w:rsidRDefault="00187DCB">
      <w:pPr>
        <w:jc w:val="center"/>
        <w:rPr>
          <w:sz w:val="20"/>
          <w:szCs w:val="20"/>
        </w:rPr>
      </w:pPr>
      <w:r>
        <w:rPr>
          <w:rFonts w:eastAsia="Times New Roman"/>
          <w:sz w:val="18"/>
          <w:szCs w:val="18"/>
        </w:rPr>
        <w:t>(Exact name of registrant as specified in its charter)</w:t>
      </w:r>
    </w:p>
    <w:p w:rsidR="00B33532" w:rsidRDefault="00B33532">
      <w:pPr>
        <w:spacing w:line="219"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1420"/>
        <w:gridCol w:w="160"/>
        <w:gridCol w:w="760"/>
        <w:gridCol w:w="1600"/>
        <w:gridCol w:w="500"/>
        <w:gridCol w:w="920"/>
        <w:gridCol w:w="600"/>
        <w:gridCol w:w="1420"/>
        <w:gridCol w:w="880"/>
        <w:gridCol w:w="460"/>
        <w:gridCol w:w="240"/>
        <w:gridCol w:w="880"/>
        <w:gridCol w:w="280"/>
        <w:gridCol w:w="1120"/>
      </w:tblGrid>
      <w:tr w:rsidR="00B33532">
        <w:trPr>
          <w:trHeight w:val="207"/>
        </w:trPr>
        <w:tc>
          <w:tcPr>
            <w:tcW w:w="4440" w:type="dxa"/>
            <w:gridSpan w:val="5"/>
            <w:vAlign w:val="bottom"/>
          </w:tcPr>
          <w:p w:rsidR="00B33532" w:rsidRDefault="00187DCB">
            <w:pPr>
              <w:ind w:right="680"/>
              <w:jc w:val="center"/>
              <w:rPr>
                <w:sz w:val="20"/>
                <w:szCs w:val="20"/>
              </w:rPr>
            </w:pPr>
            <w:r>
              <w:rPr>
                <w:rFonts w:eastAsia="Times New Roman"/>
                <w:b/>
                <w:bCs/>
                <w:w w:val="98"/>
                <w:sz w:val="18"/>
                <w:szCs w:val="18"/>
              </w:rPr>
              <w:t>Connecticut</w:t>
            </w:r>
          </w:p>
        </w:tc>
        <w:tc>
          <w:tcPr>
            <w:tcW w:w="1520" w:type="dxa"/>
            <w:gridSpan w:val="2"/>
            <w:vAlign w:val="bottom"/>
          </w:tcPr>
          <w:p w:rsidR="00B33532" w:rsidRDefault="00187DCB">
            <w:pPr>
              <w:jc w:val="right"/>
              <w:rPr>
                <w:sz w:val="20"/>
                <w:szCs w:val="20"/>
              </w:rPr>
            </w:pPr>
            <w:r>
              <w:rPr>
                <w:rFonts w:eastAsia="Times New Roman"/>
                <w:b/>
                <w:bCs/>
                <w:sz w:val="18"/>
                <w:szCs w:val="18"/>
              </w:rPr>
              <w:t>0-15451</w:t>
            </w:r>
          </w:p>
        </w:tc>
        <w:tc>
          <w:tcPr>
            <w:tcW w:w="1420" w:type="dxa"/>
            <w:vAlign w:val="bottom"/>
          </w:tcPr>
          <w:p w:rsidR="00B33532" w:rsidRDefault="00B33532">
            <w:pPr>
              <w:rPr>
                <w:sz w:val="17"/>
                <w:szCs w:val="17"/>
              </w:rPr>
            </w:pPr>
          </w:p>
        </w:tc>
        <w:tc>
          <w:tcPr>
            <w:tcW w:w="2740" w:type="dxa"/>
            <w:gridSpan w:val="5"/>
            <w:vAlign w:val="bottom"/>
          </w:tcPr>
          <w:p w:rsidR="00B33532" w:rsidRDefault="00187DCB">
            <w:pPr>
              <w:ind w:right="280"/>
              <w:jc w:val="right"/>
              <w:rPr>
                <w:sz w:val="20"/>
                <w:szCs w:val="20"/>
              </w:rPr>
            </w:pPr>
            <w:r>
              <w:rPr>
                <w:rFonts w:eastAsia="Times New Roman"/>
                <w:b/>
                <w:bCs/>
                <w:sz w:val="18"/>
                <w:szCs w:val="18"/>
              </w:rPr>
              <w:t>06-0854886</w:t>
            </w:r>
          </w:p>
        </w:tc>
        <w:tc>
          <w:tcPr>
            <w:tcW w:w="1120" w:type="dxa"/>
            <w:vAlign w:val="bottom"/>
          </w:tcPr>
          <w:p w:rsidR="00B33532" w:rsidRDefault="00B33532">
            <w:pPr>
              <w:rPr>
                <w:sz w:val="17"/>
                <w:szCs w:val="17"/>
              </w:rPr>
            </w:pPr>
          </w:p>
        </w:tc>
      </w:tr>
      <w:tr w:rsidR="00B33532">
        <w:trPr>
          <w:trHeight w:val="20"/>
        </w:trPr>
        <w:tc>
          <w:tcPr>
            <w:tcW w:w="1420" w:type="dxa"/>
            <w:vAlign w:val="bottom"/>
          </w:tcPr>
          <w:p w:rsidR="00B33532" w:rsidRDefault="00B33532">
            <w:pPr>
              <w:spacing w:line="20" w:lineRule="exact"/>
              <w:rPr>
                <w:sz w:val="1"/>
                <w:szCs w:val="1"/>
              </w:rPr>
            </w:pPr>
          </w:p>
        </w:tc>
        <w:tc>
          <w:tcPr>
            <w:tcW w:w="160" w:type="dxa"/>
            <w:shd w:val="clear" w:color="auto" w:fill="000000"/>
            <w:vAlign w:val="bottom"/>
          </w:tcPr>
          <w:p w:rsidR="00B33532" w:rsidRDefault="00B33532">
            <w:pPr>
              <w:spacing w:line="20" w:lineRule="exact"/>
              <w:rPr>
                <w:sz w:val="1"/>
                <w:szCs w:val="1"/>
              </w:rPr>
            </w:pPr>
          </w:p>
        </w:tc>
        <w:tc>
          <w:tcPr>
            <w:tcW w:w="760" w:type="dxa"/>
            <w:shd w:val="clear" w:color="auto" w:fill="000000"/>
            <w:vAlign w:val="bottom"/>
          </w:tcPr>
          <w:p w:rsidR="00B33532" w:rsidRDefault="00B33532">
            <w:pPr>
              <w:spacing w:line="20" w:lineRule="exact"/>
              <w:rPr>
                <w:sz w:val="1"/>
                <w:szCs w:val="1"/>
              </w:rPr>
            </w:pPr>
          </w:p>
        </w:tc>
        <w:tc>
          <w:tcPr>
            <w:tcW w:w="1600" w:type="dxa"/>
            <w:vAlign w:val="bottom"/>
          </w:tcPr>
          <w:p w:rsidR="00B33532" w:rsidRDefault="00B33532">
            <w:pPr>
              <w:spacing w:line="20" w:lineRule="exact"/>
              <w:rPr>
                <w:sz w:val="1"/>
                <w:szCs w:val="1"/>
              </w:rPr>
            </w:pPr>
          </w:p>
        </w:tc>
        <w:tc>
          <w:tcPr>
            <w:tcW w:w="500" w:type="dxa"/>
            <w:vAlign w:val="bottom"/>
          </w:tcPr>
          <w:p w:rsidR="00B33532" w:rsidRDefault="00B33532">
            <w:pPr>
              <w:spacing w:line="20" w:lineRule="exact"/>
              <w:rPr>
                <w:sz w:val="1"/>
                <w:szCs w:val="1"/>
              </w:rPr>
            </w:pPr>
          </w:p>
        </w:tc>
        <w:tc>
          <w:tcPr>
            <w:tcW w:w="920" w:type="dxa"/>
            <w:vAlign w:val="bottom"/>
          </w:tcPr>
          <w:p w:rsidR="00B33532" w:rsidRDefault="00B33532">
            <w:pPr>
              <w:spacing w:line="20" w:lineRule="exact"/>
              <w:rPr>
                <w:sz w:val="1"/>
                <w:szCs w:val="1"/>
              </w:rPr>
            </w:pPr>
          </w:p>
        </w:tc>
        <w:tc>
          <w:tcPr>
            <w:tcW w:w="600" w:type="dxa"/>
            <w:shd w:val="clear" w:color="auto" w:fill="000000"/>
            <w:vAlign w:val="bottom"/>
          </w:tcPr>
          <w:p w:rsidR="00B33532" w:rsidRDefault="00B33532">
            <w:pPr>
              <w:spacing w:line="20" w:lineRule="exact"/>
              <w:rPr>
                <w:sz w:val="1"/>
                <w:szCs w:val="1"/>
              </w:rPr>
            </w:pPr>
          </w:p>
        </w:tc>
        <w:tc>
          <w:tcPr>
            <w:tcW w:w="1420" w:type="dxa"/>
            <w:vAlign w:val="bottom"/>
          </w:tcPr>
          <w:p w:rsidR="00B33532" w:rsidRDefault="00B33532">
            <w:pPr>
              <w:spacing w:line="20" w:lineRule="exact"/>
              <w:rPr>
                <w:sz w:val="1"/>
                <w:szCs w:val="1"/>
              </w:rPr>
            </w:pPr>
          </w:p>
        </w:tc>
        <w:tc>
          <w:tcPr>
            <w:tcW w:w="880" w:type="dxa"/>
            <w:vAlign w:val="bottom"/>
          </w:tcPr>
          <w:p w:rsidR="00B33532" w:rsidRDefault="00B33532">
            <w:pPr>
              <w:spacing w:line="20" w:lineRule="exact"/>
              <w:rPr>
                <w:sz w:val="1"/>
                <w:szCs w:val="1"/>
              </w:rPr>
            </w:pPr>
          </w:p>
        </w:tc>
        <w:tc>
          <w:tcPr>
            <w:tcW w:w="460" w:type="dxa"/>
            <w:vAlign w:val="bottom"/>
          </w:tcPr>
          <w:p w:rsidR="00B33532" w:rsidRDefault="00B33532">
            <w:pPr>
              <w:spacing w:line="20" w:lineRule="exact"/>
              <w:rPr>
                <w:sz w:val="1"/>
                <w:szCs w:val="1"/>
              </w:rPr>
            </w:pPr>
          </w:p>
        </w:tc>
        <w:tc>
          <w:tcPr>
            <w:tcW w:w="240" w:type="dxa"/>
            <w:vAlign w:val="bottom"/>
          </w:tcPr>
          <w:p w:rsidR="00B33532" w:rsidRDefault="00B33532">
            <w:pPr>
              <w:spacing w:line="20" w:lineRule="exact"/>
              <w:rPr>
                <w:sz w:val="1"/>
                <w:szCs w:val="1"/>
              </w:rPr>
            </w:pPr>
          </w:p>
        </w:tc>
        <w:tc>
          <w:tcPr>
            <w:tcW w:w="880" w:type="dxa"/>
            <w:shd w:val="clear" w:color="auto" w:fill="000000"/>
            <w:vAlign w:val="bottom"/>
          </w:tcPr>
          <w:p w:rsidR="00B33532" w:rsidRDefault="00B33532">
            <w:pPr>
              <w:spacing w:line="20" w:lineRule="exact"/>
              <w:rPr>
                <w:sz w:val="1"/>
                <w:szCs w:val="1"/>
              </w:rPr>
            </w:pPr>
          </w:p>
        </w:tc>
        <w:tc>
          <w:tcPr>
            <w:tcW w:w="280" w:type="dxa"/>
            <w:vAlign w:val="bottom"/>
          </w:tcPr>
          <w:p w:rsidR="00B33532" w:rsidRDefault="00B33532">
            <w:pPr>
              <w:spacing w:line="20" w:lineRule="exact"/>
              <w:rPr>
                <w:sz w:val="1"/>
                <w:szCs w:val="1"/>
              </w:rPr>
            </w:pPr>
          </w:p>
        </w:tc>
        <w:tc>
          <w:tcPr>
            <w:tcW w:w="1120" w:type="dxa"/>
            <w:vAlign w:val="bottom"/>
          </w:tcPr>
          <w:p w:rsidR="00B33532" w:rsidRDefault="00B33532">
            <w:pPr>
              <w:spacing w:line="20" w:lineRule="exact"/>
              <w:rPr>
                <w:sz w:val="1"/>
                <w:szCs w:val="1"/>
              </w:rPr>
            </w:pPr>
          </w:p>
        </w:tc>
      </w:tr>
      <w:tr w:rsidR="00B33532">
        <w:trPr>
          <w:trHeight w:val="216"/>
        </w:trPr>
        <w:tc>
          <w:tcPr>
            <w:tcW w:w="4440" w:type="dxa"/>
            <w:gridSpan w:val="5"/>
            <w:vAlign w:val="bottom"/>
          </w:tcPr>
          <w:p w:rsidR="00B33532" w:rsidRDefault="00187DCB">
            <w:pPr>
              <w:ind w:right="680"/>
              <w:jc w:val="center"/>
              <w:rPr>
                <w:sz w:val="20"/>
                <w:szCs w:val="20"/>
              </w:rPr>
            </w:pPr>
            <w:r>
              <w:rPr>
                <w:rFonts w:eastAsia="Times New Roman"/>
                <w:w w:val="99"/>
                <w:sz w:val="18"/>
                <w:szCs w:val="18"/>
              </w:rPr>
              <w:t>(</w:t>
            </w:r>
            <w:r>
              <w:rPr>
                <w:rFonts w:eastAsia="Times New Roman"/>
                <w:i/>
                <w:iCs/>
                <w:w w:val="99"/>
                <w:sz w:val="18"/>
                <w:szCs w:val="18"/>
              </w:rPr>
              <w:t>State or Other Jurisdiction of)</w:t>
            </w:r>
          </w:p>
        </w:tc>
        <w:tc>
          <w:tcPr>
            <w:tcW w:w="2940" w:type="dxa"/>
            <w:gridSpan w:val="3"/>
            <w:vAlign w:val="bottom"/>
          </w:tcPr>
          <w:p w:rsidR="00B33532" w:rsidRDefault="00187DCB">
            <w:pPr>
              <w:ind w:right="500"/>
              <w:jc w:val="center"/>
              <w:rPr>
                <w:sz w:val="20"/>
                <w:szCs w:val="20"/>
              </w:rPr>
            </w:pPr>
            <w:r>
              <w:rPr>
                <w:rFonts w:eastAsia="Times New Roman"/>
                <w:i/>
                <w:iCs/>
                <w:w w:val="99"/>
                <w:sz w:val="18"/>
                <w:szCs w:val="18"/>
              </w:rPr>
              <w:t>(Commission File Number)</w:t>
            </w:r>
          </w:p>
        </w:tc>
        <w:tc>
          <w:tcPr>
            <w:tcW w:w="3860" w:type="dxa"/>
            <w:gridSpan w:val="6"/>
            <w:vAlign w:val="bottom"/>
          </w:tcPr>
          <w:p w:rsidR="00B33532" w:rsidRDefault="00187DCB">
            <w:pPr>
              <w:ind w:left="90"/>
              <w:jc w:val="center"/>
              <w:rPr>
                <w:sz w:val="20"/>
                <w:szCs w:val="20"/>
              </w:rPr>
            </w:pPr>
            <w:r>
              <w:rPr>
                <w:rFonts w:eastAsia="Times New Roman"/>
                <w:i/>
                <w:iCs/>
                <w:w w:val="99"/>
                <w:sz w:val="18"/>
                <w:szCs w:val="18"/>
              </w:rPr>
              <w:t>(IRS Employer Identification No.)</w:t>
            </w:r>
          </w:p>
        </w:tc>
      </w:tr>
      <w:tr w:rsidR="00B33532">
        <w:trPr>
          <w:trHeight w:val="236"/>
        </w:trPr>
        <w:tc>
          <w:tcPr>
            <w:tcW w:w="4440" w:type="dxa"/>
            <w:gridSpan w:val="5"/>
            <w:vAlign w:val="bottom"/>
          </w:tcPr>
          <w:p w:rsidR="00B33532" w:rsidRDefault="00187DCB">
            <w:pPr>
              <w:ind w:right="680"/>
              <w:jc w:val="center"/>
              <w:rPr>
                <w:sz w:val="20"/>
                <w:szCs w:val="20"/>
              </w:rPr>
            </w:pPr>
            <w:r>
              <w:rPr>
                <w:rFonts w:eastAsia="Times New Roman"/>
                <w:i/>
                <w:iCs/>
                <w:w w:val="98"/>
                <w:sz w:val="18"/>
                <w:szCs w:val="18"/>
              </w:rPr>
              <w:t>Incorporation</w:t>
            </w:r>
          </w:p>
        </w:tc>
        <w:tc>
          <w:tcPr>
            <w:tcW w:w="920" w:type="dxa"/>
            <w:vAlign w:val="bottom"/>
          </w:tcPr>
          <w:p w:rsidR="00B33532" w:rsidRDefault="00B33532">
            <w:pPr>
              <w:rPr>
                <w:sz w:val="20"/>
                <w:szCs w:val="20"/>
              </w:rPr>
            </w:pPr>
          </w:p>
        </w:tc>
        <w:tc>
          <w:tcPr>
            <w:tcW w:w="600" w:type="dxa"/>
            <w:vAlign w:val="bottom"/>
          </w:tcPr>
          <w:p w:rsidR="00B33532" w:rsidRDefault="00B33532">
            <w:pPr>
              <w:rPr>
                <w:sz w:val="20"/>
                <w:szCs w:val="20"/>
              </w:rPr>
            </w:pPr>
          </w:p>
        </w:tc>
        <w:tc>
          <w:tcPr>
            <w:tcW w:w="1420" w:type="dxa"/>
            <w:vAlign w:val="bottom"/>
          </w:tcPr>
          <w:p w:rsidR="00B33532" w:rsidRDefault="00B33532">
            <w:pPr>
              <w:rPr>
                <w:sz w:val="20"/>
                <w:szCs w:val="20"/>
              </w:rPr>
            </w:pPr>
          </w:p>
        </w:tc>
        <w:tc>
          <w:tcPr>
            <w:tcW w:w="880" w:type="dxa"/>
            <w:vAlign w:val="bottom"/>
          </w:tcPr>
          <w:p w:rsidR="00B33532" w:rsidRDefault="00B33532">
            <w:pPr>
              <w:rPr>
                <w:sz w:val="20"/>
                <w:szCs w:val="20"/>
              </w:rPr>
            </w:pPr>
          </w:p>
        </w:tc>
        <w:tc>
          <w:tcPr>
            <w:tcW w:w="460" w:type="dxa"/>
            <w:vAlign w:val="bottom"/>
          </w:tcPr>
          <w:p w:rsidR="00B33532" w:rsidRDefault="00B33532">
            <w:pPr>
              <w:rPr>
                <w:sz w:val="20"/>
                <w:szCs w:val="20"/>
              </w:rPr>
            </w:pPr>
          </w:p>
        </w:tc>
        <w:tc>
          <w:tcPr>
            <w:tcW w:w="240" w:type="dxa"/>
            <w:vAlign w:val="bottom"/>
          </w:tcPr>
          <w:p w:rsidR="00B33532" w:rsidRDefault="00B33532">
            <w:pPr>
              <w:rPr>
                <w:sz w:val="20"/>
                <w:szCs w:val="20"/>
              </w:rPr>
            </w:pPr>
          </w:p>
        </w:tc>
        <w:tc>
          <w:tcPr>
            <w:tcW w:w="880" w:type="dxa"/>
            <w:vAlign w:val="bottom"/>
          </w:tcPr>
          <w:p w:rsidR="00B33532" w:rsidRDefault="00B33532">
            <w:pPr>
              <w:rPr>
                <w:sz w:val="20"/>
                <w:szCs w:val="20"/>
              </w:rPr>
            </w:pPr>
          </w:p>
        </w:tc>
        <w:tc>
          <w:tcPr>
            <w:tcW w:w="280" w:type="dxa"/>
            <w:vAlign w:val="bottom"/>
          </w:tcPr>
          <w:p w:rsidR="00B33532" w:rsidRDefault="00B33532">
            <w:pPr>
              <w:rPr>
                <w:sz w:val="20"/>
                <w:szCs w:val="20"/>
              </w:rPr>
            </w:pPr>
          </w:p>
        </w:tc>
        <w:tc>
          <w:tcPr>
            <w:tcW w:w="1120" w:type="dxa"/>
            <w:vAlign w:val="bottom"/>
          </w:tcPr>
          <w:p w:rsidR="00B33532" w:rsidRDefault="00B33532">
            <w:pPr>
              <w:rPr>
                <w:sz w:val="20"/>
                <w:szCs w:val="20"/>
              </w:rPr>
            </w:pPr>
          </w:p>
        </w:tc>
      </w:tr>
      <w:tr w:rsidR="00B33532">
        <w:trPr>
          <w:trHeight w:val="418"/>
        </w:trPr>
        <w:tc>
          <w:tcPr>
            <w:tcW w:w="1420" w:type="dxa"/>
            <w:vAlign w:val="bottom"/>
          </w:tcPr>
          <w:p w:rsidR="00B33532" w:rsidRDefault="00B33532">
            <w:pPr>
              <w:rPr>
                <w:sz w:val="24"/>
                <w:szCs w:val="24"/>
              </w:rPr>
            </w:pPr>
          </w:p>
        </w:tc>
        <w:tc>
          <w:tcPr>
            <w:tcW w:w="160" w:type="dxa"/>
            <w:vAlign w:val="bottom"/>
          </w:tcPr>
          <w:p w:rsidR="00B33532" w:rsidRDefault="00B33532">
            <w:pPr>
              <w:rPr>
                <w:sz w:val="24"/>
                <w:szCs w:val="24"/>
              </w:rPr>
            </w:pPr>
          </w:p>
        </w:tc>
        <w:tc>
          <w:tcPr>
            <w:tcW w:w="2360" w:type="dxa"/>
            <w:gridSpan w:val="2"/>
            <w:tcBorders>
              <w:bottom w:val="single" w:sz="8" w:space="0" w:color="auto"/>
            </w:tcBorders>
            <w:vAlign w:val="bottom"/>
          </w:tcPr>
          <w:p w:rsidR="00B33532" w:rsidRDefault="00187DCB">
            <w:pPr>
              <w:jc w:val="center"/>
              <w:rPr>
                <w:sz w:val="20"/>
                <w:szCs w:val="20"/>
              </w:rPr>
            </w:pPr>
            <w:r>
              <w:rPr>
                <w:rFonts w:eastAsia="Times New Roman"/>
                <w:b/>
                <w:bCs/>
                <w:w w:val="99"/>
                <w:sz w:val="18"/>
                <w:szCs w:val="18"/>
              </w:rPr>
              <w:t xml:space="preserve">15 Secor </w:t>
            </w:r>
            <w:r>
              <w:rPr>
                <w:rFonts w:eastAsia="Times New Roman"/>
                <w:b/>
                <w:bCs/>
                <w:w w:val="99"/>
                <w:sz w:val="18"/>
                <w:szCs w:val="18"/>
              </w:rPr>
              <w:t>Road, Brookfield, CT</w:t>
            </w:r>
          </w:p>
        </w:tc>
        <w:tc>
          <w:tcPr>
            <w:tcW w:w="500" w:type="dxa"/>
            <w:vAlign w:val="bottom"/>
          </w:tcPr>
          <w:p w:rsidR="00B33532" w:rsidRDefault="00B33532">
            <w:pPr>
              <w:rPr>
                <w:sz w:val="24"/>
                <w:szCs w:val="24"/>
              </w:rPr>
            </w:pPr>
          </w:p>
        </w:tc>
        <w:tc>
          <w:tcPr>
            <w:tcW w:w="920" w:type="dxa"/>
            <w:vAlign w:val="bottom"/>
          </w:tcPr>
          <w:p w:rsidR="00B33532" w:rsidRDefault="00B33532">
            <w:pPr>
              <w:rPr>
                <w:sz w:val="24"/>
                <w:szCs w:val="24"/>
              </w:rPr>
            </w:pPr>
          </w:p>
        </w:tc>
        <w:tc>
          <w:tcPr>
            <w:tcW w:w="600" w:type="dxa"/>
            <w:vAlign w:val="bottom"/>
          </w:tcPr>
          <w:p w:rsidR="00B33532" w:rsidRDefault="00B33532">
            <w:pPr>
              <w:rPr>
                <w:sz w:val="24"/>
                <w:szCs w:val="24"/>
              </w:rPr>
            </w:pPr>
          </w:p>
        </w:tc>
        <w:tc>
          <w:tcPr>
            <w:tcW w:w="1420" w:type="dxa"/>
            <w:vAlign w:val="bottom"/>
          </w:tcPr>
          <w:p w:rsidR="00B33532" w:rsidRDefault="00B33532">
            <w:pPr>
              <w:rPr>
                <w:sz w:val="24"/>
                <w:szCs w:val="24"/>
              </w:rPr>
            </w:pPr>
          </w:p>
        </w:tc>
        <w:tc>
          <w:tcPr>
            <w:tcW w:w="880" w:type="dxa"/>
            <w:vAlign w:val="bottom"/>
          </w:tcPr>
          <w:p w:rsidR="00B33532" w:rsidRDefault="00B33532">
            <w:pPr>
              <w:rPr>
                <w:sz w:val="24"/>
                <w:szCs w:val="24"/>
              </w:rPr>
            </w:pPr>
          </w:p>
        </w:tc>
        <w:tc>
          <w:tcPr>
            <w:tcW w:w="460" w:type="dxa"/>
            <w:tcBorders>
              <w:bottom w:val="single" w:sz="8" w:space="0" w:color="auto"/>
            </w:tcBorders>
            <w:vAlign w:val="bottom"/>
          </w:tcPr>
          <w:p w:rsidR="00B33532" w:rsidRDefault="00187DCB">
            <w:pPr>
              <w:jc w:val="right"/>
              <w:rPr>
                <w:sz w:val="20"/>
                <w:szCs w:val="20"/>
              </w:rPr>
            </w:pPr>
            <w:r>
              <w:rPr>
                <w:rFonts w:eastAsia="Times New Roman"/>
                <w:b/>
                <w:bCs/>
                <w:w w:val="97"/>
                <w:sz w:val="18"/>
                <w:szCs w:val="18"/>
              </w:rPr>
              <w:t>06804</w:t>
            </w:r>
          </w:p>
        </w:tc>
        <w:tc>
          <w:tcPr>
            <w:tcW w:w="240" w:type="dxa"/>
            <w:vAlign w:val="bottom"/>
          </w:tcPr>
          <w:p w:rsidR="00B33532" w:rsidRDefault="00B33532">
            <w:pPr>
              <w:rPr>
                <w:sz w:val="24"/>
                <w:szCs w:val="24"/>
              </w:rPr>
            </w:pPr>
          </w:p>
        </w:tc>
        <w:tc>
          <w:tcPr>
            <w:tcW w:w="880" w:type="dxa"/>
            <w:vAlign w:val="bottom"/>
          </w:tcPr>
          <w:p w:rsidR="00B33532" w:rsidRDefault="00B33532">
            <w:pPr>
              <w:rPr>
                <w:sz w:val="24"/>
                <w:szCs w:val="24"/>
              </w:rPr>
            </w:pPr>
          </w:p>
        </w:tc>
        <w:tc>
          <w:tcPr>
            <w:tcW w:w="280" w:type="dxa"/>
            <w:vAlign w:val="bottom"/>
          </w:tcPr>
          <w:p w:rsidR="00B33532" w:rsidRDefault="00B33532">
            <w:pPr>
              <w:rPr>
                <w:sz w:val="24"/>
                <w:szCs w:val="24"/>
              </w:rPr>
            </w:pPr>
          </w:p>
        </w:tc>
        <w:tc>
          <w:tcPr>
            <w:tcW w:w="1120" w:type="dxa"/>
            <w:vAlign w:val="bottom"/>
          </w:tcPr>
          <w:p w:rsidR="00B33532" w:rsidRDefault="00B33532">
            <w:pPr>
              <w:rPr>
                <w:sz w:val="24"/>
                <w:szCs w:val="24"/>
              </w:rPr>
            </w:pPr>
          </w:p>
        </w:tc>
      </w:tr>
      <w:tr w:rsidR="00B33532">
        <w:trPr>
          <w:trHeight w:val="237"/>
        </w:trPr>
        <w:tc>
          <w:tcPr>
            <w:tcW w:w="4440" w:type="dxa"/>
            <w:gridSpan w:val="5"/>
            <w:vAlign w:val="bottom"/>
          </w:tcPr>
          <w:p w:rsidR="00B33532" w:rsidRDefault="00187DCB">
            <w:pPr>
              <w:ind w:left="990"/>
              <w:jc w:val="center"/>
              <w:rPr>
                <w:sz w:val="20"/>
                <w:szCs w:val="20"/>
              </w:rPr>
            </w:pPr>
            <w:r>
              <w:rPr>
                <w:rFonts w:eastAsia="Times New Roman"/>
                <w:w w:val="99"/>
                <w:sz w:val="18"/>
                <w:szCs w:val="18"/>
              </w:rPr>
              <w:t>(Address of principal executive offices)</w:t>
            </w:r>
          </w:p>
        </w:tc>
        <w:tc>
          <w:tcPr>
            <w:tcW w:w="920" w:type="dxa"/>
            <w:vAlign w:val="bottom"/>
          </w:tcPr>
          <w:p w:rsidR="00B33532" w:rsidRDefault="00B33532">
            <w:pPr>
              <w:rPr>
                <w:sz w:val="20"/>
                <w:szCs w:val="20"/>
              </w:rPr>
            </w:pPr>
          </w:p>
        </w:tc>
        <w:tc>
          <w:tcPr>
            <w:tcW w:w="600" w:type="dxa"/>
            <w:vAlign w:val="bottom"/>
          </w:tcPr>
          <w:p w:rsidR="00B33532" w:rsidRDefault="00B33532">
            <w:pPr>
              <w:rPr>
                <w:sz w:val="20"/>
                <w:szCs w:val="20"/>
              </w:rPr>
            </w:pPr>
          </w:p>
        </w:tc>
        <w:tc>
          <w:tcPr>
            <w:tcW w:w="1420" w:type="dxa"/>
            <w:vAlign w:val="bottom"/>
          </w:tcPr>
          <w:p w:rsidR="00B33532" w:rsidRDefault="00B33532">
            <w:pPr>
              <w:rPr>
                <w:sz w:val="20"/>
                <w:szCs w:val="20"/>
              </w:rPr>
            </w:pPr>
          </w:p>
        </w:tc>
        <w:tc>
          <w:tcPr>
            <w:tcW w:w="3860" w:type="dxa"/>
            <w:gridSpan w:val="6"/>
            <w:vAlign w:val="bottom"/>
          </w:tcPr>
          <w:p w:rsidR="00B33532" w:rsidRDefault="00187DCB">
            <w:pPr>
              <w:ind w:right="1620"/>
              <w:jc w:val="center"/>
              <w:rPr>
                <w:sz w:val="20"/>
                <w:szCs w:val="20"/>
              </w:rPr>
            </w:pPr>
            <w:r>
              <w:rPr>
                <w:rFonts w:eastAsia="Times New Roman"/>
                <w:sz w:val="18"/>
                <w:szCs w:val="18"/>
              </w:rPr>
              <w:t>(Zip Code)</w:t>
            </w:r>
          </w:p>
        </w:tc>
      </w:tr>
      <w:tr w:rsidR="00B33532">
        <w:trPr>
          <w:trHeight w:val="418"/>
        </w:trPr>
        <w:tc>
          <w:tcPr>
            <w:tcW w:w="4440" w:type="dxa"/>
            <w:gridSpan w:val="5"/>
            <w:vAlign w:val="bottom"/>
          </w:tcPr>
          <w:p w:rsidR="00B33532" w:rsidRDefault="00187DCB">
            <w:pPr>
              <w:ind w:right="680"/>
              <w:jc w:val="center"/>
              <w:rPr>
                <w:sz w:val="20"/>
                <w:szCs w:val="20"/>
              </w:rPr>
            </w:pPr>
            <w:r>
              <w:rPr>
                <w:rFonts w:eastAsia="Times New Roman"/>
                <w:w w:val="99"/>
                <w:sz w:val="18"/>
                <w:szCs w:val="18"/>
              </w:rPr>
              <w:t>Registrant's Telephone Number, including area code</w:t>
            </w:r>
          </w:p>
        </w:tc>
        <w:tc>
          <w:tcPr>
            <w:tcW w:w="920" w:type="dxa"/>
            <w:vAlign w:val="bottom"/>
          </w:tcPr>
          <w:p w:rsidR="00B33532" w:rsidRDefault="00B33532">
            <w:pPr>
              <w:rPr>
                <w:sz w:val="24"/>
                <w:szCs w:val="24"/>
              </w:rPr>
            </w:pPr>
          </w:p>
        </w:tc>
        <w:tc>
          <w:tcPr>
            <w:tcW w:w="600" w:type="dxa"/>
            <w:vAlign w:val="bottom"/>
          </w:tcPr>
          <w:p w:rsidR="00B33532" w:rsidRDefault="00B33532">
            <w:pPr>
              <w:rPr>
                <w:sz w:val="24"/>
                <w:szCs w:val="24"/>
              </w:rPr>
            </w:pPr>
          </w:p>
        </w:tc>
        <w:tc>
          <w:tcPr>
            <w:tcW w:w="1420" w:type="dxa"/>
            <w:vAlign w:val="bottom"/>
          </w:tcPr>
          <w:p w:rsidR="00B33532" w:rsidRDefault="00B33532">
            <w:pPr>
              <w:rPr>
                <w:sz w:val="24"/>
                <w:szCs w:val="24"/>
              </w:rPr>
            </w:pPr>
          </w:p>
        </w:tc>
        <w:tc>
          <w:tcPr>
            <w:tcW w:w="3860" w:type="dxa"/>
            <w:gridSpan w:val="6"/>
            <w:vAlign w:val="bottom"/>
          </w:tcPr>
          <w:p w:rsidR="00B33532" w:rsidRDefault="00187DCB">
            <w:pPr>
              <w:jc w:val="right"/>
              <w:rPr>
                <w:sz w:val="20"/>
                <w:szCs w:val="20"/>
              </w:rPr>
            </w:pPr>
            <w:r>
              <w:rPr>
                <w:rFonts w:eastAsia="Times New Roman"/>
                <w:b/>
                <w:bCs/>
                <w:sz w:val="18"/>
                <w:szCs w:val="18"/>
              </w:rPr>
              <w:t>(203) 775-9000</w:t>
            </w:r>
          </w:p>
        </w:tc>
      </w:tr>
      <w:tr w:rsidR="00B33532">
        <w:trPr>
          <w:trHeight w:val="20"/>
        </w:trPr>
        <w:tc>
          <w:tcPr>
            <w:tcW w:w="1420" w:type="dxa"/>
            <w:vAlign w:val="bottom"/>
          </w:tcPr>
          <w:p w:rsidR="00B33532" w:rsidRDefault="00B33532">
            <w:pPr>
              <w:spacing w:line="20" w:lineRule="exact"/>
              <w:rPr>
                <w:sz w:val="1"/>
                <w:szCs w:val="1"/>
              </w:rPr>
            </w:pPr>
          </w:p>
        </w:tc>
        <w:tc>
          <w:tcPr>
            <w:tcW w:w="160" w:type="dxa"/>
            <w:vAlign w:val="bottom"/>
          </w:tcPr>
          <w:p w:rsidR="00B33532" w:rsidRDefault="00B33532">
            <w:pPr>
              <w:spacing w:line="20" w:lineRule="exact"/>
              <w:rPr>
                <w:sz w:val="1"/>
                <w:szCs w:val="1"/>
              </w:rPr>
            </w:pPr>
          </w:p>
        </w:tc>
        <w:tc>
          <w:tcPr>
            <w:tcW w:w="760" w:type="dxa"/>
            <w:vAlign w:val="bottom"/>
          </w:tcPr>
          <w:p w:rsidR="00B33532" w:rsidRDefault="00B33532">
            <w:pPr>
              <w:spacing w:line="20" w:lineRule="exact"/>
              <w:rPr>
                <w:sz w:val="1"/>
                <w:szCs w:val="1"/>
              </w:rPr>
            </w:pPr>
          </w:p>
        </w:tc>
        <w:tc>
          <w:tcPr>
            <w:tcW w:w="1600" w:type="dxa"/>
            <w:vAlign w:val="bottom"/>
          </w:tcPr>
          <w:p w:rsidR="00B33532" w:rsidRDefault="00B33532">
            <w:pPr>
              <w:spacing w:line="20" w:lineRule="exact"/>
              <w:rPr>
                <w:sz w:val="1"/>
                <w:szCs w:val="1"/>
              </w:rPr>
            </w:pPr>
          </w:p>
        </w:tc>
        <w:tc>
          <w:tcPr>
            <w:tcW w:w="500" w:type="dxa"/>
            <w:vAlign w:val="bottom"/>
          </w:tcPr>
          <w:p w:rsidR="00B33532" w:rsidRDefault="00B33532">
            <w:pPr>
              <w:spacing w:line="20" w:lineRule="exact"/>
              <w:rPr>
                <w:sz w:val="1"/>
                <w:szCs w:val="1"/>
              </w:rPr>
            </w:pPr>
          </w:p>
        </w:tc>
        <w:tc>
          <w:tcPr>
            <w:tcW w:w="920" w:type="dxa"/>
            <w:vAlign w:val="bottom"/>
          </w:tcPr>
          <w:p w:rsidR="00B33532" w:rsidRDefault="00B33532">
            <w:pPr>
              <w:spacing w:line="20" w:lineRule="exact"/>
              <w:rPr>
                <w:sz w:val="1"/>
                <w:szCs w:val="1"/>
              </w:rPr>
            </w:pPr>
          </w:p>
        </w:tc>
        <w:tc>
          <w:tcPr>
            <w:tcW w:w="600" w:type="dxa"/>
            <w:vAlign w:val="bottom"/>
          </w:tcPr>
          <w:p w:rsidR="00B33532" w:rsidRDefault="00B33532">
            <w:pPr>
              <w:spacing w:line="20" w:lineRule="exact"/>
              <w:rPr>
                <w:sz w:val="1"/>
                <w:szCs w:val="1"/>
              </w:rPr>
            </w:pPr>
          </w:p>
        </w:tc>
        <w:tc>
          <w:tcPr>
            <w:tcW w:w="1420" w:type="dxa"/>
            <w:vAlign w:val="bottom"/>
          </w:tcPr>
          <w:p w:rsidR="00B33532" w:rsidRDefault="00B33532">
            <w:pPr>
              <w:spacing w:line="20" w:lineRule="exact"/>
              <w:rPr>
                <w:sz w:val="1"/>
                <w:szCs w:val="1"/>
              </w:rPr>
            </w:pPr>
          </w:p>
        </w:tc>
        <w:tc>
          <w:tcPr>
            <w:tcW w:w="880" w:type="dxa"/>
            <w:vAlign w:val="bottom"/>
          </w:tcPr>
          <w:p w:rsidR="00B33532" w:rsidRDefault="00B33532">
            <w:pPr>
              <w:spacing w:line="20" w:lineRule="exact"/>
              <w:rPr>
                <w:sz w:val="1"/>
                <w:szCs w:val="1"/>
              </w:rPr>
            </w:pPr>
          </w:p>
        </w:tc>
        <w:tc>
          <w:tcPr>
            <w:tcW w:w="460" w:type="dxa"/>
            <w:vAlign w:val="bottom"/>
          </w:tcPr>
          <w:p w:rsidR="00B33532" w:rsidRDefault="00B33532">
            <w:pPr>
              <w:spacing w:line="20" w:lineRule="exact"/>
              <w:rPr>
                <w:sz w:val="1"/>
                <w:szCs w:val="1"/>
              </w:rPr>
            </w:pPr>
          </w:p>
        </w:tc>
        <w:tc>
          <w:tcPr>
            <w:tcW w:w="240" w:type="dxa"/>
            <w:vAlign w:val="bottom"/>
          </w:tcPr>
          <w:p w:rsidR="00B33532" w:rsidRDefault="00B33532">
            <w:pPr>
              <w:spacing w:line="20" w:lineRule="exact"/>
              <w:rPr>
                <w:sz w:val="1"/>
                <w:szCs w:val="1"/>
              </w:rPr>
            </w:pPr>
          </w:p>
        </w:tc>
        <w:tc>
          <w:tcPr>
            <w:tcW w:w="880" w:type="dxa"/>
            <w:vAlign w:val="bottom"/>
          </w:tcPr>
          <w:p w:rsidR="00B33532" w:rsidRDefault="00B33532">
            <w:pPr>
              <w:spacing w:line="20" w:lineRule="exact"/>
              <w:rPr>
                <w:sz w:val="1"/>
                <w:szCs w:val="1"/>
              </w:rPr>
            </w:pPr>
          </w:p>
        </w:tc>
        <w:tc>
          <w:tcPr>
            <w:tcW w:w="280" w:type="dxa"/>
            <w:vAlign w:val="bottom"/>
          </w:tcPr>
          <w:p w:rsidR="00B33532" w:rsidRDefault="00B33532">
            <w:pPr>
              <w:spacing w:line="20" w:lineRule="exact"/>
              <w:rPr>
                <w:sz w:val="1"/>
                <w:szCs w:val="1"/>
              </w:rPr>
            </w:pPr>
          </w:p>
        </w:tc>
        <w:tc>
          <w:tcPr>
            <w:tcW w:w="1120" w:type="dxa"/>
            <w:shd w:val="clear" w:color="auto" w:fill="000000"/>
            <w:vAlign w:val="bottom"/>
          </w:tcPr>
          <w:p w:rsidR="00B33532" w:rsidRDefault="00B33532">
            <w:pPr>
              <w:spacing w:line="20" w:lineRule="exact"/>
              <w:rPr>
                <w:sz w:val="1"/>
                <w:szCs w:val="1"/>
              </w:rPr>
            </w:pPr>
          </w:p>
        </w:tc>
      </w:tr>
    </w:tbl>
    <w:p w:rsidR="00B33532" w:rsidRDefault="00187DCB">
      <w:pPr>
        <w:spacing w:line="20" w:lineRule="exact"/>
        <w:rPr>
          <w:sz w:val="24"/>
          <w:szCs w:val="24"/>
        </w:rPr>
      </w:pPr>
      <w:r>
        <w:rPr>
          <w:noProof/>
          <w:sz w:val="24"/>
          <w:szCs w:val="24"/>
        </w:rPr>
        <w:drawing>
          <wp:anchor distT="0" distB="0" distL="114300" distR="114300" simplePos="0" relativeHeight="251656704" behindDoc="1" locked="0" layoutInCell="0" allowOverlap="1">
            <wp:simplePos x="0" y="0"/>
            <wp:positionH relativeFrom="column">
              <wp:posOffset>1788160</wp:posOffset>
            </wp:positionH>
            <wp:positionV relativeFrom="paragraph">
              <wp:posOffset>231775</wp:posOffset>
            </wp:positionV>
            <wp:extent cx="3566160" cy="171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blip>
                    <a:srcRect/>
                    <a:stretch>
                      <a:fillRect/>
                    </a:stretch>
                  </pic:blipFill>
                  <pic:spPr bwMode="auto">
                    <a:xfrm>
                      <a:off x="0" y="0"/>
                      <a:ext cx="3566160" cy="17145"/>
                    </a:xfrm>
                    <a:prstGeom prst="rect">
                      <a:avLst/>
                    </a:prstGeom>
                    <a:noFill/>
                  </pic:spPr>
                </pic:pic>
              </a:graphicData>
            </a:graphic>
          </wp:anchor>
        </w:drawing>
      </w:r>
    </w:p>
    <w:p w:rsidR="00B33532" w:rsidRDefault="00B33532">
      <w:pPr>
        <w:spacing w:line="200" w:lineRule="exact"/>
        <w:rPr>
          <w:sz w:val="24"/>
          <w:szCs w:val="24"/>
        </w:rPr>
      </w:pPr>
    </w:p>
    <w:p w:rsidR="00B33532" w:rsidRDefault="00B33532">
      <w:pPr>
        <w:spacing w:line="234" w:lineRule="exact"/>
        <w:rPr>
          <w:sz w:val="24"/>
          <w:szCs w:val="24"/>
        </w:rPr>
      </w:pPr>
    </w:p>
    <w:p w:rsidR="00B33532" w:rsidRDefault="00187DCB">
      <w:pPr>
        <w:jc w:val="center"/>
        <w:rPr>
          <w:sz w:val="20"/>
          <w:szCs w:val="20"/>
        </w:rPr>
      </w:pPr>
      <w:r>
        <w:rPr>
          <w:rFonts w:eastAsia="Times New Roman"/>
          <w:sz w:val="18"/>
          <w:szCs w:val="18"/>
        </w:rPr>
        <w:t>(Former name or former address, if changed since last report)</w:t>
      </w:r>
    </w:p>
    <w:p w:rsidR="00B33532" w:rsidRDefault="00B33532">
      <w:pPr>
        <w:spacing w:line="252" w:lineRule="exact"/>
        <w:rPr>
          <w:sz w:val="24"/>
          <w:szCs w:val="24"/>
        </w:rPr>
      </w:pPr>
    </w:p>
    <w:p w:rsidR="00B33532" w:rsidRDefault="00187DCB">
      <w:pPr>
        <w:spacing w:line="282" w:lineRule="auto"/>
        <w:ind w:right="680"/>
        <w:rPr>
          <w:sz w:val="20"/>
          <w:szCs w:val="20"/>
        </w:rPr>
      </w:pPr>
      <w:r>
        <w:rPr>
          <w:rFonts w:eastAsia="Times New Roman"/>
          <w:sz w:val="18"/>
          <w:szCs w:val="18"/>
        </w:rPr>
        <w:t xml:space="preserve">Check </w:t>
      </w:r>
      <w:r>
        <w:rPr>
          <w:rFonts w:eastAsia="Times New Roman"/>
          <w:sz w:val="18"/>
          <w:szCs w:val="18"/>
        </w:rPr>
        <w:t>the appropriate box below if the Form 8-K filing is intended to simultaneously satisfy the filing obligation of the registrant under any of the following provisions:</w:t>
      </w:r>
    </w:p>
    <w:p w:rsidR="00B33532" w:rsidRDefault="00B33532">
      <w:pPr>
        <w:spacing w:line="189" w:lineRule="exact"/>
        <w:rPr>
          <w:sz w:val="24"/>
          <w:szCs w:val="24"/>
        </w:rPr>
      </w:pPr>
    </w:p>
    <w:p w:rsidR="00B33532" w:rsidRDefault="00187DCB">
      <w:pPr>
        <w:numPr>
          <w:ilvl w:val="0"/>
          <w:numId w:val="1"/>
        </w:numPr>
        <w:tabs>
          <w:tab w:val="left" w:pos="500"/>
        </w:tabs>
        <w:ind w:left="500" w:hanging="492"/>
        <w:rPr>
          <w:rFonts w:ascii="MS PGothic" w:eastAsia="MS PGothic" w:hAnsi="MS PGothic" w:cs="MS PGothic"/>
          <w:sz w:val="18"/>
          <w:szCs w:val="18"/>
        </w:rPr>
      </w:pPr>
      <w:r>
        <w:rPr>
          <w:rFonts w:eastAsia="Times New Roman"/>
          <w:sz w:val="18"/>
          <w:szCs w:val="18"/>
        </w:rPr>
        <w:t xml:space="preserve">Written communications pursuant to Rule 425 under the Securities Act (17 CFR </w:t>
      </w:r>
      <w:r>
        <w:rPr>
          <w:rFonts w:eastAsia="Times New Roman"/>
          <w:sz w:val="18"/>
          <w:szCs w:val="18"/>
        </w:rPr>
        <w:t>230.425)</w:t>
      </w:r>
    </w:p>
    <w:p w:rsidR="00B33532" w:rsidRDefault="00B33532">
      <w:pPr>
        <w:spacing w:line="29" w:lineRule="exact"/>
        <w:rPr>
          <w:rFonts w:ascii="MS PGothic" w:eastAsia="MS PGothic" w:hAnsi="MS PGothic" w:cs="MS PGothic"/>
          <w:sz w:val="18"/>
          <w:szCs w:val="18"/>
        </w:rPr>
      </w:pPr>
    </w:p>
    <w:p w:rsidR="00B33532" w:rsidRDefault="00187DCB">
      <w:pPr>
        <w:numPr>
          <w:ilvl w:val="0"/>
          <w:numId w:val="1"/>
        </w:numPr>
        <w:tabs>
          <w:tab w:val="left" w:pos="500"/>
        </w:tabs>
        <w:ind w:left="500" w:hanging="492"/>
        <w:rPr>
          <w:rFonts w:ascii="MS PGothic" w:eastAsia="MS PGothic" w:hAnsi="MS PGothic" w:cs="MS PGothic"/>
          <w:sz w:val="18"/>
          <w:szCs w:val="18"/>
        </w:rPr>
      </w:pPr>
      <w:r>
        <w:rPr>
          <w:rFonts w:eastAsia="Times New Roman"/>
          <w:sz w:val="18"/>
          <w:szCs w:val="18"/>
        </w:rPr>
        <w:t>Soliciting material pursuant to Rule 14a-12 under the Exchange Act (17 CFR 240.14a-12)</w:t>
      </w:r>
    </w:p>
    <w:p w:rsidR="00B33532" w:rsidRDefault="00B33532">
      <w:pPr>
        <w:spacing w:line="9" w:lineRule="exact"/>
        <w:rPr>
          <w:rFonts w:ascii="MS PGothic" w:eastAsia="MS PGothic" w:hAnsi="MS PGothic" w:cs="MS PGothic"/>
          <w:sz w:val="18"/>
          <w:szCs w:val="18"/>
        </w:rPr>
      </w:pPr>
    </w:p>
    <w:p w:rsidR="00B33532" w:rsidRDefault="00187DCB">
      <w:pPr>
        <w:numPr>
          <w:ilvl w:val="0"/>
          <w:numId w:val="1"/>
        </w:numPr>
        <w:tabs>
          <w:tab w:val="left" w:pos="500"/>
        </w:tabs>
        <w:ind w:left="500" w:hanging="492"/>
        <w:rPr>
          <w:rFonts w:ascii="MS PGothic" w:eastAsia="MS PGothic" w:hAnsi="MS PGothic" w:cs="MS PGothic"/>
          <w:sz w:val="18"/>
          <w:szCs w:val="18"/>
        </w:rPr>
      </w:pPr>
      <w:r>
        <w:rPr>
          <w:rFonts w:eastAsia="Times New Roman"/>
          <w:sz w:val="18"/>
          <w:szCs w:val="18"/>
        </w:rPr>
        <w:t>Pre-commencement communications pursuant to Rule 14d-2(b) under the Exchange Act (17 CFR 240.14d-2(b))</w:t>
      </w:r>
    </w:p>
    <w:p w:rsidR="00B33532" w:rsidRDefault="00B33532">
      <w:pPr>
        <w:spacing w:line="9" w:lineRule="exact"/>
        <w:rPr>
          <w:rFonts w:ascii="MS PGothic" w:eastAsia="MS PGothic" w:hAnsi="MS PGothic" w:cs="MS PGothic"/>
          <w:sz w:val="18"/>
          <w:szCs w:val="18"/>
        </w:rPr>
      </w:pPr>
    </w:p>
    <w:p w:rsidR="00B33532" w:rsidRDefault="00187DCB">
      <w:pPr>
        <w:numPr>
          <w:ilvl w:val="0"/>
          <w:numId w:val="1"/>
        </w:numPr>
        <w:tabs>
          <w:tab w:val="left" w:pos="500"/>
        </w:tabs>
        <w:ind w:left="500" w:hanging="492"/>
        <w:rPr>
          <w:rFonts w:ascii="MS PGothic" w:eastAsia="MS PGothic" w:hAnsi="MS PGothic" w:cs="MS PGothic"/>
          <w:sz w:val="18"/>
          <w:szCs w:val="18"/>
        </w:rPr>
      </w:pPr>
      <w:r>
        <w:rPr>
          <w:rFonts w:eastAsia="Times New Roman"/>
          <w:sz w:val="18"/>
          <w:szCs w:val="18"/>
        </w:rPr>
        <w:t>Pre-commencement communications pursuant to Rule 13e-4</w:t>
      </w:r>
      <w:r>
        <w:rPr>
          <w:rFonts w:eastAsia="Times New Roman"/>
          <w:sz w:val="18"/>
          <w:szCs w:val="18"/>
        </w:rPr>
        <w:t>(c) under the Exchange Act (17 CFR 240.13e-4(c))</w:t>
      </w:r>
    </w:p>
    <w:p w:rsidR="00B33532" w:rsidRDefault="00B33532">
      <w:pPr>
        <w:spacing w:line="232" w:lineRule="exact"/>
        <w:rPr>
          <w:sz w:val="24"/>
          <w:szCs w:val="24"/>
        </w:rPr>
      </w:pPr>
    </w:p>
    <w:p w:rsidR="00B33532" w:rsidRDefault="00187DCB">
      <w:pPr>
        <w:spacing w:line="282" w:lineRule="auto"/>
        <w:ind w:right="520"/>
        <w:rPr>
          <w:sz w:val="20"/>
          <w:szCs w:val="20"/>
        </w:rPr>
      </w:pPr>
      <w:r>
        <w:rPr>
          <w:rFonts w:eastAsia="Times New Roman"/>
          <w:sz w:val="18"/>
          <w:szCs w:val="18"/>
        </w:rPr>
        <w:t xml:space="preserve">Indicate by check mark whether the registrant is an emerging growth company as defined in Rule 405 of the Securities Act of 1933 (§230.405 of this chapter) or Rule 12b-2 of the Securities Exchange Act of </w:t>
      </w:r>
      <w:r>
        <w:rPr>
          <w:rFonts w:eastAsia="Times New Roman"/>
          <w:sz w:val="18"/>
          <w:szCs w:val="18"/>
        </w:rPr>
        <w:t>1934 (§240.12b-2 of this chapter).</w:t>
      </w:r>
    </w:p>
    <w:p w:rsidR="00B33532" w:rsidRDefault="00B33532">
      <w:pPr>
        <w:spacing w:line="160" w:lineRule="exact"/>
        <w:rPr>
          <w:sz w:val="24"/>
          <w:szCs w:val="24"/>
        </w:rPr>
      </w:pPr>
    </w:p>
    <w:p w:rsidR="00B33532" w:rsidRDefault="00187DCB">
      <w:pPr>
        <w:spacing w:line="207" w:lineRule="exact"/>
        <w:rPr>
          <w:sz w:val="20"/>
          <w:szCs w:val="20"/>
        </w:rPr>
      </w:pPr>
      <w:r>
        <w:rPr>
          <w:rFonts w:eastAsia="Times New Roman"/>
          <w:sz w:val="18"/>
          <w:szCs w:val="18"/>
        </w:rPr>
        <w:t xml:space="preserve">Emerging growth company </w:t>
      </w:r>
      <w:r>
        <w:rPr>
          <w:rFonts w:ascii="MS PGothic" w:eastAsia="MS PGothic" w:hAnsi="MS PGothic" w:cs="MS PGothic"/>
          <w:sz w:val="18"/>
          <w:szCs w:val="18"/>
        </w:rPr>
        <w:t>☐</w:t>
      </w:r>
    </w:p>
    <w:p w:rsidR="00B33532" w:rsidRDefault="00B33532">
      <w:pPr>
        <w:spacing w:line="281" w:lineRule="exact"/>
        <w:rPr>
          <w:sz w:val="24"/>
          <w:szCs w:val="24"/>
        </w:rPr>
      </w:pPr>
    </w:p>
    <w:p w:rsidR="00B33532" w:rsidRDefault="00187DCB">
      <w:pPr>
        <w:spacing w:line="235" w:lineRule="exact"/>
        <w:ind w:right="160"/>
        <w:rPr>
          <w:sz w:val="20"/>
          <w:szCs w:val="20"/>
        </w:rPr>
      </w:pPr>
      <w:r>
        <w:rPr>
          <w:rFonts w:eastAsia="Times New Roman"/>
          <w:sz w:val="18"/>
          <w:szCs w:val="18"/>
        </w:rPr>
        <w:t>If an emerging growth company, indicate by check mark if the registrant has elected not to use the extended transition period for complying with any new or revised financial accounting standard</w:t>
      </w:r>
      <w:r>
        <w:rPr>
          <w:rFonts w:eastAsia="Times New Roman"/>
          <w:sz w:val="18"/>
          <w:szCs w:val="18"/>
        </w:rPr>
        <w:t xml:space="preserve">s provided pursuant to Section 13(a) of the Exchange Act. </w:t>
      </w:r>
      <w:r>
        <w:rPr>
          <w:rFonts w:ascii="MS PGothic" w:eastAsia="MS PGothic" w:hAnsi="MS PGothic" w:cs="MS PGothic"/>
          <w:sz w:val="18"/>
          <w:szCs w:val="18"/>
        </w:rPr>
        <w:t>☐</w:t>
      </w:r>
    </w:p>
    <w:p w:rsidR="00B33532" w:rsidRDefault="00B33532">
      <w:pPr>
        <w:spacing w:line="206" w:lineRule="exact"/>
        <w:rPr>
          <w:sz w:val="24"/>
          <w:szCs w:val="24"/>
        </w:rPr>
      </w:pPr>
    </w:p>
    <w:p w:rsidR="00B33532" w:rsidRDefault="00187DCB">
      <w:pPr>
        <w:rPr>
          <w:sz w:val="20"/>
          <w:szCs w:val="20"/>
        </w:rPr>
      </w:pPr>
      <w:r>
        <w:rPr>
          <w:rFonts w:eastAsia="Times New Roman"/>
          <w:sz w:val="18"/>
          <w:szCs w:val="18"/>
        </w:rPr>
        <w:t>Securities registered pursuant to Section 12(b) of the Act:</w:t>
      </w:r>
    </w:p>
    <w:p w:rsidR="00B33532" w:rsidRDefault="00B33532">
      <w:pPr>
        <w:spacing w:line="250"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3020"/>
        <w:gridCol w:w="3480"/>
        <w:gridCol w:w="4740"/>
      </w:tblGrid>
      <w:tr w:rsidR="00B33532">
        <w:trPr>
          <w:trHeight w:val="250"/>
        </w:trPr>
        <w:tc>
          <w:tcPr>
            <w:tcW w:w="3020" w:type="dxa"/>
            <w:tcBorders>
              <w:top w:val="single" w:sz="8" w:space="0" w:color="auto"/>
              <w:left w:val="single" w:sz="8" w:space="0" w:color="auto"/>
              <w:bottom w:val="single" w:sz="8" w:space="0" w:color="auto"/>
              <w:right w:val="single" w:sz="8" w:space="0" w:color="auto"/>
            </w:tcBorders>
            <w:vAlign w:val="bottom"/>
          </w:tcPr>
          <w:p w:rsidR="00B33532" w:rsidRDefault="00187DCB">
            <w:pPr>
              <w:ind w:left="880"/>
              <w:rPr>
                <w:sz w:val="20"/>
                <w:szCs w:val="20"/>
              </w:rPr>
            </w:pPr>
            <w:r>
              <w:rPr>
                <w:rFonts w:eastAsia="Times New Roman"/>
                <w:sz w:val="18"/>
                <w:szCs w:val="18"/>
              </w:rPr>
              <w:t>Title of each class</w:t>
            </w:r>
          </w:p>
        </w:tc>
        <w:tc>
          <w:tcPr>
            <w:tcW w:w="3480" w:type="dxa"/>
            <w:tcBorders>
              <w:top w:val="single" w:sz="8" w:space="0" w:color="auto"/>
              <w:bottom w:val="single" w:sz="8" w:space="0" w:color="auto"/>
              <w:right w:val="single" w:sz="8" w:space="0" w:color="auto"/>
            </w:tcBorders>
            <w:vAlign w:val="bottom"/>
          </w:tcPr>
          <w:p w:rsidR="00B33532" w:rsidRDefault="00187DCB">
            <w:pPr>
              <w:ind w:left="1060"/>
              <w:rPr>
                <w:sz w:val="20"/>
                <w:szCs w:val="20"/>
              </w:rPr>
            </w:pPr>
            <w:r>
              <w:rPr>
                <w:rFonts w:eastAsia="Times New Roman"/>
                <w:sz w:val="18"/>
                <w:szCs w:val="18"/>
              </w:rPr>
              <w:t>Trading Symbol(s)</w:t>
            </w:r>
          </w:p>
        </w:tc>
        <w:tc>
          <w:tcPr>
            <w:tcW w:w="4740" w:type="dxa"/>
            <w:tcBorders>
              <w:top w:val="single" w:sz="8" w:space="0" w:color="auto"/>
              <w:bottom w:val="single" w:sz="8" w:space="0" w:color="auto"/>
              <w:right w:val="single" w:sz="8" w:space="0" w:color="auto"/>
            </w:tcBorders>
            <w:vAlign w:val="bottom"/>
          </w:tcPr>
          <w:p w:rsidR="00B33532" w:rsidRDefault="00187DCB">
            <w:pPr>
              <w:ind w:left="780"/>
              <w:rPr>
                <w:sz w:val="20"/>
                <w:szCs w:val="20"/>
              </w:rPr>
            </w:pPr>
            <w:r>
              <w:rPr>
                <w:rFonts w:eastAsia="Times New Roman"/>
                <w:sz w:val="18"/>
                <w:szCs w:val="18"/>
              </w:rPr>
              <w:t>Name of each exchange on which registered</w:t>
            </w:r>
          </w:p>
        </w:tc>
      </w:tr>
      <w:tr w:rsidR="00B33532">
        <w:trPr>
          <w:trHeight w:val="198"/>
        </w:trPr>
        <w:tc>
          <w:tcPr>
            <w:tcW w:w="3020" w:type="dxa"/>
            <w:tcBorders>
              <w:left w:val="single" w:sz="8" w:space="0" w:color="auto"/>
              <w:right w:val="single" w:sz="8" w:space="0" w:color="auto"/>
            </w:tcBorders>
            <w:vAlign w:val="bottom"/>
          </w:tcPr>
          <w:p w:rsidR="00B33532" w:rsidRDefault="00187DCB">
            <w:pPr>
              <w:spacing w:line="198" w:lineRule="exact"/>
              <w:ind w:left="80"/>
              <w:rPr>
                <w:sz w:val="20"/>
                <w:szCs w:val="20"/>
              </w:rPr>
            </w:pPr>
            <w:r>
              <w:rPr>
                <w:rFonts w:eastAsia="Times New Roman"/>
                <w:sz w:val="18"/>
                <w:szCs w:val="18"/>
              </w:rPr>
              <w:t>COMMON STOCK, $0.01 par value</w:t>
            </w:r>
          </w:p>
        </w:tc>
        <w:tc>
          <w:tcPr>
            <w:tcW w:w="3480" w:type="dxa"/>
            <w:tcBorders>
              <w:right w:val="single" w:sz="8" w:space="0" w:color="auto"/>
            </w:tcBorders>
            <w:vAlign w:val="bottom"/>
          </w:tcPr>
          <w:p w:rsidR="00B33532" w:rsidRDefault="00187DCB">
            <w:pPr>
              <w:spacing w:line="198" w:lineRule="exact"/>
              <w:ind w:left="40"/>
              <w:rPr>
                <w:sz w:val="20"/>
                <w:szCs w:val="20"/>
              </w:rPr>
            </w:pPr>
            <w:r>
              <w:rPr>
                <w:rFonts w:eastAsia="Times New Roman"/>
                <w:sz w:val="18"/>
                <w:szCs w:val="18"/>
              </w:rPr>
              <w:t>PLAB</w:t>
            </w:r>
          </w:p>
        </w:tc>
        <w:tc>
          <w:tcPr>
            <w:tcW w:w="4740" w:type="dxa"/>
            <w:tcBorders>
              <w:right w:val="single" w:sz="8" w:space="0" w:color="auto"/>
            </w:tcBorders>
            <w:vAlign w:val="bottom"/>
          </w:tcPr>
          <w:p w:rsidR="00B33532" w:rsidRDefault="00187DCB">
            <w:pPr>
              <w:spacing w:line="198" w:lineRule="exact"/>
              <w:ind w:left="40"/>
              <w:rPr>
                <w:sz w:val="20"/>
                <w:szCs w:val="20"/>
              </w:rPr>
            </w:pPr>
            <w:r>
              <w:rPr>
                <w:rFonts w:eastAsia="Times New Roman"/>
                <w:sz w:val="18"/>
                <w:szCs w:val="18"/>
              </w:rPr>
              <w:t xml:space="preserve">NASDAQ </w:t>
            </w:r>
            <w:r>
              <w:rPr>
                <w:rFonts w:eastAsia="Times New Roman"/>
                <w:sz w:val="18"/>
                <w:szCs w:val="18"/>
              </w:rPr>
              <w:t>Global Select Market</w:t>
            </w:r>
          </w:p>
        </w:tc>
      </w:tr>
      <w:tr w:rsidR="00B33532">
        <w:trPr>
          <w:trHeight w:val="241"/>
        </w:trPr>
        <w:tc>
          <w:tcPr>
            <w:tcW w:w="3020" w:type="dxa"/>
            <w:tcBorders>
              <w:left w:val="single" w:sz="8" w:space="0" w:color="auto"/>
              <w:bottom w:val="single" w:sz="8" w:space="0" w:color="auto"/>
              <w:right w:val="single" w:sz="8" w:space="0" w:color="auto"/>
            </w:tcBorders>
            <w:vAlign w:val="bottom"/>
          </w:tcPr>
          <w:p w:rsidR="00B33532" w:rsidRDefault="00187DCB">
            <w:pPr>
              <w:ind w:left="80"/>
              <w:rPr>
                <w:sz w:val="20"/>
                <w:szCs w:val="20"/>
              </w:rPr>
            </w:pPr>
            <w:r>
              <w:rPr>
                <w:rFonts w:eastAsia="Times New Roman"/>
                <w:sz w:val="18"/>
                <w:szCs w:val="18"/>
              </w:rPr>
              <w:t>per share</w:t>
            </w:r>
          </w:p>
        </w:tc>
        <w:tc>
          <w:tcPr>
            <w:tcW w:w="3480" w:type="dxa"/>
            <w:tcBorders>
              <w:bottom w:val="single" w:sz="8" w:space="0" w:color="auto"/>
              <w:right w:val="single" w:sz="8" w:space="0" w:color="auto"/>
            </w:tcBorders>
            <w:vAlign w:val="bottom"/>
          </w:tcPr>
          <w:p w:rsidR="00B33532" w:rsidRDefault="00B33532">
            <w:pPr>
              <w:rPr>
                <w:sz w:val="20"/>
                <w:szCs w:val="20"/>
              </w:rPr>
            </w:pPr>
          </w:p>
        </w:tc>
        <w:tc>
          <w:tcPr>
            <w:tcW w:w="4740" w:type="dxa"/>
            <w:tcBorders>
              <w:bottom w:val="single" w:sz="8" w:space="0" w:color="auto"/>
              <w:right w:val="single" w:sz="8" w:space="0" w:color="auto"/>
            </w:tcBorders>
            <w:vAlign w:val="bottom"/>
          </w:tcPr>
          <w:p w:rsidR="00B33532" w:rsidRDefault="00B33532">
            <w:pPr>
              <w:rPr>
                <w:sz w:val="20"/>
                <w:szCs w:val="20"/>
              </w:rPr>
            </w:pPr>
          </w:p>
        </w:tc>
      </w:tr>
      <w:tr w:rsidR="00B33532">
        <w:trPr>
          <w:trHeight w:val="198"/>
        </w:trPr>
        <w:tc>
          <w:tcPr>
            <w:tcW w:w="3020" w:type="dxa"/>
            <w:tcBorders>
              <w:left w:val="single" w:sz="8" w:space="0" w:color="auto"/>
              <w:right w:val="single" w:sz="8" w:space="0" w:color="auto"/>
            </w:tcBorders>
            <w:vAlign w:val="bottom"/>
          </w:tcPr>
          <w:p w:rsidR="00B33532" w:rsidRDefault="00187DCB">
            <w:pPr>
              <w:spacing w:line="198" w:lineRule="exact"/>
              <w:ind w:left="80"/>
              <w:rPr>
                <w:sz w:val="20"/>
                <w:szCs w:val="20"/>
              </w:rPr>
            </w:pPr>
            <w:r>
              <w:rPr>
                <w:rFonts w:eastAsia="Times New Roman"/>
                <w:sz w:val="18"/>
                <w:szCs w:val="18"/>
              </w:rPr>
              <w:t>PREFERRED STOCK PURCHASE</w:t>
            </w:r>
          </w:p>
        </w:tc>
        <w:tc>
          <w:tcPr>
            <w:tcW w:w="3480" w:type="dxa"/>
            <w:tcBorders>
              <w:right w:val="single" w:sz="8" w:space="0" w:color="auto"/>
            </w:tcBorders>
            <w:vAlign w:val="bottom"/>
          </w:tcPr>
          <w:p w:rsidR="00B33532" w:rsidRDefault="00187DCB">
            <w:pPr>
              <w:spacing w:line="198" w:lineRule="exact"/>
              <w:ind w:left="40"/>
              <w:rPr>
                <w:sz w:val="20"/>
                <w:szCs w:val="20"/>
              </w:rPr>
            </w:pPr>
            <w:r>
              <w:rPr>
                <w:rFonts w:eastAsia="Times New Roman"/>
                <w:sz w:val="18"/>
                <w:szCs w:val="18"/>
              </w:rPr>
              <w:t>N/A</w:t>
            </w:r>
          </w:p>
        </w:tc>
        <w:tc>
          <w:tcPr>
            <w:tcW w:w="4740" w:type="dxa"/>
            <w:tcBorders>
              <w:right w:val="single" w:sz="8" w:space="0" w:color="auto"/>
            </w:tcBorders>
            <w:vAlign w:val="bottom"/>
          </w:tcPr>
          <w:p w:rsidR="00B33532" w:rsidRDefault="00187DCB">
            <w:pPr>
              <w:spacing w:line="198" w:lineRule="exact"/>
              <w:ind w:left="40"/>
              <w:rPr>
                <w:sz w:val="20"/>
                <w:szCs w:val="20"/>
              </w:rPr>
            </w:pPr>
            <w:r>
              <w:rPr>
                <w:rFonts w:eastAsia="Times New Roman"/>
                <w:sz w:val="18"/>
                <w:szCs w:val="18"/>
              </w:rPr>
              <w:t>N/A</w:t>
            </w:r>
          </w:p>
        </w:tc>
      </w:tr>
      <w:tr w:rsidR="00B33532">
        <w:trPr>
          <w:trHeight w:val="241"/>
        </w:trPr>
        <w:tc>
          <w:tcPr>
            <w:tcW w:w="3020" w:type="dxa"/>
            <w:tcBorders>
              <w:left w:val="single" w:sz="8" w:space="0" w:color="auto"/>
              <w:bottom w:val="single" w:sz="8" w:space="0" w:color="auto"/>
              <w:right w:val="single" w:sz="8" w:space="0" w:color="auto"/>
            </w:tcBorders>
            <w:vAlign w:val="bottom"/>
          </w:tcPr>
          <w:p w:rsidR="00B33532" w:rsidRDefault="00187DCB">
            <w:pPr>
              <w:ind w:left="80"/>
              <w:rPr>
                <w:sz w:val="20"/>
                <w:szCs w:val="20"/>
              </w:rPr>
            </w:pPr>
            <w:r>
              <w:rPr>
                <w:rFonts w:eastAsia="Times New Roman"/>
                <w:sz w:val="18"/>
                <w:szCs w:val="18"/>
              </w:rPr>
              <w:t>RIGHTS</w:t>
            </w:r>
          </w:p>
        </w:tc>
        <w:tc>
          <w:tcPr>
            <w:tcW w:w="3480" w:type="dxa"/>
            <w:tcBorders>
              <w:bottom w:val="single" w:sz="8" w:space="0" w:color="auto"/>
              <w:right w:val="single" w:sz="8" w:space="0" w:color="auto"/>
            </w:tcBorders>
            <w:vAlign w:val="bottom"/>
          </w:tcPr>
          <w:p w:rsidR="00B33532" w:rsidRDefault="00B33532">
            <w:pPr>
              <w:rPr>
                <w:sz w:val="20"/>
                <w:szCs w:val="20"/>
              </w:rPr>
            </w:pPr>
          </w:p>
        </w:tc>
        <w:tc>
          <w:tcPr>
            <w:tcW w:w="4740" w:type="dxa"/>
            <w:tcBorders>
              <w:bottom w:val="single" w:sz="8" w:space="0" w:color="auto"/>
              <w:right w:val="single" w:sz="8" w:space="0" w:color="auto"/>
            </w:tcBorders>
            <w:vAlign w:val="bottom"/>
          </w:tcPr>
          <w:p w:rsidR="00B33532" w:rsidRDefault="00B33532">
            <w:pPr>
              <w:rPr>
                <w:sz w:val="20"/>
                <w:szCs w:val="20"/>
              </w:rPr>
            </w:pPr>
          </w:p>
        </w:tc>
      </w:tr>
      <w:tr w:rsidR="00B33532">
        <w:trPr>
          <w:trHeight w:val="351"/>
        </w:trPr>
        <w:tc>
          <w:tcPr>
            <w:tcW w:w="3020" w:type="dxa"/>
            <w:tcBorders>
              <w:bottom w:val="single" w:sz="8" w:space="0" w:color="auto"/>
            </w:tcBorders>
            <w:vAlign w:val="bottom"/>
          </w:tcPr>
          <w:p w:rsidR="00B33532" w:rsidRDefault="00B33532">
            <w:pPr>
              <w:rPr>
                <w:sz w:val="24"/>
                <w:szCs w:val="24"/>
              </w:rPr>
            </w:pPr>
          </w:p>
        </w:tc>
        <w:tc>
          <w:tcPr>
            <w:tcW w:w="3480" w:type="dxa"/>
            <w:tcBorders>
              <w:bottom w:val="single" w:sz="8" w:space="0" w:color="auto"/>
            </w:tcBorders>
            <w:vAlign w:val="bottom"/>
          </w:tcPr>
          <w:p w:rsidR="00B33532" w:rsidRDefault="00B33532">
            <w:pPr>
              <w:rPr>
                <w:sz w:val="24"/>
                <w:szCs w:val="24"/>
              </w:rPr>
            </w:pPr>
          </w:p>
        </w:tc>
        <w:tc>
          <w:tcPr>
            <w:tcW w:w="4740" w:type="dxa"/>
            <w:tcBorders>
              <w:bottom w:val="single" w:sz="8" w:space="0" w:color="auto"/>
            </w:tcBorders>
            <w:vAlign w:val="bottom"/>
          </w:tcPr>
          <w:p w:rsidR="00B33532" w:rsidRDefault="00B33532">
            <w:pPr>
              <w:rPr>
                <w:sz w:val="24"/>
                <w:szCs w:val="24"/>
              </w:rPr>
            </w:pPr>
          </w:p>
        </w:tc>
      </w:tr>
      <w:tr w:rsidR="00B33532">
        <w:trPr>
          <w:trHeight w:val="163"/>
        </w:trPr>
        <w:tc>
          <w:tcPr>
            <w:tcW w:w="3020" w:type="dxa"/>
            <w:tcBorders>
              <w:bottom w:val="single" w:sz="8" w:space="0" w:color="auto"/>
            </w:tcBorders>
            <w:vAlign w:val="bottom"/>
          </w:tcPr>
          <w:p w:rsidR="00B33532" w:rsidRDefault="00B33532">
            <w:pPr>
              <w:rPr>
                <w:sz w:val="14"/>
                <w:szCs w:val="14"/>
              </w:rPr>
            </w:pPr>
          </w:p>
        </w:tc>
        <w:tc>
          <w:tcPr>
            <w:tcW w:w="3480" w:type="dxa"/>
            <w:tcBorders>
              <w:bottom w:val="single" w:sz="8" w:space="0" w:color="auto"/>
            </w:tcBorders>
            <w:vAlign w:val="bottom"/>
          </w:tcPr>
          <w:p w:rsidR="00B33532" w:rsidRDefault="00B33532">
            <w:pPr>
              <w:rPr>
                <w:sz w:val="14"/>
                <w:szCs w:val="14"/>
              </w:rPr>
            </w:pPr>
          </w:p>
        </w:tc>
        <w:tc>
          <w:tcPr>
            <w:tcW w:w="4740" w:type="dxa"/>
            <w:tcBorders>
              <w:bottom w:val="single" w:sz="8" w:space="0" w:color="auto"/>
            </w:tcBorders>
            <w:vAlign w:val="bottom"/>
          </w:tcPr>
          <w:p w:rsidR="00B33532" w:rsidRDefault="00B33532">
            <w:pPr>
              <w:rPr>
                <w:sz w:val="14"/>
                <w:szCs w:val="14"/>
              </w:rPr>
            </w:pPr>
          </w:p>
        </w:tc>
      </w:tr>
      <w:tr w:rsidR="00B33532">
        <w:trPr>
          <w:trHeight w:val="196"/>
        </w:trPr>
        <w:tc>
          <w:tcPr>
            <w:tcW w:w="3020" w:type="dxa"/>
            <w:tcBorders>
              <w:bottom w:val="single" w:sz="8" w:space="0" w:color="auto"/>
            </w:tcBorders>
            <w:vAlign w:val="bottom"/>
          </w:tcPr>
          <w:p w:rsidR="00B33532" w:rsidRDefault="00B33532">
            <w:pPr>
              <w:rPr>
                <w:sz w:val="17"/>
                <w:szCs w:val="17"/>
              </w:rPr>
            </w:pPr>
          </w:p>
        </w:tc>
        <w:tc>
          <w:tcPr>
            <w:tcW w:w="3480" w:type="dxa"/>
            <w:tcBorders>
              <w:bottom w:val="single" w:sz="8" w:space="0" w:color="auto"/>
            </w:tcBorders>
            <w:vAlign w:val="bottom"/>
          </w:tcPr>
          <w:p w:rsidR="00B33532" w:rsidRDefault="00B33532">
            <w:pPr>
              <w:rPr>
                <w:sz w:val="17"/>
                <w:szCs w:val="17"/>
              </w:rPr>
            </w:pPr>
          </w:p>
        </w:tc>
        <w:tc>
          <w:tcPr>
            <w:tcW w:w="4740" w:type="dxa"/>
            <w:tcBorders>
              <w:bottom w:val="single" w:sz="8" w:space="0" w:color="auto"/>
            </w:tcBorders>
            <w:vAlign w:val="bottom"/>
          </w:tcPr>
          <w:p w:rsidR="00B33532" w:rsidRDefault="00B33532">
            <w:pPr>
              <w:rPr>
                <w:sz w:val="17"/>
                <w:szCs w:val="17"/>
              </w:rPr>
            </w:pPr>
          </w:p>
        </w:tc>
      </w:tr>
    </w:tbl>
    <w:p w:rsidR="00B33532" w:rsidRDefault="00B33532">
      <w:pPr>
        <w:sectPr w:rsidR="00B33532">
          <w:pgSz w:w="11900" w:h="16838"/>
          <w:pgMar w:top="529" w:right="339" w:bottom="1440" w:left="320" w:header="0" w:footer="0" w:gutter="0"/>
          <w:cols w:space="720" w:equalWidth="0">
            <w:col w:w="11240"/>
          </w:cols>
        </w:sectPr>
      </w:pPr>
    </w:p>
    <w:p w:rsidR="00B33532" w:rsidRDefault="00187DCB">
      <w:pPr>
        <w:rPr>
          <w:sz w:val="20"/>
          <w:szCs w:val="20"/>
        </w:rPr>
      </w:pPr>
      <w:bookmarkStart w:id="2" w:name="page2"/>
      <w:bookmarkEnd w:id="2"/>
      <w:r>
        <w:rPr>
          <w:rFonts w:eastAsia="Times New Roman"/>
          <w:b/>
          <w:bCs/>
          <w:sz w:val="18"/>
          <w:szCs w:val="18"/>
          <w:u w:val="single"/>
        </w:rPr>
        <w:lastRenderedPageBreak/>
        <w:t>Item 8.01. Other Events.</w:t>
      </w:r>
    </w:p>
    <w:p w:rsidR="00B33532" w:rsidRDefault="00B33532">
      <w:pPr>
        <w:spacing w:line="256" w:lineRule="exact"/>
        <w:rPr>
          <w:sz w:val="20"/>
          <w:szCs w:val="20"/>
        </w:rPr>
      </w:pPr>
    </w:p>
    <w:p w:rsidR="00B33532" w:rsidRDefault="00187DCB">
      <w:pPr>
        <w:spacing w:line="282" w:lineRule="auto"/>
        <w:rPr>
          <w:sz w:val="20"/>
          <w:szCs w:val="20"/>
        </w:rPr>
      </w:pPr>
      <w:r>
        <w:rPr>
          <w:rFonts w:eastAsia="Times New Roman"/>
          <w:sz w:val="18"/>
          <w:szCs w:val="18"/>
        </w:rPr>
        <w:t xml:space="preserve">On September 14, 2020, Photronics, Inc. (the “Company”) issued a press release announcing that its Board of </w:t>
      </w:r>
      <w:r>
        <w:rPr>
          <w:rFonts w:eastAsia="Times New Roman"/>
          <w:sz w:val="18"/>
          <w:szCs w:val="18"/>
        </w:rPr>
        <w:t>Directors authorized the repurchase of up to $100 million of the Company's common stock. The purchases will occur pursuant to a new repurchase plan under SEC Rule 10b5-1.</w:t>
      </w:r>
    </w:p>
    <w:p w:rsidR="00B33532" w:rsidRDefault="00B33532">
      <w:pPr>
        <w:spacing w:line="189" w:lineRule="exact"/>
        <w:rPr>
          <w:sz w:val="20"/>
          <w:szCs w:val="20"/>
        </w:rPr>
      </w:pPr>
    </w:p>
    <w:p w:rsidR="00B33532" w:rsidRDefault="00187DCB">
      <w:pPr>
        <w:spacing w:line="282" w:lineRule="auto"/>
        <w:rPr>
          <w:sz w:val="20"/>
          <w:szCs w:val="20"/>
        </w:rPr>
      </w:pPr>
      <w:r>
        <w:rPr>
          <w:rFonts w:eastAsia="Times New Roman"/>
          <w:sz w:val="18"/>
          <w:szCs w:val="18"/>
        </w:rPr>
        <w:t>The authorization does not obligate the Company to repurchase any dollar amount or n</w:t>
      </w:r>
      <w:r>
        <w:rPr>
          <w:rFonts w:eastAsia="Times New Roman"/>
          <w:sz w:val="18"/>
          <w:szCs w:val="18"/>
        </w:rPr>
        <w:t>umber of shares of common stock. The repurchase program may be suspended or discontinued at any time. The Company will cancel the repurchased shares.</w:t>
      </w:r>
    </w:p>
    <w:p w:rsidR="00B33532" w:rsidRDefault="00B33532">
      <w:pPr>
        <w:spacing w:line="189" w:lineRule="exact"/>
        <w:rPr>
          <w:sz w:val="20"/>
          <w:szCs w:val="20"/>
        </w:rPr>
      </w:pPr>
    </w:p>
    <w:p w:rsidR="00B33532" w:rsidRDefault="00187DCB">
      <w:pPr>
        <w:rPr>
          <w:sz w:val="20"/>
          <w:szCs w:val="20"/>
        </w:rPr>
      </w:pPr>
      <w:r>
        <w:rPr>
          <w:rFonts w:eastAsia="Times New Roman"/>
          <w:sz w:val="18"/>
          <w:szCs w:val="18"/>
        </w:rPr>
        <w:t>A copy of the Company’s press release is attached as Exhibit 99.1 to this Form 8-K and is incorporated he</w:t>
      </w:r>
      <w:r>
        <w:rPr>
          <w:rFonts w:eastAsia="Times New Roman"/>
          <w:sz w:val="18"/>
          <w:szCs w:val="18"/>
        </w:rPr>
        <w:t>rein by reference.</w:t>
      </w:r>
    </w:p>
    <w:p w:rsidR="00B33532" w:rsidRDefault="00B33532">
      <w:pPr>
        <w:spacing w:line="248" w:lineRule="exact"/>
        <w:rPr>
          <w:sz w:val="20"/>
          <w:szCs w:val="20"/>
        </w:rPr>
      </w:pPr>
    </w:p>
    <w:p w:rsidR="00B33532" w:rsidRDefault="00187DCB">
      <w:pPr>
        <w:rPr>
          <w:sz w:val="20"/>
          <w:szCs w:val="20"/>
        </w:rPr>
      </w:pPr>
      <w:r>
        <w:rPr>
          <w:rFonts w:eastAsia="Times New Roman"/>
          <w:b/>
          <w:bCs/>
          <w:sz w:val="18"/>
          <w:szCs w:val="18"/>
          <w:u w:val="single"/>
        </w:rPr>
        <w:t>Item 9.01. Financial Statements and Exhibits.</w:t>
      </w:r>
    </w:p>
    <w:p w:rsidR="00B33532" w:rsidRDefault="00B33532">
      <w:pPr>
        <w:spacing w:line="256" w:lineRule="exact"/>
        <w:rPr>
          <w:sz w:val="20"/>
          <w:szCs w:val="20"/>
        </w:rPr>
      </w:pPr>
    </w:p>
    <w:p w:rsidR="00B33532" w:rsidRDefault="00187DCB">
      <w:pPr>
        <w:rPr>
          <w:sz w:val="20"/>
          <w:szCs w:val="20"/>
        </w:rPr>
      </w:pPr>
      <w:r>
        <w:rPr>
          <w:rFonts w:eastAsia="Times New Roman"/>
          <w:sz w:val="18"/>
          <w:szCs w:val="18"/>
        </w:rPr>
        <w:t>(d) Exhibits</w:t>
      </w:r>
    </w:p>
    <w:p w:rsidR="00B33532" w:rsidRDefault="00B33532">
      <w:pPr>
        <w:spacing w:line="252" w:lineRule="exact"/>
        <w:rPr>
          <w:sz w:val="20"/>
          <w:szCs w:val="20"/>
        </w:rPr>
      </w:pPr>
    </w:p>
    <w:p w:rsidR="00B33532" w:rsidRDefault="00187DCB">
      <w:pPr>
        <w:tabs>
          <w:tab w:val="left" w:pos="1120"/>
        </w:tabs>
        <w:ind w:left="420"/>
        <w:rPr>
          <w:rFonts w:eastAsia="Times New Roman"/>
          <w:color w:val="0000EE"/>
          <w:sz w:val="18"/>
          <w:szCs w:val="18"/>
        </w:rPr>
      </w:pPr>
      <w:hyperlink w:anchor="page4">
        <w:r>
          <w:rPr>
            <w:rFonts w:eastAsia="Times New Roman"/>
            <w:color w:val="0000EE"/>
            <w:sz w:val="18"/>
            <w:szCs w:val="18"/>
            <w:u w:val="single"/>
          </w:rPr>
          <w:t>99.1</w:t>
        </w:r>
      </w:hyperlink>
      <w:r>
        <w:rPr>
          <w:rFonts w:eastAsia="Times New Roman"/>
          <w:color w:val="0000EE"/>
          <w:sz w:val="18"/>
          <w:szCs w:val="18"/>
        </w:rPr>
        <w:tab/>
        <w:t>Press Release dated September 14, 2020.</w:t>
      </w:r>
    </w:p>
    <w:p w:rsidR="00B33532" w:rsidRDefault="00187DCB">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5080</wp:posOffset>
            </wp:positionH>
            <wp:positionV relativeFrom="paragraph">
              <wp:posOffset>283210</wp:posOffset>
            </wp:positionV>
            <wp:extent cx="7132320" cy="171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B33532" w:rsidRDefault="00B33532">
      <w:pPr>
        <w:sectPr w:rsidR="00B33532">
          <w:pgSz w:w="11900" w:h="16838"/>
          <w:pgMar w:top="117" w:right="459" w:bottom="1440" w:left="320" w:header="0" w:footer="0" w:gutter="0"/>
          <w:cols w:space="720" w:equalWidth="0">
            <w:col w:w="11120"/>
          </w:cols>
        </w:sectPr>
      </w:pPr>
    </w:p>
    <w:p w:rsidR="00B33532" w:rsidRDefault="00187DCB">
      <w:pPr>
        <w:ind w:left="5100"/>
        <w:rPr>
          <w:sz w:val="20"/>
          <w:szCs w:val="20"/>
        </w:rPr>
      </w:pPr>
      <w:bookmarkStart w:id="3" w:name="page3"/>
      <w:bookmarkEnd w:id="3"/>
      <w:r>
        <w:rPr>
          <w:rFonts w:eastAsia="Times New Roman"/>
          <w:b/>
          <w:bCs/>
          <w:sz w:val="18"/>
          <w:szCs w:val="18"/>
        </w:rPr>
        <w:lastRenderedPageBreak/>
        <w:t>SIGNATURE</w:t>
      </w:r>
    </w:p>
    <w:p w:rsidR="00B33532" w:rsidRDefault="00B33532">
      <w:pPr>
        <w:spacing w:line="256" w:lineRule="exact"/>
        <w:rPr>
          <w:sz w:val="20"/>
          <w:szCs w:val="20"/>
        </w:rPr>
      </w:pPr>
    </w:p>
    <w:p w:rsidR="00B33532" w:rsidRDefault="00187DCB">
      <w:pPr>
        <w:spacing w:line="282" w:lineRule="auto"/>
        <w:rPr>
          <w:sz w:val="20"/>
          <w:szCs w:val="20"/>
        </w:rPr>
      </w:pPr>
      <w:r>
        <w:rPr>
          <w:rFonts w:eastAsia="Times New Roman"/>
          <w:sz w:val="18"/>
          <w:szCs w:val="18"/>
        </w:rPr>
        <w:t xml:space="preserve">Pursuant to the requirements of the Securities Exchange Act of </w:t>
      </w:r>
      <w:r>
        <w:rPr>
          <w:rFonts w:eastAsia="Times New Roman"/>
          <w:sz w:val="18"/>
          <w:szCs w:val="18"/>
        </w:rPr>
        <w:t>1934, the Registrant has duly caused this report to be signed on its behalf by the undersigned hereunto duly authorized.</w:t>
      </w:r>
    </w:p>
    <w:p w:rsidR="00B33532" w:rsidRDefault="00B33532">
      <w:pPr>
        <w:spacing w:line="185" w:lineRule="exact"/>
        <w:rPr>
          <w:sz w:val="20"/>
          <w:szCs w:val="20"/>
        </w:rPr>
      </w:pPr>
    </w:p>
    <w:p w:rsidR="00B33532" w:rsidRDefault="00187DCB">
      <w:pPr>
        <w:ind w:left="5640"/>
        <w:rPr>
          <w:sz w:val="20"/>
          <w:szCs w:val="20"/>
        </w:rPr>
      </w:pPr>
      <w:r>
        <w:rPr>
          <w:rFonts w:eastAsia="Times New Roman"/>
          <w:b/>
          <w:bCs/>
          <w:sz w:val="18"/>
          <w:szCs w:val="18"/>
        </w:rPr>
        <w:t>PHOTRONICS, INC.</w:t>
      </w:r>
    </w:p>
    <w:p w:rsidR="00B33532" w:rsidRDefault="00B33532">
      <w:pPr>
        <w:spacing w:line="31" w:lineRule="exact"/>
        <w:rPr>
          <w:sz w:val="20"/>
          <w:szCs w:val="20"/>
        </w:rPr>
      </w:pPr>
    </w:p>
    <w:p w:rsidR="00B33532" w:rsidRDefault="00187DCB">
      <w:pPr>
        <w:ind w:left="5640"/>
        <w:rPr>
          <w:sz w:val="20"/>
          <w:szCs w:val="20"/>
        </w:rPr>
      </w:pPr>
      <w:r>
        <w:rPr>
          <w:rFonts w:eastAsia="Times New Roman"/>
          <w:b/>
          <w:bCs/>
          <w:sz w:val="18"/>
          <w:szCs w:val="18"/>
        </w:rPr>
        <w:t>(Registrant)</w:t>
      </w:r>
    </w:p>
    <w:p w:rsidR="00B33532" w:rsidRDefault="00B33532">
      <w:pPr>
        <w:spacing w:line="207" w:lineRule="exact"/>
        <w:rPr>
          <w:sz w:val="20"/>
          <w:szCs w:val="20"/>
        </w:rPr>
      </w:pPr>
    </w:p>
    <w:p w:rsidR="00B33532" w:rsidRDefault="00187DCB">
      <w:pPr>
        <w:ind w:left="5640"/>
        <w:rPr>
          <w:sz w:val="20"/>
          <w:szCs w:val="20"/>
        </w:rPr>
      </w:pPr>
      <w:r>
        <w:rPr>
          <w:rFonts w:eastAsia="Times New Roman"/>
          <w:sz w:val="18"/>
          <w:szCs w:val="18"/>
        </w:rPr>
        <w:t xml:space="preserve">By: </w:t>
      </w:r>
      <w:r>
        <w:rPr>
          <w:rFonts w:eastAsia="Times New Roman"/>
          <w:sz w:val="18"/>
          <w:szCs w:val="18"/>
          <w:u w:val="single"/>
        </w:rPr>
        <w:t>/s/ Richelle E. Burr</w:t>
      </w:r>
    </w:p>
    <w:p w:rsidR="00B33532" w:rsidRDefault="00B33532">
      <w:pPr>
        <w:spacing w:line="27" w:lineRule="exact"/>
        <w:rPr>
          <w:sz w:val="20"/>
          <w:szCs w:val="20"/>
        </w:rPr>
      </w:pPr>
    </w:p>
    <w:p w:rsidR="00B33532" w:rsidRDefault="00187DCB">
      <w:pPr>
        <w:ind w:left="5640"/>
        <w:rPr>
          <w:sz w:val="20"/>
          <w:szCs w:val="20"/>
        </w:rPr>
      </w:pPr>
      <w:r>
        <w:rPr>
          <w:rFonts w:eastAsia="Times New Roman"/>
          <w:sz w:val="18"/>
          <w:szCs w:val="18"/>
        </w:rPr>
        <w:t>Name: Richelle E. Burr</w:t>
      </w:r>
    </w:p>
    <w:p w:rsidR="00B33532" w:rsidRDefault="00B33532">
      <w:pPr>
        <w:spacing w:line="9" w:lineRule="exact"/>
        <w:rPr>
          <w:sz w:val="20"/>
          <w:szCs w:val="20"/>
        </w:rPr>
      </w:pPr>
    </w:p>
    <w:p w:rsidR="00B33532" w:rsidRDefault="00187DCB">
      <w:pPr>
        <w:tabs>
          <w:tab w:val="left" w:pos="6180"/>
        </w:tabs>
        <w:ind w:left="5640"/>
        <w:rPr>
          <w:sz w:val="20"/>
          <w:szCs w:val="20"/>
        </w:rPr>
      </w:pPr>
      <w:r>
        <w:rPr>
          <w:rFonts w:eastAsia="Times New Roman"/>
          <w:sz w:val="18"/>
          <w:szCs w:val="18"/>
        </w:rPr>
        <w:t>Title:</w:t>
      </w:r>
      <w:r>
        <w:rPr>
          <w:sz w:val="20"/>
          <w:szCs w:val="20"/>
        </w:rPr>
        <w:tab/>
      </w:r>
      <w:r>
        <w:rPr>
          <w:rFonts w:eastAsia="Times New Roman"/>
          <w:sz w:val="17"/>
          <w:szCs w:val="17"/>
        </w:rPr>
        <w:t>Executive Vice President,</w:t>
      </w:r>
    </w:p>
    <w:p w:rsidR="00B33532" w:rsidRDefault="00B33532">
      <w:pPr>
        <w:spacing w:line="9" w:lineRule="exact"/>
        <w:rPr>
          <w:sz w:val="20"/>
          <w:szCs w:val="20"/>
        </w:rPr>
      </w:pPr>
    </w:p>
    <w:p w:rsidR="00B33532" w:rsidRDefault="00187DCB">
      <w:pPr>
        <w:ind w:left="6200"/>
        <w:rPr>
          <w:sz w:val="20"/>
          <w:szCs w:val="20"/>
        </w:rPr>
      </w:pPr>
      <w:r>
        <w:rPr>
          <w:rFonts w:eastAsia="Times New Roman"/>
          <w:sz w:val="18"/>
          <w:szCs w:val="18"/>
        </w:rPr>
        <w:t xml:space="preserve">Chief </w:t>
      </w:r>
      <w:r>
        <w:rPr>
          <w:rFonts w:eastAsia="Times New Roman"/>
          <w:sz w:val="18"/>
          <w:szCs w:val="18"/>
        </w:rPr>
        <w:t>Administrative Officer,</w:t>
      </w:r>
    </w:p>
    <w:p w:rsidR="00B33532" w:rsidRDefault="00B33532">
      <w:pPr>
        <w:spacing w:line="9" w:lineRule="exact"/>
        <w:rPr>
          <w:sz w:val="20"/>
          <w:szCs w:val="20"/>
        </w:rPr>
      </w:pPr>
    </w:p>
    <w:p w:rsidR="00B33532" w:rsidRDefault="00187DCB">
      <w:pPr>
        <w:ind w:left="6200"/>
        <w:rPr>
          <w:sz w:val="20"/>
          <w:szCs w:val="20"/>
        </w:rPr>
      </w:pPr>
      <w:r>
        <w:rPr>
          <w:rFonts w:eastAsia="Times New Roman"/>
          <w:sz w:val="18"/>
          <w:szCs w:val="18"/>
        </w:rPr>
        <w:t>General Counsel and Secretary</w:t>
      </w:r>
    </w:p>
    <w:p w:rsidR="00B33532" w:rsidRDefault="00B33532">
      <w:pPr>
        <w:spacing w:line="207" w:lineRule="exact"/>
        <w:rPr>
          <w:sz w:val="20"/>
          <w:szCs w:val="20"/>
        </w:rPr>
      </w:pPr>
    </w:p>
    <w:p w:rsidR="00B33532" w:rsidRDefault="00187DCB">
      <w:pPr>
        <w:rPr>
          <w:sz w:val="20"/>
          <w:szCs w:val="20"/>
        </w:rPr>
      </w:pPr>
      <w:r>
        <w:rPr>
          <w:rFonts w:eastAsia="Times New Roman"/>
          <w:sz w:val="18"/>
          <w:szCs w:val="18"/>
        </w:rPr>
        <w:t>Date: September 14, 2020</w:t>
      </w:r>
    </w:p>
    <w:p w:rsidR="00B33532" w:rsidRDefault="00187DCB">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5080</wp:posOffset>
            </wp:positionH>
            <wp:positionV relativeFrom="paragraph">
              <wp:posOffset>394335</wp:posOffset>
            </wp:positionV>
            <wp:extent cx="7132320" cy="171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B33532" w:rsidRDefault="00B33532">
      <w:pPr>
        <w:sectPr w:rsidR="00B33532">
          <w:pgSz w:w="11900" w:h="16838"/>
          <w:pgMar w:top="117" w:right="1239" w:bottom="1440" w:left="320" w:header="0" w:footer="0" w:gutter="0"/>
          <w:cols w:space="720" w:equalWidth="0">
            <w:col w:w="10340"/>
          </w:cols>
        </w:sectPr>
      </w:pPr>
    </w:p>
    <w:p w:rsidR="00B33532" w:rsidRDefault="00187DCB">
      <w:pPr>
        <w:jc w:val="right"/>
        <w:rPr>
          <w:sz w:val="20"/>
          <w:szCs w:val="20"/>
        </w:rPr>
      </w:pPr>
      <w:bookmarkStart w:id="4" w:name="page4"/>
      <w:bookmarkEnd w:id="4"/>
      <w:r>
        <w:rPr>
          <w:rFonts w:eastAsia="Times New Roman"/>
          <w:b/>
          <w:bCs/>
          <w:noProof/>
        </w:rPr>
        <w:lastRenderedPageBreak/>
        <w:drawing>
          <wp:anchor distT="0" distB="0" distL="114300" distR="114300" simplePos="0" relativeHeight="251659776" behindDoc="1" locked="0" layoutInCell="0" allowOverlap="1">
            <wp:simplePos x="0" y="0"/>
            <wp:positionH relativeFrom="page">
              <wp:posOffset>208280</wp:posOffset>
            </wp:positionH>
            <wp:positionV relativeFrom="page">
              <wp:posOffset>88900</wp:posOffset>
            </wp:positionV>
            <wp:extent cx="7132320" cy="34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blip>
                    <a:srcRect/>
                    <a:stretch>
                      <a:fillRect/>
                    </a:stretch>
                  </pic:blipFill>
                  <pic:spPr bwMode="auto">
                    <a:xfrm>
                      <a:off x="0" y="0"/>
                      <a:ext cx="7132320" cy="34290"/>
                    </a:xfrm>
                    <a:prstGeom prst="rect">
                      <a:avLst/>
                    </a:prstGeom>
                    <a:noFill/>
                  </pic:spPr>
                </pic:pic>
              </a:graphicData>
            </a:graphic>
          </wp:anchor>
        </w:drawing>
      </w:r>
      <w:r>
        <w:rPr>
          <w:rFonts w:eastAsia="Times New Roman"/>
          <w:b/>
          <w:bCs/>
        </w:rPr>
        <w:t>Exhibit 99.1</w:t>
      </w:r>
    </w:p>
    <w:p w:rsidR="00B33532" w:rsidRDefault="00187DCB">
      <w:pPr>
        <w:spacing w:line="20" w:lineRule="exac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5080</wp:posOffset>
            </wp:positionH>
            <wp:positionV relativeFrom="paragraph">
              <wp:posOffset>167640</wp:posOffset>
            </wp:positionV>
            <wp:extent cx="865505" cy="9683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blip>
                    <a:srcRect/>
                    <a:stretch>
                      <a:fillRect/>
                    </a:stretch>
                  </pic:blipFill>
                  <pic:spPr bwMode="auto">
                    <a:xfrm>
                      <a:off x="0" y="0"/>
                      <a:ext cx="865505" cy="968375"/>
                    </a:xfrm>
                    <a:prstGeom prst="rect">
                      <a:avLst/>
                    </a:prstGeom>
                    <a:noFill/>
                  </pic:spPr>
                </pic:pic>
              </a:graphicData>
            </a:graphic>
          </wp:anchor>
        </w:drawing>
      </w:r>
    </w:p>
    <w:p w:rsidR="00B33532" w:rsidRDefault="00B33532">
      <w:pPr>
        <w:spacing w:line="200" w:lineRule="exact"/>
        <w:rPr>
          <w:sz w:val="20"/>
          <w:szCs w:val="20"/>
        </w:rPr>
      </w:pPr>
    </w:p>
    <w:p w:rsidR="00B33532" w:rsidRDefault="00B33532">
      <w:pPr>
        <w:spacing w:line="200" w:lineRule="exact"/>
        <w:rPr>
          <w:sz w:val="20"/>
          <w:szCs w:val="20"/>
        </w:rPr>
      </w:pPr>
    </w:p>
    <w:p w:rsidR="00B33532" w:rsidRDefault="00B33532">
      <w:pPr>
        <w:spacing w:line="322" w:lineRule="exact"/>
        <w:rPr>
          <w:sz w:val="20"/>
          <w:szCs w:val="20"/>
        </w:rPr>
      </w:pPr>
    </w:p>
    <w:p w:rsidR="00B33532" w:rsidRDefault="00187DCB">
      <w:pPr>
        <w:jc w:val="right"/>
        <w:rPr>
          <w:sz w:val="20"/>
          <w:szCs w:val="20"/>
        </w:rPr>
      </w:pPr>
      <w:r>
        <w:rPr>
          <w:rFonts w:eastAsia="Times New Roman"/>
          <w:b/>
          <w:bCs/>
          <w:sz w:val="18"/>
          <w:szCs w:val="18"/>
        </w:rPr>
        <w:t>For Further Information:</w:t>
      </w:r>
    </w:p>
    <w:p w:rsidR="00B33532" w:rsidRDefault="00B33532">
      <w:pPr>
        <w:spacing w:line="54" w:lineRule="exact"/>
        <w:rPr>
          <w:sz w:val="20"/>
          <w:szCs w:val="20"/>
        </w:rPr>
      </w:pPr>
    </w:p>
    <w:p w:rsidR="00B33532" w:rsidRDefault="00187DCB">
      <w:pPr>
        <w:jc w:val="right"/>
        <w:rPr>
          <w:sz w:val="20"/>
          <w:szCs w:val="20"/>
        </w:rPr>
      </w:pPr>
      <w:r>
        <w:rPr>
          <w:rFonts w:eastAsia="Times New Roman"/>
          <w:sz w:val="18"/>
          <w:szCs w:val="18"/>
        </w:rPr>
        <w:t>R. Troy Dewar, CFA</w:t>
      </w:r>
    </w:p>
    <w:p w:rsidR="00B33532" w:rsidRDefault="00B33532">
      <w:pPr>
        <w:spacing w:line="50" w:lineRule="exact"/>
        <w:rPr>
          <w:sz w:val="20"/>
          <w:szCs w:val="20"/>
        </w:rPr>
      </w:pPr>
    </w:p>
    <w:p w:rsidR="00B33532" w:rsidRDefault="00187DCB">
      <w:pPr>
        <w:jc w:val="right"/>
        <w:rPr>
          <w:sz w:val="20"/>
          <w:szCs w:val="20"/>
        </w:rPr>
      </w:pPr>
      <w:r>
        <w:rPr>
          <w:rFonts w:eastAsia="Times New Roman"/>
          <w:sz w:val="18"/>
          <w:szCs w:val="18"/>
        </w:rPr>
        <w:t>Vice President, Investor Relations</w:t>
      </w:r>
    </w:p>
    <w:p w:rsidR="00B33532" w:rsidRDefault="00B33532">
      <w:pPr>
        <w:spacing w:line="50" w:lineRule="exact"/>
        <w:rPr>
          <w:sz w:val="20"/>
          <w:szCs w:val="20"/>
        </w:rPr>
      </w:pPr>
    </w:p>
    <w:p w:rsidR="00B33532" w:rsidRDefault="00187DCB">
      <w:pPr>
        <w:jc w:val="right"/>
        <w:rPr>
          <w:sz w:val="20"/>
          <w:szCs w:val="20"/>
        </w:rPr>
      </w:pPr>
      <w:r>
        <w:rPr>
          <w:rFonts w:eastAsia="Times New Roman"/>
          <w:sz w:val="18"/>
          <w:szCs w:val="18"/>
        </w:rPr>
        <w:t>(203) 740-5610</w:t>
      </w:r>
    </w:p>
    <w:p w:rsidR="00B33532" w:rsidRDefault="00B33532">
      <w:pPr>
        <w:spacing w:line="46" w:lineRule="exact"/>
        <w:rPr>
          <w:sz w:val="20"/>
          <w:szCs w:val="20"/>
        </w:rPr>
      </w:pPr>
    </w:p>
    <w:p w:rsidR="00B33532" w:rsidRDefault="00187DCB">
      <w:pPr>
        <w:tabs>
          <w:tab w:val="left" w:pos="9460"/>
        </w:tabs>
        <w:rPr>
          <w:sz w:val="20"/>
          <w:szCs w:val="20"/>
        </w:rPr>
      </w:pPr>
      <w:r>
        <w:rPr>
          <w:rFonts w:eastAsia="Times New Roman"/>
          <w:b/>
          <w:bCs/>
          <w:i/>
          <w:iCs/>
          <w:sz w:val="18"/>
          <w:szCs w:val="18"/>
        </w:rPr>
        <w:t>Press Release</w:t>
      </w:r>
      <w:r>
        <w:rPr>
          <w:sz w:val="20"/>
          <w:szCs w:val="20"/>
        </w:rPr>
        <w:tab/>
      </w:r>
      <w:r>
        <w:rPr>
          <w:rFonts w:eastAsia="Times New Roman"/>
          <w:sz w:val="17"/>
          <w:szCs w:val="17"/>
          <w:u w:val="single"/>
        </w:rPr>
        <w:t>tdewar@photronics.com</w:t>
      </w:r>
    </w:p>
    <w:p w:rsidR="00B33532" w:rsidRDefault="00187DCB">
      <w:pPr>
        <w:spacing w:line="20" w:lineRule="exact"/>
        <w:rPr>
          <w:sz w:val="20"/>
          <w:szCs w:val="20"/>
        </w:rPr>
      </w:pPr>
      <w:r>
        <w:rPr>
          <w:noProof/>
          <w:sz w:val="20"/>
          <w:szCs w:val="20"/>
        </w:rPr>
        <w:drawing>
          <wp:anchor distT="0" distB="0" distL="114300" distR="114300" simplePos="0" relativeHeight="251661824" behindDoc="1" locked="0" layoutInCell="0" allowOverlap="1">
            <wp:simplePos x="0" y="0"/>
            <wp:positionH relativeFrom="column">
              <wp:posOffset>5080</wp:posOffset>
            </wp:positionH>
            <wp:positionV relativeFrom="paragraph">
              <wp:posOffset>88265</wp:posOffset>
            </wp:positionV>
            <wp:extent cx="7132320" cy="171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p w:rsidR="00B33532" w:rsidRDefault="00B33532">
      <w:pPr>
        <w:spacing w:line="200" w:lineRule="exact"/>
        <w:rPr>
          <w:sz w:val="20"/>
          <w:szCs w:val="20"/>
        </w:rPr>
      </w:pPr>
    </w:p>
    <w:p w:rsidR="00B33532" w:rsidRDefault="00B33532">
      <w:pPr>
        <w:spacing w:line="275" w:lineRule="exact"/>
        <w:rPr>
          <w:sz w:val="20"/>
          <w:szCs w:val="20"/>
        </w:rPr>
      </w:pPr>
    </w:p>
    <w:p w:rsidR="00B33532" w:rsidRDefault="00187DCB">
      <w:pPr>
        <w:jc w:val="center"/>
        <w:rPr>
          <w:sz w:val="20"/>
          <w:szCs w:val="20"/>
        </w:rPr>
      </w:pPr>
      <w:r>
        <w:rPr>
          <w:rFonts w:eastAsia="Times New Roman"/>
          <w:b/>
          <w:bCs/>
          <w:sz w:val="18"/>
          <w:szCs w:val="18"/>
        </w:rPr>
        <w:t>Photronics Announces $100 Million Share Repurchase Program</w:t>
      </w:r>
    </w:p>
    <w:p w:rsidR="00B33532" w:rsidRDefault="00B33532">
      <w:pPr>
        <w:spacing w:line="256" w:lineRule="exact"/>
        <w:rPr>
          <w:sz w:val="20"/>
          <w:szCs w:val="20"/>
        </w:rPr>
      </w:pPr>
    </w:p>
    <w:p w:rsidR="00B33532" w:rsidRDefault="00187DCB">
      <w:pPr>
        <w:spacing w:line="266" w:lineRule="auto"/>
        <w:ind w:right="20"/>
        <w:jc w:val="both"/>
        <w:rPr>
          <w:sz w:val="20"/>
          <w:szCs w:val="20"/>
        </w:rPr>
      </w:pPr>
      <w:r>
        <w:rPr>
          <w:rFonts w:eastAsia="Times New Roman"/>
          <w:sz w:val="18"/>
          <w:szCs w:val="18"/>
        </w:rPr>
        <w:t xml:space="preserve">BROOKFIELD, Conn., September 14, 2020 (Globe Newswire) — </w:t>
      </w:r>
      <w:r>
        <w:rPr>
          <w:rFonts w:eastAsia="Times New Roman"/>
          <w:sz w:val="18"/>
          <w:szCs w:val="18"/>
          <w:u w:val="single"/>
        </w:rPr>
        <w:t>Photronics, Inc.</w:t>
      </w:r>
      <w:r>
        <w:rPr>
          <w:rFonts w:eastAsia="Times New Roman"/>
          <w:sz w:val="18"/>
          <w:szCs w:val="18"/>
        </w:rPr>
        <w:t xml:space="preserve"> (NASDAQ:PLAB), a worldwide leader in photomask technologies and solutions, announced that its Board of Directors has authorized the repurchase of up to $100 million of its common stock. The purchases will occur pursuant to a new repurchase plan under SEC </w:t>
      </w:r>
      <w:r>
        <w:rPr>
          <w:rFonts w:eastAsia="Times New Roman"/>
          <w:sz w:val="18"/>
          <w:szCs w:val="18"/>
        </w:rPr>
        <w:t>Rule 10b5-1.</w:t>
      </w:r>
    </w:p>
    <w:p w:rsidR="00B33532" w:rsidRDefault="00B33532">
      <w:pPr>
        <w:spacing w:line="203" w:lineRule="exact"/>
        <w:rPr>
          <w:sz w:val="20"/>
          <w:szCs w:val="20"/>
        </w:rPr>
      </w:pPr>
    </w:p>
    <w:p w:rsidR="00B33532" w:rsidRDefault="00187DCB">
      <w:pPr>
        <w:spacing w:line="258" w:lineRule="auto"/>
        <w:jc w:val="both"/>
        <w:rPr>
          <w:sz w:val="20"/>
          <w:szCs w:val="20"/>
        </w:rPr>
      </w:pPr>
      <w:r>
        <w:rPr>
          <w:rFonts w:eastAsia="Times New Roman"/>
          <w:sz w:val="18"/>
          <w:szCs w:val="18"/>
        </w:rPr>
        <w:t>“We paused our share repurchase activity in March of this year by terminating our previous program in light of the growing global macroeconomic uncertainty at that time,” said Peter Kirlin, chief executive officer. “Since then, both the semic</w:t>
      </w:r>
      <w:r>
        <w:rPr>
          <w:rFonts w:eastAsia="Times New Roman"/>
          <w:sz w:val="18"/>
          <w:szCs w:val="18"/>
        </w:rPr>
        <w:t>onductor and display markets have been very dynamic and we believe that on balance industry uncertainty has moderated. Furthermore, our long-term business outlook remains positive and we remain committed to our long-term growth initiatives and capital depl</w:t>
      </w:r>
      <w:r>
        <w:rPr>
          <w:rFonts w:eastAsia="Times New Roman"/>
          <w:sz w:val="18"/>
          <w:szCs w:val="18"/>
        </w:rPr>
        <w:t>oyment strategies. We have generated $78 million in cash from operating activities and increased our cash position by $54 million since the beginning of fiscal 2020. As a result, we believe now is the right time to resume our share repurchase activity.”</w:t>
      </w:r>
    </w:p>
    <w:p w:rsidR="00B33532" w:rsidRDefault="00B33532">
      <w:pPr>
        <w:spacing w:line="210" w:lineRule="exact"/>
        <w:rPr>
          <w:sz w:val="20"/>
          <w:szCs w:val="20"/>
        </w:rPr>
      </w:pPr>
    </w:p>
    <w:p w:rsidR="00B33532" w:rsidRDefault="00187DCB">
      <w:pPr>
        <w:spacing w:line="282" w:lineRule="auto"/>
        <w:ind w:right="20"/>
        <w:jc w:val="both"/>
        <w:rPr>
          <w:sz w:val="20"/>
          <w:szCs w:val="20"/>
        </w:rPr>
      </w:pPr>
      <w:r>
        <w:rPr>
          <w:rFonts w:eastAsia="Times New Roman"/>
          <w:sz w:val="18"/>
          <w:szCs w:val="18"/>
        </w:rPr>
        <w:t>T</w:t>
      </w:r>
      <w:r>
        <w:rPr>
          <w:rFonts w:eastAsia="Times New Roman"/>
          <w:sz w:val="18"/>
          <w:szCs w:val="18"/>
        </w:rPr>
        <w:t>his authorization does not obligate the Company to repurchase any dollar amount or number of shares of common stock. The repurchase program may be suspended or discontinued at any time.</w:t>
      </w:r>
    </w:p>
    <w:p w:rsidR="00B33532" w:rsidRDefault="00B33532">
      <w:pPr>
        <w:spacing w:line="185" w:lineRule="exact"/>
        <w:rPr>
          <w:sz w:val="20"/>
          <w:szCs w:val="20"/>
        </w:rPr>
      </w:pPr>
    </w:p>
    <w:p w:rsidR="00B33532" w:rsidRDefault="00187DCB">
      <w:pPr>
        <w:rPr>
          <w:sz w:val="20"/>
          <w:szCs w:val="20"/>
        </w:rPr>
      </w:pPr>
      <w:r>
        <w:rPr>
          <w:rFonts w:eastAsia="Times New Roman"/>
          <w:b/>
          <w:bCs/>
          <w:sz w:val="18"/>
          <w:szCs w:val="18"/>
        </w:rPr>
        <w:t>About Photronics</w:t>
      </w:r>
    </w:p>
    <w:p w:rsidR="00B33532" w:rsidRDefault="00B33532">
      <w:pPr>
        <w:spacing w:line="256" w:lineRule="exact"/>
        <w:rPr>
          <w:sz w:val="20"/>
          <w:szCs w:val="20"/>
        </w:rPr>
      </w:pPr>
    </w:p>
    <w:p w:rsidR="00B33532" w:rsidRDefault="00187DCB">
      <w:pPr>
        <w:spacing w:line="261" w:lineRule="auto"/>
        <w:jc w:val="both"/>
        <w:rPr>
          <w:sz w:val="20"/>
          <w:szCs w:val="20"/>
        </w:rPr>
      </w:pPr>
      <w:r>
        <w:rPr>
          <w:rFonts w:eastAsia="Times New Roman"/>
          <w:sz w:val="18"/>
          <w:szCs w:val="18"/>
          <w:u w:val="single"/>
        </w:rPr>
        <w:t>Photronics</w:t>
      </w:r>
      <w:r>
        <w:rPr>
          <w:rFonts w:eastAsia="Times New Roman"/>
          <w:sz w:val="18"/>
          <w:szCs w:val="18"/>
        </w:rPr>
        <w:t xml:space="preserve"> is a leading worldwide manufacturer of integrated circuit (IC) and flat panel display (FPD) </w:t>
      </w:r>
      <w:r>
        <w:rPr>
          <w:rFonts w:eastAsia="Times New Roman"/>
          <w:sz w:val="18"/>
          <w:szCs w:val="18"/>
          <w:u w:val="single"/>
        </w:rPr>
        <w:t>photomasks</w:t>
      </w:r>
      <w:r>
        <w:rPr>
          <w:rFonts w:eastAsia="Times New Roman"/>
          <w:sz w:val="18"/>
          <w:szCs w:val="18"/>
        </w:rPr>
        <w:t>. High precision quartz plates that contain microscopic images of electronic circuits, photomasks are a key element in the IC and FPD manufacturing proce</w:t>
      </w:r>
      <w:r>
        <w:rPr>
          <w:rFonts w:eastAsia="Times New Roman"/>
          <w:sz w:val="18"/>
          <w:szCs w:val="18"/>
        </w:rPr>
        <w:t xml:space="preserve">ss. Founded in 1969, Photronics has been a trusted photomask supplier for 50 years. As of October 31, 2019, the company had 1,775 employees. The company has 11 strategically located </w:t>
      </w:r>
      <w:r>
        <w:rPr>
          <w:rFonts w:eastAsia="Times New Roman"/>
          <w:sz w:val="18"/>
          <w:szCs w:val="18"/>
          <w:u w:val="single"/>
        </w:rPr>
        <w:t>manufacturing facilities</w:t>
      </w:r>
      <w:r>
        <w:rPr>
          <w:rFonts w:eastAsia="Times New Roman"/>
          <w:sz w:val="18"/>
          <w:szCs w:val="18"/>
        </w:rPr>
        <w:t xml:space="preserve"> in Asia, Europe, and North America. Additional in</w:t>
      </w:r>
      <w:r>
        <w:rPr>
          <w:rFonts w:eastAsia="Times New Roman"/>
          <w:sz w:val="18"/>
          <w:szCs w:val="18"/>
        </w:rPr>
        <w:t xml:space="preserve">formation on the company can be accessed at </w:t>
      </w:r>
      <w:r>
        <w:rPr>
          <w:rFonts w:eastAsia="Times New Roman"/>
          <w:sz w:val="18"/>
          <w:szCs w:val="18"/>
          <w:u w:val="single"/>
        </w:rPr>
        <w:t>www.photronics.com.</w:t>
      </w:r>
    </w:p>
    <w:p w:rsidR="00B33532" w:rsidRDefault="00B33532">
      <w:pPr>
        <w:spacing w:line="203" w:lineRule="exact"/>
        <w:rPr>
          <w:sz w:val="20"/>
          <w:szCs w:val="20"/>
        </w:rPr>
      </w:pPr>
    </w:p>
    <w:p w:rsidR="00B33532" w:rsidRDefault="00187DCB">
      <w:pPr>
        <w:rPr>
          <w:sz w:val="20"/>
          <w:szCs w:val="20"/>
        </w:rPr>
      </w:pPr>
      <w:r>
        <w:rPr>
          <w:rFonts w:eastAsia="Times New Roman"/>
          <w:b/>
          <w:bCs/>
          <w:sz w:val="18"/>
          <w:szCs w:val="18"/>
        </w:rPr>
        <w:t>Forward-Looking Statements</w:t>
      </w:r>
    </w:p>
    <w:p w:rsidR="00B33532" w:rsidRDefault="00B33532">
      <w:pPr>
        <w:spacing w:line="256" w:lineRule="exact"/>
        <w:rPr>
          <w:sz w:val="20"/>
          <w:szCs w:val="20"/>
        </w:rPr>
      </w:pPr>
    </w:p>
    <w:p w:rsidR="00B33532" w:rsidRDefault="00187DCB">
      <w:pPr>
        <w:spacing w:line="254" w:lineRule="auto"/>
        <w:jc w:val="both"/>
        <w:rPr>
          <w:sz w:val="20"/>
          <w:szCs w:val="20"/>
        </w:rPr>
      </w:pPr>
      <w:r>
        <w:rPr>
          <w:rFonts w:eastAsia="Times New Roman"/>
          <w:sz w:val="18"/>
          <w:szCs w:val="18"/>
        </w:rPr>
        <w:t>The Private Securities Litigation Reform Act of 1995 provides a “safe harbor” for forward-looking statements made by or on behalf of the company and its subsidiari</w:t>
      </w:r>
      <w:r>
        <w:rPr>
          <w:rFonts w:eastAsia="Times New Roman"/>
          <w:sz w:val="18"/>
          <w:szCs w:val="18"/>
        </w:rPr>
        <w:t xml:space="preserve">es. The forward-looking statements contained in this press release involve risks and uncertainties that may affect the company’s operations, markets, products, services, prices, and other factors. These risks and uncertainties include, but are not limited </w:t>
      </w:r>
      <w:r>
        <w:rPr>
          <w:rFonts w:eastAsia="Times New Roman"/>
          <w:sz w:val="18"/>
          <w:szCs w:val="18"/>
        </w:rPr>
        <w:t>to, economic, competitive, legal, governmental, political, and technological factors as well as decisions we may make in the future regarding our business, capital structure and other matters. These forward-looking statements generally can be identified by</w:t>
      </w:r>
      <w:r>
        <w:rPr>
          <w:rFonts w:eastAsia="Times New Roman"/>
          <w:sz w:val="18"/>
          <w:szCs w:val="18"/>
        </w:rPr>
        <w:t xml:space="preserve"> phrases such as “believes”, “expects”, “anticipates”, “plans”, “projects”, and similar expressions. There is no assurance that the company’s expectations will be realized. For additional information please see the company’s quarterly and annual reports fi</w:t>
      </w:r>
      <w:r>
        <w:rPr>
          <w:rFonts w:eastAsia="Times New Roman"/>
          <w:sz w:val="18"/>
          <w:szCs w:val="18"/>
        </w:rPr>
        <w:t>led with the Securities and Exchange Commission. The company assumes no obligation to provide revisions to any forward-looking statements.</w:t>
      </w:r>
    </w:p>
    <w:p w:rsidR="00B33532" w:rsidRDefault="00187DCB">
      <w:pPr>
        <w:spacing w:line="20" w:lineRule="exact"/>
        <w:rPr>
          <w:sz w:val="20"/>
          <w:szCs w:val="20"/>
        </w:rPr>
      </w:pPr>
      <w:r>
        <w:rPr>
          <w:noProof/>
          <w:sz w:val="20"/>
          <w:szCs w:val="20"/>
        </w:rPr>
        <w:drawing>
          <wp:anchor distT="0" distB="0" distL="114300" distR="114300" simplePos="0" relativeHeight="251662848" behindDoc="1" locked="0" layoutInCell="0" allowOverlap="1">
            <wp:simplePos x="0" y="0"/>
            <wp:positionH relativeFrom="column">
              <wp:posOffset>5080</wp:posOffset>
            </wp:positionH>
            <wp:positionV relativeFrom="paragraph">
              <wp:posOffset>373380</wp:posOffset>
            </wp:positionV>
            <wp:extent cx="7132320" cy="171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blip>
                    <a:srcRect/>
                    <a:stretch>
                      <a:fillRect/>
                    </a:stretch>
                  </pic:blipFill>
                  <pic:spPr bwMode="auto">
                    <a:xfrm>
                      <a:off x="0" y="0"/>
                      <a:ext cx="7132320" cy="17145"/>
                    </a:xfrm>
                    <a:prstGeom prst="rect">
                      <a:avLst/>
                    </a:prstGeom>
                    <a:noFill/>
                  </pic:spPr>
                </pic:pic>
              </a:graphicData>
            </a:graphic>
          </wp:anchor>
        </w:drawing>
      </w:r>
    </w:p>
    <w:sectPr w:rsidR="00B33532">
      <w:pgSz w:w="11900" w:h="16838"/>
      <w:pgMar w:top="270" w:right="339" w:bottom="1440" w:left="320" w:header="0" w:footer="0" w:gutter="0"/>
      <w:cols w:space="720" w:equalWidth="0">
        <w:col w:w="112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B23C6"/>
    <w:multiLevelType w:val="hybridMultilevel"/>
    <w:tmpl w:val="B308A6E0"/>
    <w:lvl w:ilvl="0" w:tplc="491066E6">
      <w:start w:val="1"/>
      <w:numFmt w:val="bullet"/>
      <w:lvlText w:val="☐"/>
      <w:lvlJc w:val="left"/>
    </w:lvl>
    <w:lvl w:ilvl="1" w:tplc="E530EBF6">
      <w:numFmt w:val="decimal"/>
      <w:lvlText w:val=""/>
      <w:lvlJc w:val="left"/>
    </w:lvl>
    <w:lvl w:ilvl="2" w:tplc="D9A670D6">
      <w:numFmt w:val="decimal"/>
      <w:lvlText w:val=""/>
      <w:lvlJc w:val="left"/>
    </w:lvl>
    <w:lvl w:ilvl="3" w:tplc="3C3AF09A">
      <w:numFmt w:val="decimal"/>
      <w:lvlText w:val=""/>
      <w:lvlJc w:val="left"/>
    </w:lvl>
    <w:lvl w:ilvl="4" w:tplc="CDF6F3F2">
      <w:numFmt w:val="decimal"/>
      <w:lvlText w:val=""/>
      <w:lvlJc w:val="left"/>
    </w:lvl>
    <w:lvl w:ilvl="5" w:tplc="3D44CA16">
      <w:numFmt w:val="decimal"/>
      <w:lvlText w:val=""/>
      <w:lvlJc w:val="left"/>
    </w:lvl>
    <w:lvl w:ilvl="6" w:tplc="531E10F4">
      <w:numFmt w:val="decimal"/>
      <w:lvlText w:val=""/>
      <w:lvlJc w:val="left"/>
    </w:lvl>
    <w:lvl w:ilvl="7" w:tplc="B7829250">
      <w:numFmt w:val="decimal"/>
      <w:lvlText w:val=""/>
      <w:lvlJc w:val="left"/>
    </w:lvl>
    <w:lvl w:ilvl="8" w:tplc="A634A3EA">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32"/>
    <w:rsid w:val="00187DCB"/>
    <w:rsid w:val="00B33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CAA69-C5BA-4669-81D7-FF6D4EA1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Dela cruz, John patrick M.</cp:lastModifiedBy>
  <cp:revision>2</cp:revision>
  <dcterms:created xsi:type="dcterms:W3CDTF">2020-09-17T19:27:00Z</dcterms:created>
  <dcterms:modified xsi:type="dcterms:W3CDTF">2020-09-17T19:27:00Z</dcterms:modified>
</cp:coreProperties>
</file>