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ind w:left="4260" w:right="1800" w:hanging="4074"/>
        <w:spacing w:after="0" w:line="516" w:lineRule="auto"/>
        <w:tabs>
          <w:tab w:leader="none" w:pos="83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October 29, 2017</w:t>
      </w:r>
    </w:p>
    <w:p>
      <w:pPr>
        <w:spacing w:after="0" w:line="1" w:lineRule="exact"/>
        <w:rPr>
          <w:rFonts w:ascii="MS PGothic" w:cs="MS PGothic" w:eastAsia="MS PGothic" w:hAnsi="MS PGothic"/>
          <w:sz w:val="18"/>
          <w:szCs w:val="18"/>
          <w:color w:val="auto"/>
          <w:highlight w:val="black"/>
        </w:rPr>
      </w:pPr>
    </w:p>
    <w:p>
      <w:pPr>
        <w:ind w:left="56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252" w:lineRule="exact"/>
        <w:rPr>
          <w:sz w:val="24"/>
          <w:szCs w:val="24"/>
          <w:color w:val="auto"/>
        </w:rPr>
      </w:pPr>
    </w:p>
    <w:p>
      <w:pPr>
        <w:ind w:left="4240" w:right="1420" w:hanging="4054"/>
        <w:spacing w:after="0" w:line="532" w:lineRule="auto"/>
        <w:tabs>
          <w:tab w:leader="none" w:pos="83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ind w:left="44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3444240</wp:posOffset>
            </wp:positionH>
            <wp:positionV relativeFrom="paragraph">
              <wp:posOffset>172085</wp:posOffset>
            </wp:positionV>
            <wp:extent cx="37719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19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PHOTRONICS,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535" w:right="239" w:bottom="0" w:gutter="0" w:footer="0" w:header="0"/>
        </w:sectPr>
      </w:pPr>
    </w:p>
    <w:p>
      <w:pPr>
        <w:spacing w:after="0" w:line="232"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Connecticut</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06-0854886</w:t>
      </w:r>
    </w:p>
    <w:p>
      <w:pPr>
        <w:spacing w:after="0" w:line="27" w:lineRule="exact"/>
        <w:rPr>
          <w:sz w:val="24"/>
          <w:szCs w:val="24"/>
          <w:color w:val="auto"/>
        </w:rPr>
      </w:pPr>
    </w:p>
    <w:p>
      <w:pPr>
        <w:jc w:val="center"/>
        <w:ind w:right="1580"/>
        <w:spacing w:after="0"/>
        <w:rPr>
          <w:sz w:val="20"/>
          <w:szCs w:val="20"/>
          <w:color w:val="auto"/>
        </w:rPr>
      </w:pPr>
      <w:r>
        <w:rPr>
          <w:rFonts w:ascii="Arial" w:cs="Arial" w:eastAsia="Arial" w:hAnsi="Arial"/>
          <w:sz w:val="16"/>
          <w:szCs w:val="16"/>
          <w:i w:val="1"/>
          <w:iCs w:val="1"/>
          <w:color w:val="auto"/>
        </w:rPr>
        <w:t>(IRS Employer Identification No.)</w:t>
      </w:r>
    </w:p>
    <w:p>
      <w:pPr>
        <w:spacing w:after="0" w:line="32" w:lineRule="exact"/>
        <w:rPr>
          <w:sz w:val="24"/>
          <w:szCs w:val="24"/>
          <w:color w:val="auto"/>
        </w:rPr>
      </w:pPr>
    </w:p>
    <w:p>
      <w:pPr>
        <w:sectPr>
          <w:pgSz w:w="11900" w:h="16838" w:orient="portrait"/>
          <w:cols w:equalWidth="0" w:num="2">
            <w:col w:w="6680" w:space="720"/>
            <w:col w:w="4020"/>
          </w:cols>
          <w:pgMar w:left="240" w:top="535" w:right="239" w:bottom="0" w:gutter="0" w:footer="0" w:header="0"/>
          <w:type w:val="continuous"/>
        </w:sectPr>
      </w:pPr>
    </w:p>
    <w:p>
      <w:pPr>
        <w:ind w:left="3600"/>
        <w:spacing w:after="0"/>
        <w:rPr>
          <w:sz w:val="20"/>
          <w:szCs w:val="20"/>
          <w:color w:val="auto"/>
        </w:rPr>
      </w:pPr>
      <w:r>
        <w:rPr>
          <w:rFonts w:ascii="Arial" w:cs="Arial" w:eastAsia="Arial" w:hAnsi="Arial"/>
          <w:sz w:val="19"/>
          <w:szCs w:val="19"/>
          <w:b w:val="1"/>
          <w:bCs w:val="1"/>
          <w:color w:val="auto"/>
        </w:rPr>
        <w:t>15 Secor Road, Brookfield, Connecticut 06804</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offices)(Zip Code)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(203) 775-9000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Securities registered pursuant to Section 12(b) of the Act:</w:t>
      </w:r>
    </w:p>
    <w:p>
      <w:pPr>
        <w:sectPr>
          <w:pgSz w:w="11900" w:h="16838" w:orient="portrait"/>
          <w:cols w:equalWidth="0" w:num="1">
            <w:col w:w="11420"/>
          </w:cols>
          <w:pgMar w:left="240" w:top="535" w:right="239" w:bottom="0" w:gutter="0" w:footer="0" w:header="0"/>
          <w:type w:val="continuous"/>
        </w:sectPr>
      </w:pPr>
    </w:p>
    <w:p>
      <w:pPr>
        <w:spacing w:after="0" w:line="46"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Title of each class</w:t>
      </w:r>
    </w:p>
    <w:p>
      <w:pPr>
        <w:spacing w:after="0" w:line="9"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Common Stock, $.01 par value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44"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NASDAQ Global Select Market</w:t>
      </w:r>
    </w:p>
    <w:p>
      <w:pPr>
        <w:spacing w:after="0" w:line="200" w:lineRule="exact"/>
        <w:rPr>
          <w:sz w:val="24"/>
          <w:szCs w:val="24"/>
          <w:color w:val="auto"/>
        </w:rPr>
      </w:pPr>
    </w:p>
    <w:p>
      <w:pPr>
        <w:sectPr>
          <w:pgSz w:w="11900" w:h="16838" w:orient="portrait"/>
          <w:cols w:equalWidth="0" w:num="2">
            <w:col w:w="6240" w:space="720"/>
            <w:col w:w="4460"/>
          </w:cols>
          <w:pgMar w:left="240" w:top="535" w:right="239" w:bottom="0" w:gutter="0" w:footer="0" w:header="0"/>
          <w:type w:val="continuous"/>
        </w:sectPr>
      </w:pP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Securities registered pursuant to Section 12(g)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8"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1" w:lineRule="exact"/>
        <w:rPr>
          <w:sz w:val="24"/>
          <w:szCs w:val="24"/>
          <w:color w:val="auto"/>
        </w:rPr>
      </w:pPr>
    </w:p>
    <w:p>
      <w:pPr>
        <w:ind w:right="440"/>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ind w:left="180" w:right="1340"/>
        <w:spacing w:after="0" w:line="229"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As of April 30, 2017, which was the last business day of the registrant’s most recently completed second fiscal quarter, the aggregate market value of the shares of the registrant’s common stock held by non-affiliates was approximately $777,531,974 (based upon the closing price of $11.50 per share as reported</w:t>
      </w:r>
    </w:p>
    <w:p>
      <w:pPr>
        <w:sectPr>
          <w:pgSz w:w="11900" w:h="16838" w:orient="portrait"/>
          <w:cols w:equalWidth="0" w:num="1">
            <w:col w:w="11420"/>
          </w:cols>
          <w:pgMar w:left="240" w:top="53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by the NASDAQ Global Select Market on that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15, 2017, 69,052,587 shares of the registrant’s common stock were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8420" w:type="dxa"/>
            <w:vAlign w:val="bottom"/>
          </w:tcPr>
          <w:p>
            <w:pPr>
              <w:jc w:val="right"/>
              <w:ind w:right="3550"/>
              <w:spacing w:after="0"/>
              <w:rPr>
                <w:sz w:val="20"/>
                <w:szCs w:val="20"/>
                <w:color w:val="auto"/>
              </w:rPr>
            </w:pPr>
            <w:r>
              <w:rPr>
                <w:rFonts w:ascii="Arial" w:cs="Arial" w:eastAsia="Arial" w:hAnsi="Arial"/>
                <w:sz w:val="18"/>
                <w:szCs w:val="18"/>
                <w:b w:val="1"/>
                <w:bCs w:val="1"/>
                <w:color w:val="auto"/>
              </w:rPr>
              <w:t>DOCUMENTS INCORPORATED BY REFERENCE</w:t>
            </w: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Proxy Statement for the 2018</w:t>
            </w:r>
          </w:p>
        </w:tc>
        <w:tc>
          <w:tcPr>
            <w:tcW w:w="8420" w:type="dxa"/>
            <w:vAlign w:val="bottom"/>
          </w:tcPr>
          <w:p>
            <w:pPr>
              <w:spacing w:after="0"/>
              <w:rPr>
                <w:sz w:val="24"/>
                <w:szCs w:val="24"/>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Annual Meeting of Shareholders</w:t>
            </w:r>
          </w:p>
        </w:tc>
        <w:tc>
          <w:tcPr>
            <w:tcW w:w="8420" w:type="dxa"/>
            <w:vAlign w:val="bottom"/>
          </w:tcPr>
          <w:p>
            <w:pPr>
              <w:jc w:val="right"/>
              <w:spacing w:after="0"/>
              <w:rPr>
                <w:sz w:val="20"/>
                <w:szCs w:val="20"/>
                <w:color w:val="auto"/>
              </w:rPr>
            </w:pPr>
            <w:r>
              <w:rPr>
                <w:rFonts w:ascii="Arial" w:cs="Arial" w:eastAsia="Arial" w:hAnsi="Arial"/>
                <w:sz w:val="18"/>
                <w:szCs w:val="18"/>
                <w:color w:val="auto"/>
              </w:rPr>
              <w:t>Incorporated into Part III</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to be held in March 22, 2018</w:t>
            </w:r>
          </w:p>
        </w:tc>
        <w:tc>
          <w:tcPr>
            <w:tcW w:w="8420" w:type="dxa"/>
            <w:vAlign w:val="bottom"/>
          </w:tcPr>
          <w:p>
            <w:pPr>
              <w:jc w:val="right"/>
              <w:spacing w:after="0"/>
              <w:rPr>
                <w:sz w:val="20"/>
                <w:szCs w:val="20"/>
                <w:color w:val="auto"/>
              </w:rPr>
            </w:pPr>
            <w:r>
              <w:rPr>
                <w:rFonts w:ascii="Arial" w:cs="Arial" w:eastAsia="Arial" w:hAnsi="Arial"/>
                <w:sz w:val="18"/>
                <w:szCs w:val="18"/>
                <w:color w:val="auto"/>
              </w:rPr>
              <w:t>of this Form 10-K</w:t>
            </w:r>
          </w:p>
        </w:tc>
      </w:tr>
      <w:tr>
        <w:trPr>
          <w:trHeight w:val="351"/>
        </w:trPr>
        <w:tc>
          <w:tcPr>
            <w:tcW w:w="300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r>
        <w:trPr>
          <w:trHeight w:val="163"/>
        </w:trPr>
        <w:tc>
          <w:tcPr>
            <w:tcW w:w="3000" w:type="dxa"/>
            <w:vAlign w:val="bottom"/>
            <w:tcBorders>
              <w:bottom w:val="single" w:sz="8" w:color="auto"/>
            </w:tcBorders>
          </w:tcPr>
          <w:p>
            <w:pPr>
              <w:spacing w:after="0"/>
              <w:rPr>
                <w:sz w:val="14"/>
                <w:szCs w:val="14"/>
                <w:color w:val="auto"/>
              </w:rPr>
            </w:pPr>
          </w:p>
        </w:tc>
        <w:tc>
          <w:tcPr>
            <w:tcW w:w="8420" w:type="dxa"/>
            <w:vAlign w:val="bottom"/>
            <w:tcBorders>
              <w:bottom w:val="single" w:sz="8" w:color="auto"/>
            </w:tcBorders>
          </w:tcPr>
          <w:p>
            <w:pPr>
              <w:spacing w:after="0"/>
              <w:rPr>
                <w:sz w:val="14"/>
                <w:szCs w:val="14"/>
                <w:color w:val="auto"/>
              </w:rPr>
            </w:pPr>
          </w:p>
        </w:tc>
      </w:tr>
      <w:tr>
        <w:trPr>
          <w:trHeight w:val="183"/>
        </w:trPr>
        <w:tc>
          <w:tcPr>
            <w:tcW w:w="3000" w:type="dxa"/>
            <w:vAlign w:val="bottom"/>
            <w:tcBorders>
              <w:bottom w:val="single" w:sz="8" w:color="auto"/>
            </w:tcBorders>
          </w:tcPr>
          <w:p>
            <w:pPr>
              <w:spacing w:after="0"/>
              <w:rPr>
                <w:sz w:val="15"/>
                <w:szCs w:val="15"/>
                <w:color w:val="auto"/>
              </w:rPr>
            </w:pPr>
          </w:p>
        </w:tc>
        <w:tc>
          <w:tcPr>
            <w:tcW w:w="842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the “Company”, “we”, “our”, or “us”). These statements are based on management’s beliefs, as well as assumptions made by, and information currently available to, management. Forward-looking statements may be identified by words like “expect,” “anticipate,” “believe,” “plan,” “project,” “could,” “estimate,” “intend,” “may,” “will” and similar expressions, or the negative of such terms, or other comparable terminology. All forward-looking statements involve risks and uncertainties that are difficult to predict. In particular, any statement contained in this annual report on Form 10-K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and changes in tax laws and rates;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the occurrence of regulatory proceedings, claims or litigation;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Photronics, Inc. (and its subsidiaries, collectively referred to herein as “Photronics”, the “Company”, “we”, “our”, or “us”) is one of the world’s leading manufacturers of photomasks, which are high precision photographic quartz or glass plates containing microscopic images of electronic circuits. Photomasks are a key element in the manufacture of semiconductors and flat panel displays (“FPDs”), and are used as masters to transfer circuit patterns onto semiconductor wafers and flat panel display substrates during the fabrication of integrated circuits (“ICs” or “semiconductors”) and a variety of FPDs and, to a lesser extent, other types of electrical and optical components. The Company currently operates principally from nine manufacturing facilities; two of which are located in Europe, three in Taiwan, one in Korea and three in the United States. We have announced plans to construct two manufacturing facilities in China, as we expand our global manufacturing footprint. See Note 19 to the consolidated financial statements for additional information.</w:t>
      </w:r>
    </w:p>
    <w:p>
      <w:pPr>
        <w:spacing w:after="0" w:line="19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Photronics is a Connecticut corporation, organized in 1969. Our principal executive offices are located at 15 Secor Road, Brookfield, Connecticut 06804, telephone (203) 775-9000. Our website address is http://www.photronics.com. We make available, free of charge through our website, our Annual Reports on Form 10-K, Quarterly Reports on Form 10-Q, Current Reports on Form 8-K, and any amendments to these reports as soon as reasonably practicable after such materials are electronically filed with, or furnished to, the Securities and Exchange Commission (“SEC”). The information found on, or incorporated into, our website is not part of this or any other report we file with or furnish to the SEC. These reports may also be obtained at the SEC’s Public Reference Room at 100 F Street, N.E., Washington, DC 20549. Investors may obtain information on the operation of the Public Reference Room by calling the SEC at 1-800-SEC-0330. The SEC also maintains a website at http://www.sec.gov that contains reports, proxy statements and other information regarding SEC registrants, including Photronics.</w:t>
      </w:r>
    </w:p>
    <w:p>
      <w:pPr>
        <w:spacing w:after="0" w:line="19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Board has adopted a code of ethics, which is posted on the Company’s website at http://www.photronics.com/plab/photronics/. The code of ethics may be found as follows: from the Company’s web address listed above, first click on “Investors” then click on “Corporate Governance”, then on “Photronics, Inc. Code of Ethics”. The Company’s code of ethics applies to the Company’s senior financial officers, including our Chief Executive Officer; Senior Vice President and Chief Financial Officer; Chief Financial Officer, Asia; Vice President and Treasurer; Vice President, Corporate Controller; and Vice President, Tax. We intend to disclose any amendment to, or waiver from, the code of ethics for our senior financial officers, including our principal executive officer, principal financial officer, principal accounting officer or controller or persons performing similar functions, to the extent disclosure is required by applicable rules of the SEC and NASDAQ Stock Market LLC by posting such information on our website, at the address and location specified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Manufacturing Technology</w:t>
      </w:r>
    </w:p>
    <w:p>
      <w:pPr>
        <w:spacing w:after="0" w:line="256" w:lineRule="exact"/>
        <w:rPr>
          <w:sz w:val="20"/>
          <w:szCs w:val="20"/>
          <w:color w:val="auto"/>
        </w:rPr>
      </w:pPr>
    </w:p>
    <w:p>
      <w:pPr>
        <w:ind w:right="240" w:firstLine="324"/>
        <w:spacing w:after="0" w:line="290" w:lineRule="auto"/>
        <w:rPr>
          <w:sz w:val="20"/>
          <w:szCs w:val="20"/>
          <w:color w:val="auto"/>
        </w:rPr>
      </w:pPr>
      <w:r>
        <w:rPr>
          <w:rFonts w:ascii="Arial" w:cs="Arial" w:eastAsia="Arial" w:hAnsi="Arial"/>
          <w:sz w:val="16"/>
          <w:szCs w:val="16"/>
          <w:color w:val="auto"/>
        </w:rPr>
        <w:t>We manufacture photomasks, which are used as masters to transfer circuit patterns onto semiconductor wafers and flat panel display substrates. Photomasks are manufactured in accordance with circuit designs provided to us on a confidential basis by our customers. IC and FPD photomask sets are manufactured in layers, each having a distinct pattern which is etched onto a different photomask. The resulting series of photomasks is then used to image the circuit patterns onto each successive layer of a semiconductor wafer or flat panel display substrate. The typical manufacturing process for a photomask involves the receipt and conversion of circuit design data to manufacturing pattern data. A lithography system then exposes the circuit pattern onto the photomask blank. The exposed areas are developed and etched to produce that pattern on the photomask. The photomask is then inspected for defects and conformity to the customer’s design data. After any defects are repaired, the photomask is cleaned, any required pellicles (protective translucent cellulose membranes) are applied and, after final inspection, the photomask is shipped to the customer.</w:t>
      </w:r>
    </w:p>
    <w:p>
      <w:pPr>
        <w:spacing w:after="0" w:line="19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currently support customers across the full spectrum of IC production and FPD technologies by manufacturing photomasks using electron beam or optical (laser-based) systems, which are the predominant technologies used for photomask manufacturing, and are capable of producing the finer line resolution, tighter overlay and larger die size for the larger and more complex circuits currently being designed. Electron beam and laser generated photomasks can be used to produce the most advanced semiconductors and FPDs for use in an array of products. However, in the case of IC production, the large majority of higher cost critical layer photomasks are fabricated using electron beam technologies, while photomasks produced using laser-based systems are less expensive and less precise. End markets served with IC photomasks include devices used for microprocessors, memory, telecommunications and related applications. We currently own a number of both high-end and mature electron beam and laser-based systems.</w:t>
      </w:r>
    </w:p>
    <w:p>
      <w:pPr>
        <w:spacing w:after="0" w:line="19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first several layers of photomasks are sometimes required to be delivered by us within 24 hours from the time we receive customers’ design data. The ability to manufacture high quality photomasks within short time periods is dependent upon robust processes, efficient manufacturing methods, high production yield, available manufacturing capacity and high equipment reliability. We work to meet these requirements by making significant investments in research and development, capital equipment, manufacturing and data processing systems, and by utilizing statistical process control methods to optimize our manufacturing processes and reduce cycle times.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firstLine="324"/>
        <w:spacing w:after="0" w:line="259" w:lineRule="auto"/>
        <w:rPr>
          <w:sz w:val="20"/>
          <w:szCs w:val="20"/>
          <w:color w:val="auto"/>
        </w:rPr>
      </w:pPr>
      <w:r>
        <w:rPr>
          <w:rFonts w:ascii="Arial" w:cs="Arial" w:eastAsia="Arial" w:hAnsi="Arial"/>
          <w:sz w:val="18"/>
          <w:szCs w:val="18"/>
          <w:color w:val="auto"/>
        </w:rPr>
        <w:t>Quality control is an integral part of the photomask manufacturing process. Photomasks are manufactured in temperature, humidity, and particulate-controlled clean rooms because of the high level of precision, quality and manufacturing yield required. Each photomask is inspected several times during the manufacturing process to ensure compliance with customer specifications. We continue to make substantial investments in equipment to inspect and repair photomasks to ensure that customer specifications are met.</w:t>
      </w:r>
    </w:p>
    <w:p>
      <w:pPr>
        <w:spacing w:after="0" w:line="21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majority of IC photomasks produced for the semiconductor industry employ geometries of larger than 45 nanometers. At these geometries, we can produce full lines of photomasks and there is no significant technology employed by our competitors that is not also available to us. We are also capable of producing full lines of photomasks for high-end IC and FPD applications. In the case of ICs, this includes photomasks at and below the 45 nanometer technology node and, for FPDs, at and above the Generation 8 technology node and active-matrix organic light-emitting diode (AMOLED) display screens. We hold customer-qualified manufacturing capability and own, or have access to, technology that enables us to compete in the high-end markets that serve IC and FPD applications.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market for photomasks primarily consists of domestic and non-US semiconductor and FPD manufacturers and designers. Photomasks are manufactured by independent merchant manufacturers like Photronics, and by semiconductor and FPD manufacturers that produce photomasks for their own use (captive manufacturers). In some instances, captive manufacturers also sell to other semiconductor or FPD manufacturers. Previously there was a trend towards the divesture or closing of captive photomask operations by semiconductor manufacturers and an increase in the share of the market served by independent manufacturers. This trend was driven by the increased complexity and cost of capital equipment used in manufacturing photomasks and the lack of economy of scale for many semiconductor and FPD manufacturers to effectively utilize the equipment. However, more recently, the remaining and largest captive mask facilities have started investing at faster rates than independent manufacturers to reach certain roadmap milestones, particularly in the foundry logic and memory spaces. Nevertheless, most captive manufacturers maintain business and technology relationships with independent photomask manufacturers for ongoing support.</w:t>
      </w:r>
    </w:p>
    <w:p>
      <w:pPr>
        <w:spacing w:after="0" w:line="209"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Generally, Photronics and each of its customers engage in a qualification and correlation process before one becomes an approved supplier. Thereafter, based on the customer’s expectations, we typically negotiate pricing parameters for a customer’s orders. Some prices may remain in effect for an extended period of time. In some instances, we enter into sales arrangements with an understanding that, as long as our performance is competitive, we will receive a specified percentage of that customer’s photomask requirements.</w:t>
      </w:r>
    </w:p>
    <w:p>
      <w:pPr>
        <w:spacing w:after="0" w:line="187"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We conduct our sales and marketing activities primarily through a staff of full-time sales personnel and customer service representatives who work closely with the Company’s management and technical personnel. We support non-US customers through both our domestic and foreign facilities. We consider our presence in non-US markets to be an important factor in attracting new customers, as it provides global solutions to our customers, minimizes delivery time, and allows us to serve customers that utilize manufacturing foundries outside of the United States, principally in Asia. See Note 13 to our consolidated financial statements for the amount of revenues and long-lived assets attributable to each of our geographic areas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primarily sell our products to leading semiconductor and FPD manufacturers. During fiscal year 2017, we sold our products to approximately 600 customers. Revenue from United Microelectronics Corp. accounted for approximately 16%, 17% and 15% of our total revenues, and sales to Samsung Electronics Co. Ltd. accounted for approximately 16%, 19% and 18% of our total revenues in fiscal years 2017, 2016 and 2015, respectively. Our five largest customers, in the aggregate, accounted for approximately 43%, 50% and 52% of our revenue in fiscal years 2017, 2016 and 2015, respectively. A significant decrease in the amount of revenue from any of these customers could have a material adverse effect on our financial performance and business prospects.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ind w:right="300" w:firstLine="324"/>
        <w:spacing w:after="0" w:line="312" w:lineRule="auto"/>
        <w:rPr>
          <w:sz w:val="20"/>
          <w:szCs w:val="20"/>
          <w:color w:val="auto"/>
        </w:rPr>
      </w:pPr>
      <w:r>
        <w:rPr>
          <w:rFonts w:ascii="Arial" w:cs="Arial" w:eastAsia="Arial" w:hAnsi="Arial"/>
          <w:sz w:val="16"/>
          <w:szCs w:val="16"/>
          <w:color w:val="auto"/>
        </w:rPr>
        <w:t>Our quarterly revenues can be affected by the seasonal purchasing patterns of our customers. We are typically impacted during our first quarter by the North American and European holiday periods, as some customers reduce their effective workdays and orders during this period. Additionally, we can be impacted during our first or second fiscal quarter by the Asian New Year holiday period, which also may reduce customer orders and deliveries.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conduct research and development activities for IC photomasks at our U.S. nanoFab, which is located in Boise, Idaho, as well as at PK, Ltd. (“PKL”), our subsidiary in Korea and Photronics DNP Mask Corporation (“PDMC”), one of our subsidiaries in Taiwan. Research and development for FPD photomasks is conducted at PKL. Additionally, we conduct site-specific research and development programs to support strategic customers. These research and development programs and activities are undertaken to advance our competitiveness in technology and manufacturing efficiency. We also conduct application-oriented research and development activities to support the early adoption of new photomask or supporting data and services technology into our customers’ applications. Currently, research and development photomask activities for ICs are focused on 20 nanometer node and below, and, for FPDs, on Generation 8 resolution enhancement, substrates larger than Generation 8 and more complex masks for AMOLED-type displays. We believe these core competencies will continue to be a critical part of semiconductor and FPD manufacturing, as optical lithography continues to scale capabilities on high-end devices. We incurred research and development expenses of $15.9 million, $21.7 million, and $21.9 million in fiscal years 2017, 2016, and 2015, respectively. It is our belief that we own, control, or license the proprietary information that is necessary for our business, as it is presently conducted. This includes trade secrets as well as patents. We also believe that our intellectual property and trade secret know-how will continue to be important to our maintaining technical leadership in the field of photomasks.</w:t>
      </w:r>
    </w:p>
    <w:p>
      <w:pPr>
        <w:spacing w:after="0" w:line="18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On May 5, 2016, we sold our investment in MP Mask to Micron for $93.1 million and recorded a gain on the sale of $0.1 million, which is included in our 2016 consolidated statements of income in interest income and other income (expense). On that same date, a supply agreement commenced between Photronics and Micron, which provided that we would be the majority outsourced supplier of Micron’s photomasks and related services. The supply agreement had a one year term, and expired in May 2017. Photronics has unlimited rights to use the technology it acquired under its prior technology license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56"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We have ownership interests in approximately 49 issued U.S. patents. The subject matter of these patents, which are registered in various countries, generally relates to the manufacture of IC photomasks or the use of photomasks to manufacture other products. The expiration dates of these patents range from 2018 to 2034. We also have a number of trademarks and trademark registrations in the United States and in other countries.</w:t>
      </w:r>
    </w:p>
    <w:p>
      <w:pPr>
        <w:spacing w:after="0" w:line="17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While we believe that our intellectual property is, and will continue to be, important to our technical leadership in the field of photomasks, our operations are not dependent on any one individual patent. We protect our intellectual property rights and proprietary processes by utilizing patents and non-disclosure agreements with employees, customers and vendors.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Supplies and Equipment</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Raw materials used by Photronics generally include: high precision quartz plates (including large area plates), which are used as photomask blanks and are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We believe that our utilization of a select group of strategic suppliers enables us to access the most technologically advanced materials available. On an ongoing basis, we continue to consider additional supply sources.</w:t>
      </w:r>
    </w:p>
    <w:p>
      <w:pPr>
        <w:spacing w:after="0" w:line="21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rely on a limited number of equipment suppliers to develop and supply the equipment used in the photomask manufacturing process. Although, historically, we have been able to obtain equipment on a timely basis, an inability to obtain equipment when required could adversely affect our business and results of operations.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first several layers of a set of photomasks for a circuit pattern are often required to be shipped within 24 hours of receiving a customer’s designs. Because of the short period between order and shipment dates (typically from 1 day to 2 weeks) for a significant amount of our revenue, the dollar amount of our current backlog is not considered to be a reliable indicator of future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56"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Revenues from our non-U.S. operations were approximately 77%, 76% and 75% of our total revenues in fiscal 2017, 2016 and 2015, respectively. We believe that our ability to serve non-US markets is enhanced by our having, among other things, a local presence in the markets that we serve. This requires significant investments in financial, managerial, operational, and other resources.</w:t>
      </w:r>
    </w:p>
    <w:p>
      <w:pPr>
        <w:spacing w:after="0" w:line="20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political and economic conditions in various countries, legal compliance and regulatory requirements, tariffs and other trade barriers, difficulties in staffing and managing international operations, longer accounts receivable collection cycles, potential restrictions on transfers of funds and potentially adverse tax consequences. These factors may have a material adverse effect on our ability to generate revenue outside of the United States and to deploy resources where they could otherwise be used to their greatest advantage and, consequently, may adversely affect our financial condition and results of operations. Note 13 of the notes to our consolidated financial statements presents revenue and long-lived assets by geographic area.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photomask industry is highly competitive and most of our customers utilize multiple photomask suppliers. Our ability to compete depends primarily upon the consistency of our product quality, timeliness of delivery, as well as pricing, technical capability, and service, which we believe are the principal factors considered by customers in selecting their photomask suppliers. An inability to meet these requirements could adversely affect our financial condition, results of operations and cash flows. We also believe that geographic proximity to customers is an important factor in certain markets where cycle time from order to delivery is critical. While some of our competitors have greater financial, technical, sales, marketing or other resources than Photronics, we believe that we are able to compete effectively because of our dedication to customer service, investments in state-of-the-art photomask equipment and facilities, and experienced technical employees.</w:t>
      </w:r>
    </w:p>
    <w:p>
      <w:pPr>
        <w:spacing w:after="0" w:line="21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estimate that, for the types of photomasks we manufacture (IC and FPD), the size of the total market (captive and merchant) is approximately $4.1 billion. Our competitors include Compugraphics International, Ltd., Dai Nippon Printing Co., Ltd (outside of Taiwan), Hoya Corporation, SK-Electronics Co. Ltd., Taiwan Mask Corporation, Toppan Printing Co., Ltd., Supermask Co. Ltd., and Chengdu NeWay Photomask Making Co., Ltd. We also compete with semiconductor manufacturers’ captive photomask manufacturing operations that supply photomasks for internal use and, in some instances, also for external customers and foundries. We expect to face continued competition which, in the past, has led to pressure to reduce prices. We believe the pressure to reduce prices, together with the significant investment required in capital equipment to manufacture high-end photomasks, has contributed to the decrease in the number of independent manufacturers, and we expect such pressure to continue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of October 29, 2017, we had 1,475 employees. We believe we offer competitive compensation and other benefits and that our employee relations are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failures or cyber security breaches could have a material adverse effect on our operations.</w:t>
      </w:r>
    </w:p>
    <w:p>
      <w:pPr>
        <w:spacing w:after="0" w:line="25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rely on information technology systems to process, transmit, store, and protect electronic information. For example, a significant portion of the communications between our personnel, customers, and suppliers depends on information technology. Our information technology systems may be vulnerable to a variety of interruptions due to events beyond our control, including, but not limited to, natural disasters, terrorist attacks, telecommunications failures, computer viruses, hackers, and other security issues. We have technology and information security processes and disaster recovery plans in place to mitigate our risks to these vulnerabilities. However, these measures may not be adequate to ensure that our operations will not be disrupted, should such an event occur.</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Our dependency on the microelectronics industry, which as a whole is volatile, could have a negative material impact on our business.</w:t>
      </w:r>
    </w:p>
    <w:p>
      <w:pPr>
        <w:spacing w:after="0" w:line="268"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We sell substantially all of our photomasks to semiconductor or flat panel display designers, manufacturers and foundries, as well as to other high performance electronics manufacturers. We believe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customized ICs, a reduction in design complexity, other changes in the technology or methods of manufacturing or designing semiconductors or FPDs, or a slowdown in the introduction of new semiconductor or FPD designs could reduce demand for photomasks ‒ even if the demand for semiconductors and FPDs increases.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incur net losses.</w:t>
      </w:r>
    </w:p>
    <w:p>
      <w:pPr>
        <w:spacing w:after="0" w:line="25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Although we have been profitable since fiscal 2010, we have, in the past, incurred net losses. The net losses experienced in prior years were due, in part, to macroeconomic factors, which resulted in our incurring significant charges for restructurings and impairments of long-lived assets. We cannot provide assurance that we will not incur net losses in the future.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high level of fixed costs; thus we must achieve minimum sales volumes sufficient to cover our fixed costs.</w:t>
      </w:r>
    </w:p>
    <w:p>
      <w:pPr>
        <w:spacing w:after="0" w:line="256" w:lineRule="exact"/>
        <w:rPr>
          <w:sz w:val="20"/>
          <w:szCs w:val="20"/>
          <w:color w:val="auto"/>
        </w:rPr>
      </w:pPr>
    </w:p>
    <w:p>
      <w:pPr>
        <w:jc w:val="center"/>
        <w:ind w:right="80"/>
        <w:spacing w:after="0" w:line="312" w:lineRule="auto"/>
        <w:rPr>
          <w:sz w:val="20"/>
          <w:szCs w:val="20"/>
          <w:color w:val="auto"/>
        </w:rPr>
      </w:pPr>
      <w:r>
        <w:rPr>
          <w:rFonts w:ascii="Arial" w:cs="Arial" w:eastAsia="Arial" w:hAnsi="Arial"/>
          <w:sz w:val="16"/>
          <w:szCs w:val="16"/>
          <w:color w:val="auto"/>
        </w:rPr>
        <w:t>As a consequence of the capital-intensive nature of the photomask manufacturing business, we have a high level of fixed costs and a high degree of operating leverage. Accordingly, should our sales volumes decline as a result of a decrease in design releases from our customers or for any other reason, we may have excess or underutilized production capacity which could significantly impact our operating margins or result in write-offs from asset impairments.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operating results fluctuate significantly and may continue to do so in the future.</w:t>
      </w:r>
    </w:p>
    <w:p>
      <w:pPr>
        <w:spacing w:after="0" w:line="256"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We have experienced fluctuations in our quarterly operating results, and we anticipate that such fluctuations will continue and could intensify in the future. Fluctuations in operating results may result in volatility in the prices of our common stock and financial instruments linked to its value. Operating results may fluctuate as a result of many factors, including the size and timing of orders and shipments, the loss of significant customers, changes in product mix, the flow of customer design releases, technological change, fluctuations in manufacturing yields, competition and general economic conditions. We operate in a high fixed-cost environment and, should our revenues and asset utilization decrease, our operating margins could be negatively impacted.</w:t>
      </w:r>
    </w:p>
    <w:p>
      <w:pPr>
        <w:spacing w:after="0" w:line="18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customers generally order photomasks on an as-needed basis, and our revenue in any quarter is dependent on orders received during that quarter. Since we operate with little backlog, and the rate of new orders may vary significantly from quarter-to-quarter, our capital expenditures and, to some extent, expense levels are based primarily on sales forecasts and technological advancements in photomask manufacturing equipment. Consequently, if anticipated revenues in any quarter do not occur when expected, capital expenditures could be higher than needed, resulting in underutilized capacity and disproportionately high expense levels, causing operating results to be adversely affected. Due to the foregoing factors, we believe that quarter-to-quarter comparisons of our operating results cannot be relied upon as indicators of future performance. In addition, in future quarters, our operating results could be below guidance we may provide as well as the expectations of public market analysts and investors which, in turn, could have a material adverse effect on the market price of our common stock.</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 w:name="page9"/>
    <w:bookmarkEnd w:id="8"/>
    <w:p>
      <w:pPr>
        <w:ind w:right="420"/>
        <w:spacing w:after="0" w:line="282" w:lineRule="auto"/>
        <w:rPr>
          <w:sz w:val="20"/>
          <w:szCs w:val="20"/>
          <w:color w:val="auto"/>
        </w:rPr>
      </w:pPr>
      <w:r>
        <w:rPr>
          <w:rFonts w:ascii="Arial" w:cs="Arial" w:eastAsia="Arial" w:hAnsi="Arial"/>
          <w:sz w:val="18"/>
          <w:szCs w:val="18"/>
          <w:b w:val="1"/>
          <w:bCs w:val="1"/>
          <w:color w:val="auto"/>
        </w:rPr>
        <w:t>The photomask industry is subject to rapid technological change, and we might fail to remain competitive, which could have a material adverse effect on our business and results of operations.</w:t>
      </w:r>
    </w:p>
    <w:p>
      <w:pPr>
        <w:spacing w:after="0" w:line="19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of increasing complexity in both traditional and emerging markets that we serve. In particular, we believe that, as semiconductor geometries continue to become smaller and FPDs become larger or otherwise more advanced, we will be required to manufacture increasingly complex photomasks. Additionally, the demand for photomasks has been, and could in the future be, adversely affected by changes in semiconductor and high-performance electronics fabrication methods that affect the type or quantity of photomasks utilized, such as changes in semiconductor demand that favor field-programmable gate arrays and other semiconductor designs that replace application-specific ICs. Furthermore, evidence of the viability and the corresponding market acceptance of alternative methods of transferring IC designs onto semiconductor wafers could reduce or eliminate the need for photomasks in the production of semiconductors. As of the end of fiscal 2017, one alternative method, direct-write lithography, has not been proven to be a commercially viable alternative to photomasks, as it is considered to be too slow for high volume semiconductor wafer production. However, should direct-write or any other alternative method of transferring IC or FPD designs without the use of photomasks achieve market acceptance, and if we are unable to anticipate, respond to or utilize these or other technological changes, due to resource, technological or other constraints, our business and results of operations could be materially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will continue to require substantial capital expenditures, for which we may be unable to obtain funding.</w:t>
      </w:r>
    </w:p>
    <w:p>
      <w:pPr>
        <w:spacing w:after="0" w:line="256"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manufacture of photomasks requires us to make substantial investments in high-end manufacturing capability. We expect that we will be required to continue to make substantial capital expenditures to meet the technological demands of our customers and to position us for future growth. Our capital expenditure payments for fiscal 2018 are expected to be approximately $250 million, of which $3 million was included in accounts payable on our October 29, 2017, consolidated balance sheet. We cannot provide assurance that we will be able to obtain the additional capital required to fund our operations on reasonable terms, if at all, or that any such inability will not have a material adverse effect on our business and results of operations.</w:t>
      </w:r>
    </w:p>
    <w:p>
      <w:pPr>
        <w:spacing w:after="0" w:line="18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have been dependent on sales to a limited number of large customers; the loss of any of these customers or a significant reduction in orders from these customers could have a material adverse effect on our revenues and results of operations.</w:t>
      </w:r>
    </w:p>
    <w:p>
      <w:pPr>
        <w:spacing w:after="0" w:line="19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Historically, we have sold a significant proportion of photomasks to a limited number of IC and FPD manufacturers. During fiscal years 2017, 2016 and 2015 our two largest customers accounted for 32%, 36% and 33%, respectively, of our revenue. Our five largest customers accounted for 43%, 50% and 52% of our revenue in fiscal years 2017, 2016 and 2015 respectively. The loss of a significant customer or a significant reduction or delay in orders from any significant customer, (including reductions or delays due to customer departures from recent buying patterns), or an unfavorable change in competitive conditions in the semiconductor or FPD industries, could have a material adverse effect on our financial performance and business prospects. The consolidation of semiconductor manufacturers or an economic downturn in the semiconductor industry may increase the likelihood of losing a significant customer and could also have an adverse effect on our financial performance and business prospects.</w:t>
      </w:r>
    </w:p>
    <w:p>
      <w:pPr>
        <w:spacing w:after="0" w:line="20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depend on a limited number of suppliers for equipment and raw materials, and, if those suppliers do not deliver their products to us, we may be unable to fulfill orders from our customers, which could adversely affect our business and results of operations.</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rely on a limited number of photomask equipment manufacturers to develop and supply the equipment we use. These equipment manufacturers currently require lead times of up to twelve months or longer between the order and the delivery of certain photomask imaging and inspection equipment. The failure of such manufacturers to develop or deliver such equipment on a timely basis could have a material adverse effect on our business and results of operations. In addition, the manufacturing equipment necessary to produce advanced photomasks could become prohibitively expensive, which could similarly affect us.</w:t>
      </w:r>
    </w:p>
    <w:p>
      <w:pPr>
        <w:spacing w:after="0" w:line="21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use high precision quartz photomask blanks, pellicles, and electronic grade chemicals in our manufacturing processes. There are a limited number of suppliers of these raw materials and we have no long-term contracts with these suppliers. Any delays or quality problems in connection with significant raw materials, particularly photomask blanks, could cause delays in the shipments of photomasks, which could have a material adverse effect on our business and results of operations. The fluctuation of foreign currency exchange rates, with respect to prices of equipment and raw materials used in manufacturing, could also have a material adverse effect on our business and results of operations.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ind w:right="80"/>
        <w:spacing w:after="0" w:line="386" w:lineRule="auto"/>
        <w:rPr>
          <w:sz w:val="20"/>
          <w:szCs w:val="20"/>
          <w:color w:val="auto"/>
        </w:rPr>
      </w:pPr>
      <w:r>
        <w:rPr>
          <w:rFonts w:ascii="Arial" w:cs="Arial" w:eastAsia="Arial" w:hAnsi="Arial"/>
          <w:sz w:val="15"/>
          <w:szCs w:val="15"/>
          <w:b w:val="1"/>
          <w:bCs w:val="1"/>
          <w:color w:val="auto"/>
        </w:rPr>
        <w:t>We face risks associated with the use of sophisticated equipment and complex manufacturing processes and technologies. Our inability to effectively utilize such equipment and technologies and perform such processes could have a material adverse effect on our business and results of operations.</w:t>
      </w:r>
    </w:p>
    <w:p>
      <w:pPr>
        <w:spacing w:after="0" w:line="124"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Our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make products unmarketable. Moreover, the manufacture of leading-edge photomasks is more complex and time consuming than manufacturing less advanced photomasks, and their fabrication may result in delays in the manufacture of all levels of photomasks. We have, on occasion, experienced manufacturing difficulties and capacity limitations that have delayed our ability to deliver products within the time frames contracted for by our customers. We cannot provide assurance that, under such circumstances, we will not experience these or other manufacturing difficulties, or be subject to increased costs or production capacity constraints in the future, any of which could result in a loss of customers or could otherwise have a material adverse effect on our business and results of operations.</w:t>
      </w:r>
    </w:p>
    <w:p>
      <w:pPr>
        <w:spacing w:after="0" w:line="20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could be subject to damages based on claims brought against us by our customers or lose customers as a result of the failure of our products to meet certain quality specifications.</w:t>
      </w:r>
    </w:p>
    <w:p>
      <w:pPr>
        <w:spacing w:after="0" w:line="19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products provide important performance attributes to our customers’ products. If a product fails to perform in a manner consistent with quality specifications, or has a shorter useful life than warranted, a customer could seek replacement of the product or damages for costs incurred as a result of the product failing to perform, particularly if such products are sold under agreements that contain limited performance and life cycle warrantees. Our customers often require us to represent that our products conform to certain product specifications that they provide. Any failure to comply with such specifications could result in claims or legal action. A successful claim or series of claims against us could have a material adverse effect on our financial condition and results of operations and could result in a loss of one or more customers.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 agreements limit our ability to obtain additional financing and may obligate us to repay debt before its maturity.</w:t>
      </w:r>
    </w:p>
    <w:p>
      <w:pPr>
        <w:spacing w:after="0" w:line="25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Financial covenants related to our credit facility, which expires in December 2018, include a Total Leverage Ratio, a Minimum Interest Coverage Ratio, and Minimum Unrestricted Cash Balances. Existing covenant restrictions limit our ability to obtain additional debt financing and, should we be unable to meet one or more of these covenants, our lenders may require us to repay any outstanding balance prior to the expiration date of the agreements. Our ability to comply with the financial and other covenants in our debt agreements may be affected by worsening economic or business conditions, or other events. We cannot assure that, under such circumstances, additional sources of financing would be available to pay off any long-term borrowings, so as to avoid default. Should we default on certain of our long-term borrowings, a cross default would occur on other long-term borrowings, unless amended or waived.</w:t>
      </w:r>
    </w:p>
    <w:p>
      <w:pPr>
        <w:spacing w:after="0" w:line="188"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Joint ventures may not operate according to their business plans if our partners fail to fulfill their obligations, which may adversely affect our results of operations and may force us to dedicate additional resources to these joint ventures.</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nature of a joint venture requires us to share control in certain areas with unaffiliated third parties. If our joint venture partners do not fulfill their obligations, the affected joint venture may not be able to operate according to its business plan. In that case, our results of operations may be adversely affected and we may be required to increase the level of our commitment to the joint venture. Also, differences in views among joint venture participants may result in delayed decisions or failures to agree on major issues. If these differences cause the joint ventures to deviate from their business plans, our results of operations could be adversely affected.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right="100"/>
        <w:spacing w:after="0" w:line="282" w:lineRule="auto"/>
        <w:rPr>
          <w:sz w:val="20"/>
          <w:szCs w:val="20"/>
          <w:color w:val="auto"/>
        </w:rPr>
      </w:pPr>
      <w:r>
        <w:rPr>
          <w:rFonts w:ascii="Arial" w:cs="Arial" w:eastAsia="Arial" w:hAnsi="Arial"/>
          <w:sz w:val="18"/>
          <w:szCs w:val="18"/>
          <w:b w:val="1"/>
          <w:bCs w:val="1"/>
          <w:color w:val="auto"/>
        </w:rPr>
        <w:t>We may not be able to consummate future acquisitions or integrate acquisitions into our business, which could result in unanticipated expenses and losses.</w:t>
      </w:r>
    </w:p>
    <w:p>
      <w:pPr>
        <w:spacing w:after="0" w:line="193"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As part of our business growth strategy, we have acquired businesses and entered into joint ventures in the past, and we may pursue acquisitions and joint venture opportunities in the future. Our ability to implement this component of our growth strategy will be limited by our ability to identify appropriate acquisition or joint venture candidates and our financial resources, including our available cash and borrowing capacity. The expense incurred in consummating acquisitions or entering into joint ventures, the time it takes to integrate an acquisition, or our failure to integrate businesses successfully, could result in unanticipated expenses and losses. Furthermore, we may not be able to realize any of the anticipated benefits from acquisitions or joint ventures.</w:t>
      </w:r>
    </w:p>
    <w:p>
      <w:pPr>
        <w:spacing w:after="0" w:line="185"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Some of the risks associated with the integration of acquisitions include: potential disruption of our ongoing business and distraction of management; unforeseen claims and liabilities, including unexpected environmental exposures; unforeseen adjustments, taxes, charges and write-offs; problems enforcing the indemnification obligations of sellers of businesses or joint venture partners for claims and liabilities; unexpected losses of customers of, or suppliers to, the acquired business; difficulty in conforming the acquired businesses’ standards, processes, procedures and controls with our operations; variability in financial information arising from the implementation of purchase price accounting; inability to coordinate new product and process development; loss of senior managers and other critical personnel and problems with new labor unions; and challenges arising from the increased scope, geographic diversity and complexity of our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announced expansions into China entail substantial risks.</w:t>
      </w:r>
    </w:p>
    <w:p>
      <w:pPr>
        <w:spacing w:after="0" w:line="25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During the last two years we have announced plans to expand our manufacturing operations into China, see note 19 to the consolidated financial statements for more information on these expansion plans. These investments are subject to substantial risks which may include, but are not limited to: delays in or the inability to obtain necessary permits that are needed to enable us to construct our facilities or conduct our ongoing business; the inability to protect our intellectual property rights under Chinese law, which may not offer as high of a level of protection as U.S. law; unexpectedly long negotiation periods with Chinese suppliers and customers; quality issues related to materials sourced from local vendors; unexpectedly high labor costs due to a tight labor supply; and difficulty in repatriating funds and selling or transferring assets. Our investments in China also expose us to a significant additional foreign currency exchange risk, which we have not been subject to in recent years. These and other risks may result in our not realizing a return on, or losing some, or all, of our planned investments in China, which would have a material adverse effect on our financial condition and financial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flows from operations and current holdings of cash may not be adequate for our current and long-term needs.</w:t>
      </w:r>
    </w:p>
    <w:p>
      <w:pPr>
        <w:spacing w:after="0" w:line="25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liquidity, as we operate in a high fixed cost environment, is highly dependent on our revenue volume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used by us in the past may not be available. Therefore, we cannot provide assurance that additional sources of financing would be available to us on commercially favorable terms, if at all, should our cash requirements exceed our existing cash and cash available under our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unforeseen charges related to possible future facility closures or restructurings.</w:t>
      </w:r>
    </w:p>
    <w:p>
      <w:pPr>
        <w:spacing w:after="0" w:line="25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cannot provide assurance that there will not be facility closures or restructurings in the near or long-term, nor can we assure that we will not incur significant charges should there be any future facility closures or restructurings.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ind w:right="260"/>
        <w:spacing w:after="0" w:line="282" w:lineRule="auto"/>
        <w:rPr>
          <w:sz w:val="20"/>
          <w:szCs w:val="20"/>
          <w:color w:val="auto"/>
        </w:rPr>
      </w:pPr>
      <w:r>
        <w:rPr>
          <w:rFonts w:ascii="Arial" w:cs="Arial" w:eastAsia="Arial" w:hAnsi="Arial"/>
          <w:sz w:val="18"/>
          <w:szCs w:val="18"/>
          <w:b w:val="1"/>
          <w:bCs w:val="1"/>
          <w:color w:val="auto"/>
        </w:rPr>
        <w:t>We operate in a highly competitive environment, and, should we be unable to meet our customers’ requirements for product quality, timeliness of delivery or technical capabilities, our revenue could be adversely affected.</w:t>
      </w:r>
    </w:p>
    <w:p>
      <w:pPr>
        <w:spacing w:after="0" w:line="193"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photomask industry is highly competitive, and most of our customers utilize more than one photomask supplier. Our competitors include Compugraphics International, Ltd., DNP (outside of Taiwan), Hoya Corporation, SK-Electronics Co., Ltd., Taiwan Mask Corporation and Toppan Printing Co., Ltd. We also compete with semiconductor manufacturers’ captive photomask manufacturing operations, some of which market their photomask manufacturing services to outside customers. We expect to face continued competition from these and other suppliers in the future. Some of our competitors have substantially greater financial, technical, sales, marketing or other resources than us. Also, when producing smaller geometry photomasks, some of our competitors may be able to more rapidly develop, produce, and achieve higher manufacturing yields than us. We believe that consistency of product quality and timeliness of delivery, as well as price, technical capability, and service are the principal factors considered by customers when selecting their photomask suppliers. Our inability to meet these competitive requirements could have a material adverse effect on our business and results of operations. In the past, competition has led to pressure to reduce prices and the need to invest in advanced manufacturing technology, which, we believe, contributed to the decrease in the number of independent photomask suppliers. These pressures may continue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substantial non-US operations are subject to additional risks.</w:t>
      </w:r>
    </w:p>
    <w:p>
      <w:pPr>
        <w:spacing w:after="0" w:line="25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Revenues from our non-U.S. operations were approximately 77%, 76% and 75% of our total revenues in fiscal years 2017, 2016 and 2015, respectively. We believe that maintaining significant international operations requires us to have, among other things, a local presence in the geographic markets that we supply. This requires significant investments in financial, managerial, operational, and other resources. Since 1996, we have significantly expanded our operations in international markets by acquiring existing businesses in Europe, acquiring majority equity interests in photomask manufacturing operations in Korea and Taiwan and building a manufacturing facility for FPD photomasks in Taiwan. Additionally, since 2016, we have announced plans to expand our manufacturing operations into China, see Note 19 to the consolidated financial statements for more information on these expansion plans. In order to enable us to optimize our investments and other resources, we closely monitor the semiconductor and FPD manufacturing markets for indications of geographic movement and, in conjunction with these efforts, continue to assess the locations of our manufacturing facilities. These assessments may result in the opening or closing of facilities.</w:t>
      </w:r>
    </w:p>
    <w:p>
      <w:pPr>
        <w:spacing w:after="0" w:line="18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unstable political and economic conditions in various countries, changes in economic alliances, unexpected changes in regulatory requirements, compliance with a variety of foreign laws and regulations may be burdensome, compliance with anti-bribery and anti-corruption laws (such as the Foreign Corrupt Practices Act) as well as anti-money-laundering laws may be costly, tariffs and other trade barriers, difficulties in staffing and managing international operations, longer accounts receivable payment cycles, foreign countries may adopt other restrictions on foreign trade or investment, including currency exchange controls, trade sanctions could result in losing access to customers and suppliers in those countries, agreements may be difficult to enforce and receivables difficult to collect and potentially adverse tax consequences. These factors may have a material adverse effect on our ability to generate revenues outside of the United States and, consequently, on our business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foreign currency exchange rates could have a material adverse effect on our results of operations, financial condition or cash flows.</w:t>
      </w:r>
    </w:p>
    <w:p>
      <w:pPr>
        <w:spacing w:after="0" w:line="27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of America (U.S. GAAP) and are reported in U.S. dollars. Our operations have transactions and balances denominated in currencies other than the U.S. dollar, primarily the Korean won, New Taiwan dollar, Japanese yen, euro, Singapore dollar, and the pound sterling. As a result of commencing construction of two new facilities in China, we now also have transactions and balances denominated in the Chinese renminbi. In fiscal year 2017, we recorded a net loss from changes in foreign currency exchange rates of $5.2 million in our statement of income, while our net assets were increased by $19.7 million as a result of the translation of foreign currency financial statements to U.S. dollars. Significant foreign currency fluctuations may adversely affect our results of operations, financial condition or cash flows.</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business depends on managerial and technical personnel, who are in great demand, and our inability to attract and retain qualified employees could adversely affect our business and results of operations.</w:t>
      </w:r>
    </w:p>
    <w:p>
      <w:pPr>
        <w:spacing w:after="0" w:line="193"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success depends, in part, upon key managerial and technical personnel, as well as our ability to continue to attract and retain additional qualified personnel. The loss of certain key personnel could have a material adverse effect on our business and results of operations. There can be no assurance that we can retain our key managerial, and technical employees, or that we can attract similar additional employees in the future.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ind w:right="400"/>
        <w:spacing w:after="0" w:line="313" w:lineRule="auto"/>
        <w:rPr>
          <w:sz w:val="20"/>
          <w:szCs w:val="20"/>
          <w:color w:val="auto"/>
        </w:rPr>
      </w:pPr>
      <w:r>
        <w:rPr>
          <w:rFonts w:ascii="Arial" w:cs="Arial" w:eastAsia="Arial" w:hAnsi="Arial"/>
          <w:sz w:val="17"/>
          <w:szCs w:val="17"/>
          <w:b w:val="1"/>
          <w:bCs w:val="1"/>
          <w:color w:val="auto"/>
        </w:rPr>
        <w:t>We may be unable to enforce or defend our ownership and use of proprietary technology, and the utilization of unprotected company developed technology by our competitors could adversely affect our business, results of operations and financial position.</w:t>
      </w:r>
    </w:p>
    <w:p>
      <w:pPr>
        <w:spacing w:after="0" w:line="169"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 We cannot offer assurance that:</w:t>
      </w:r>
    </w:p>
    <w:p>
      <w:pPr>
        <w:spacing w:after="0" w:line="20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be able to adequately protect our technology;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will not independently develop similar technology;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intellectual property laws will adequately protect our intellectual property rights.</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become the subject of infringement claims or legal proceedings by third parties with respect to current or future products or processes. Any such claims, with or without merit, or litigation to enforce or protect our intellectual property rights that require us to defend against claimed infringements of the rights of others, could result in substantial costs, diversion of resources, and product shipment delays or could force us to enter into royalty or license agreements, rather than dispute the merits of these claims. Any of the foregoing could have a material adverse effect on our business, results of operations and financial position.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unprepared for changes to environmental laws and regulations and may incur liabilities arising from environmental matters.</w:t>
      </w:r>
    </w:p>
    <w:p>
      <w:pPr>
        <w:spacing w:after="0" w:line="26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are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our financial position and results of operations, and inadequate compliance with their requirements could give rise to significant liabilities.</w:t>
      </w:r>
    </w:p>
    <w:p>
      <w:pPr>
        <w:spacing w:after="0" w:line="21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If we violate environmental, health and safety laws or regulations, in addition to being required to correct such violations, we can be held liable in administrative, civil or criminal proceedings, and substantial fines and other sanctions could be imposed that could disrupt or limit our operations.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may also be imposed on many different entities with a relationship to the hazardous substances at issue, including, for example, entities that formerly owned or operated the property affected by the hazardous substances and entities that arranged for the disposal of the hazardous substances at the affected property, as well as entities that currently own or operate such property. The nature of our business, including historical operations at our current and former facilities, exposes us to risks of liability under these laws and regulations due to the production, storage, use, transportation and sale of materials that can cause contamination or personal injury if released into the environment. Additional information may arise in the future concerning the nature or extent of our liability with respect to identified sites and additional sites that may be identified for which we are alleged to be liable.</w:t>
      </w:r>
    </w:p>
    <w:p>
      <w:pPr>
        <w:spacing w:after="0" w:line="19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Our production facilities could be damaged or disrupted by natural disasters or labor strikes, either of which could adversely affect our financial position, results of operations and cash flows.</w:t>
      </w:r>
    </w:p>
    <w:p>
      <w:pPr>
        <w:spacing w:after="0" w:line="193"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A major catastrophe, such as an earthquake or other natural disaster, labor strike, or work stoppage at any of our manufacturing facilities, or a manufacturing facility of our suppliers or customers, could result in a prolonged interruption of our business. A disruption resulting from any one of these events could cause significant delays in shipments of our products and the loss of revenue and customers, which could have a material adverse effect on our financial position, results of operations, and cash flows. Our facilities in Taiwan are located in a seismically active area.</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Our sales can be impacted by the health and stability of the general economy, which could adversely affect our results of operations and cash flows.</w:t>
      </w:r>
    </w:p>
    <w:p>
      <w:pPr>
        <w:spacing w:after="0" w:line="2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Unfavorable general economic conditions in the U.S. or other countries in which we or our customers conduct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or FPD manufacturers and adversely affect our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taxes could adversely affect our financial results.</w:t>
      </w:r>
    </w:p>
    <w:p>
      <w:pPr>
        <w:spacing w:after="0" w:line="256"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tax filings are subject to audits by tax authorities in the various jurisdictions in which we do business. These audits may result in assessments of additional taxes that are subsequently resolved with the taxing authorities or through the courts. Currently, we believe there are no outstanding assessments whose resolution would result in a material adverse financial result. However, we cannot offer assurances that unasserted or potential future assessments would not have a material adverse effect on our financial condition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be adversely impacted by proposed legislative tax reform.</w:t>
      </w:r>
    </w:p>
    <w:p>
      <w:pPr>
        <w:spacing w:after="0" w:line="256"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Various U.S. corporate tax reform bills and other proposals have been, or are currently, under consideration by Congress and the Executive branch. These proposals include, among other items, corporate income tax rate changes in varying, uncertain or unspecified amounts; the modification or elimination of certain tax incentives and changes to the existing rules and regulations for taxing overseas earnings (including possible modifications to the current rules and regulations for repatriating such earnings); and measures to prevent base erosion and profit splitting (“BEPS”). It is not clear whether these proposals, if enacted, would materially affect the taxation of our domestic and foreign earnings.</w:t>
      </w:r>
    </w:p>
    <w:p>
      <w:pPr>
        <w:spacing w:after="0" w:line="17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addition to the U.S. tax proposals, corporate tax reform proposals are under consideration in Taiwan and Korea including, among other items, corporate income tax rate changes, the modification or elimination of certain tax incentives, changes in unremitted earnings tax rates and modification of the related rules, and measures to prevent BEPS. Enactment of such changes could materially affect the tax treatment of our foreign subsidiaries’ earnings and their statutory deferred tax assets and liabilities.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impacted by global or regional catastrophic events.</w:t>
      </w:r>
    </w:p>
    <w:p>
      <w:pPr>
        <w:spacing w:after="0" w:line="256"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Our business could be adversely affected by terrorist acts, major natural disasters, widespread outbreaks of infectious diseases, or the outbreak or escalation of wars, especially in the Asian markets, where we generate a significant portion of our sales, and in Japan where we purchase raw materials and capital equipment. Such events in the geographic regions in which we do business, including escalations of political tensions and military operations within the Korean Peninsula, where a significant portion of our foreign operations are located, could have material adverse impacts on our revenue, cost and availability of raw materials, results of operations, cash flows and financial condition.</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Servicing our debt requires a significant amount of cash, and we may not generate sufficient cash flows from our operations to pay our indebtedness.</w:t>
      </w:r>
    </w:p>
    <w:p>
      <w:pPr>
        <w:spacing w:after="0" w:line="29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ability to make scheduled payments of debt principal and interest, or to refinance our indebtedness, depends on our future performance, which is subject to economic, financial, competitive and other factors beyond our control. Our business may not continue to generate sufficient cash flows from operations to both service our debt and make necessary capital expenditures. If we are unable to generate such cash flows, we may be required to adopt one or more alternatives, such as selling assets, restructuring debt or obtaining additional equity capital on terms that may be onerous or highly dilutive. Our ability to refinance our indebtedness would depend upon the conditions in the capital markets and our financial condition at such time. We may not be able to engage in any of these activities or engage in these activities on desirable terms, which could result in a default on our debt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and cash flows.</w:t>
      </w:r>
    </w:p>
    <w:p>
      <w:pPr>
        <w:spacing w:after="0" w:line="229"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may enter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our results of operations and cash flows could be volatile, as well as negatively impacted.</w:t>
      </w:r>
    </w:p>
    <w:p>
      <w:pPr>
        <w:spacing w:after="0" w:line="14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market price of the Company’s common stock is subject to volatility and could fluctuate widely in price in response to various factors, many of which are beyond our control.</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may influence the price of the common stock include, without limitation, the following:</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any of our key customers or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business plan, including but not limited to, our plans to expand into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announcements and consummations of business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issuances of common stock;</w:t>
      </w:r>
    </w:p>
    <w:p>
      <w:pPr>
        <w:sectPr>
          <w:pgSz w:w="11900" w:h="16838" w:orient="portrait"/>
          <w:cols w:equalWidth="0" w:num="1">
            <w:col w:w="11420"/>
          </w:cols>
          <w:pgMar w:left="240" w:top="121" w:right="239" w:bottom="686"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686" w:gutter="0" w:footer="0" w:header="0"/>
          <w:type w:val="continuous"/>
        </w:sectPr>
      </w:pPr>
    </w:p>
    <w:bookmarkStart w:id="14" w:name="page15"/>
    <w:bookmarkEnd w:id="14"/>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intellectual property disputes;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news or disclosures by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combinations, divestitures or bankruptcies by customers, suppliers or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the Company’s common stock. One should also be aware that price volatility might be worse if the trading volume of shares of the common stock is 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Ineffective internal controls could impact the Company’s business and operating results.</w:t>
      </w:r>
    </w:p>
    <w:p>
      <w:pPr>
        <w:spacing w:after="0" w:line="25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Company’s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the Company fails to maintain the adequacy of its internal controls, including any failure to implement required new or improved controls, or if the Company experiences difficulties in their implementation, the Company’s business and operating results could be harmed, and the Company could fail to meet its financial reporting obligations.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about the Company’s photomask manufacturing facilities: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Type of</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Interest</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Allen, Texas</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Owned</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Boise, Idaho</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Owned</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Brookfield, Connecticut</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Owned</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Bridgend, Wales</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Leased</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Cheonan, Korea</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Owned</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Dresden, Germany</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Leased</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Hsinchu, Taiwan</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Owned</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Hsinchu, Taiwan</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Leased</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Taichung, Taiwan</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Owned</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 The Company owns its manufacturing facility in Taichung and one of its manufacturing facilities in Hsinchu. However, it leases the related land.</w:t>
      </w:r>
    </w:p>
    <w:p>
      <w:pPr>
        <w:spacing w:after="0" w:line="264"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We have announced plans to expand into China and construct two manufacturing facilities. Production at both of these facilities is expected to commence in early 2019.</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LEGAL PROCEEDINGS</w:t>
      </w:r>
    </w:p>
    <w:p>
      <w:pPr>
        <w:spacing w:after="0" w:line="25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are subject to various claims that arise in the ordinary course of business. We believe such claims, individually or in the aggregate, will not have a material adverse effect on our business.</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80"/>
          </w:cols>
          <w:pgMar w:left="240" w:top="125" w:right="379" w:bottom="1440" w:gutter="0" w:footer="0" w:header="0"/>
        </w:sect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820" w:right="36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9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Common Stock of the Company is traded on the NASDAQ Global Select Market (“NASDAQ”) under the symbol PLAB. The table below shows the range of high and low sale prices per share in each quarter for fiscal years 2017 and 2016, as reported by the NASDAQ Global Select Market.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October 29, 2017:</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 Ended January 29, 2017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Quarter Ended April 30, 2017</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11.80</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 Ended July 30, 2017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Quarter Ended October 29, 2017</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10.10</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b w:val="1"/>
                <w:bCs w:val="1"/>
                <w:color w:val="auto"/>
              </w:rPr>
              <w:t>Fiscal Year Ended October 30,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Quarter Ended January 31, 2016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13.05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 Ended May 1, 2016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Quarter Ended July 31, 2016</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10.69</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 Ended October 30, 2016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On December 15, 2017, the closing sale price of our Common Stock, per the NASDAQ Global Select Market, was $8.70. Based on available information, we estimate that we have approximately 11,285 shareholders.</w:t>
      </w:r>
    </w:p>
    <w:p>
      <w:pPr>
        <w:spacing w:after="0" w:line="19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To date, we have not paid any cash dividends on PLAB shares and, for the foreseeable future, we anticipate that earnings will continue to be retained for use in our business. Further, our credit facility precludes us from paying cash dividends.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25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information regarding our equity compensation required to be disclosed by Item 201(d) of Regulation S-K is incorporated by reference from the Photronics, Inc. 2018 definitive Proxy Statement in Item 12 of Part III of this report. The 2018 Proxy Statement will be filed within 120 days after our fiscal year ended October 29, 2017.</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spacing w:after="0"/>
        <w:tabs>
          <w:tab w:leader="none" w:pos="80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5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following selected financial data (in thousands, except per share amounts) is derived from our audited consolidated financial statements. The data should be read in conjunction with the audited consolidated financial statements and notes thereto, and other financial information included elsewhere in this Annual Report on Form 10-K.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2"/>
              </w:rPr>
              <w:t>Year Ended</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October 29,</w:t>
            </w:r>
          </w:p>
        </w:tc>
        <w:tc>
          <w:tcPr>
            <w:tcW w:w="100" w:type="dxa"/>
            <w:vAlign w:val="bottom"/>
          </w:tcPr>
          <w:p>
            <w:pPr>
              <w:spacing w:after="0"/>
              <w:rPr>
                <w:sz w:val="17"/>
                <w:szCs w:val="17"/>
                <w:color w:val="auto"/>
              </w:rPr>
            </w:pPr>
          </w:p>
        </w:tc>
        <w:tc>
          <w:tcPr>
            <w:tcW w:w="1540" w:type="dxa"/>
            <w:vAlign w:val="bottom"/>
            <w:gridSpan w:val="2"/>
          </w:tcPr>
          <w:p>
            <w:pPr>
              <w:jc w:val="right"/>
              <w:ind w:right="640"/>
              <w:spacing w:after="0" w:line="198" w:lineRule="exact"/>
              <w:rPr>
                <w:sz w:val="20"/>
                <w:szCs w:val="20"/>
                <w:color w:val="auto"/>
              </w:rPr>
            </w:pPr>
            <w:r>
              <w:rPr>
                <w:rFonts w:ascii="Arial" w:cs="Arial" w:eastAsia="Arial" w:hAnsi="Arial"/>
                <w:sz w:val="18"/>
                <w:szCs w:val="18"/>
                <w:b w:val="1"/>
                <w:bCs w:val="1"/>
                <w:color w:val="auto"/>
                <w:w w:val="88"/>
              </w:rPr>
              <w:t>October 30,</w:t>
            </w:r>
          </w:p>
        </w:tc>
        <w:tc>
          <w:tcPr>
            <w:tcW w:w="1400" w:type="dxa"/>
            <w:vAlign w:val="bottom"/>
            <w:gridSpan w:val="3"/>
          </w:tcPr>
          <w:p>
            <w:pPr>
              <w:jc w:val="right"/>
              <w:ind w:right="360"/>
              <w:spacing w:after="0" w:line="198" w:lineRule="exact"/>
              <w:rPr>
                <w:sz w:val="20"/>
                <w:szCs w:val="20"/>
                <w:color w:val="auto"/>
              </w:rPr>
            </w:pPr>
            <w:r>
              <w:rPr>
                <w:rFonts w:ascii="Arial" w:cs="Arial" w:eastAsia="Arial" w:hAnsi="Arial"/>
                <w:sz w:val="18"/>
                <w:szCs w:val="18"/>
                <w:b w:val="1"/>
                <w:bCs w:val="1"/>
                <w:color w:val="auto"/>
                <w:w w:val="94"/>
              </w:rPr>
              <w:t>November 1,</w:t>
            </w:r>
          </w:p>
        </w:tc>
        <w:tc>
          <w:tcPr>
            <w:tcW w:w="1660" w:type="dxa"/>
            <w:vAlign w:val="bottom"/>
            <w:gridSpan w:val="3"/>
          </w:tcPr>
          <w:p>
            <w:pPr>
              <w:jc w:val="right"/>
              <w:ind w:right="600"/>
              <w:spacing w:after="0" w:line="198" w:lineRule="exact"/>
              <w:rPr>
                <w:sz w:val="20"/>
                <w:szCs w:val="20"/>
                <w:color w:val="auto"/>
              </w:rPr>
            </w:pPr>
            <w:r>
              <w:rPr>
                <w:rFonts w:ascii="Arial" w:cs="Arial" w:eastAsia="Arial" w:hAnsi="Arial"/>
                <w:sz w:val="18"/>
                <w:szCs w:val="18"/>
                <w:b w:val="1"/>
                <w:bCs w:val="1"/>
                <w:color w:val="auto"/>
                <w:w w:val="96"/>
              </w:rPr>
              <w:t>November 2,</w:t>
            </w: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November 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OPERATING DATA: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483,456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524,206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455,527</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(359,363)</w:t>
            </w:r>
          </w:p>
        </w:tc>
        <w:tc>
          <w:tcPr>
            <w:tcW w:w="100" w:type="dxa"/>
            <w:vAlign w:val="bottom"/>
          </w:tcPr>
          <w:p>
            <w:pPr>
              <w:spacing w:after="0"/>
              <w:rPr>
                <w:sz w:val="19"/>
                <w:szCs w:val="19"/>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(364,750)</w:t>
            </w: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(381,070)</w:t>
            </w:r>
          </w:p>
        </w:tc>
        <w:tc>
          <w:tcPr>
            <w:tcW w:w="24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(355,181)</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(322,540)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91,315</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118,706</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143,136</w:t>
            </w: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100,346</w:t>
            </w:r>
          </w:p>
        </w:tc>
        <w:tc>
          <w:tcPr>
            <w:tcW w:w="5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99,640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(43,585)</w:t>
            </w:r>
          </w:p>
        </w:tc>
        <w:tc>
          <w:tcPr>
            <w:tcW w:w="10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(44,577)</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(48,983)</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(49,638)(d)</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(48,213)(f)</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(15,862)</w:t>
            </w:r>
          </w:p>
        </w:tc>
        <w:tc>
          <w:tcPr>
            <w:tcW w:w="100" w:type="dxa"/>
            <w:vAlign w:val="bottom"/>
          </w:tcPr>
          <w:p>
            <w:pPr>
              <w:spacing w:after="0"/>
              <w:rPr>
                <w:sz w:val="19"/>
                <w:szCs w:val="19"/>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(21,654)</w:t>
            </w: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(21,920)</w:t>
            </w:r>
          </w:p>
        </w:tc>
        <w:tc>
          <w:tcPr>
            <w:tcW w:w="24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(21,913)</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31,868</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52,475</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72,233</w:t>
            </w: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28,795</w:t>
            </w:r>
          </w:p>
        </w:tc>
        <w:tc>
          <w:tcPr>
            <w:tcW w:w="5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2,797(c)</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3,410</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(3,365)</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(4,990)</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(7,247)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Gains on sales of investments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8,940(a)</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acquisition</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16,372(e)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60,474</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70,040</w:t>
            </w:r>
          </w:p>
        </w:tc>
        <w:tc>
          <w:tcPr>
            <w:tcW w:w="2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41,330</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26,805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(5,276)</w:t>
            </w:r>
          </w:p>
        </w:tc>
        <w:tc>
          <w:tcPr>
            <w:tcW w:w="10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(4,798)(b)</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(13,181)</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(9,295)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55,676</w:t>
            </w: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56,859(c)</w:t>
            </w: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32,035(d)(e)</w:t>
            </w: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19,576(f)</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Net income attributable to noncontrolling interests</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(8,159)</w:t>
            </w:r>
          </w:p>
        </w:tc>
        <w:tc>
          <w:tcPr>
            <w:tcW w:w="100" w:type="dxa"/>
            <w:vAlign w:val="bottom"/>
            <w:shd w:val="clear" w:color="auto" w:fill="CCEEFF"/>
          </w:tcPr>
          <w:p>
            <w:pPr>
              <w:spacing w:after="0"/>
              <w:rPr>
                <w:sz w:val="19"/>
                <w:szCs w:val="19"/>
                <w:color w:val="auto"/>
              </w:rPr>
            </w:pPr>
          </w:p>
        </w:tc>
        <w:tc>
          <w:tcPr>
            <w:tcW w:w="154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(9,476)</w:t>
            </w:r>
          </w:p>
        </w:tc>
        <w:tc>
          <w:tcPr>
            <w:tcW w:w="120" w:type="dxa"/>
            <w:vAlign w:val="bottom"/>
            <w:shd w:val="clear" w:color="auto" w:fill="CCEEFF"/>
          </w:tcPr>
          <w:p>
            <w:pPr>
              <w:spacing w:after="0"/>
              <w:rPr>
                <w:sz w:val="19"/>
                <w:szCs w:val="19"/>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(12,234)</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(6,039)</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Borders>
              <w:top w:val="single" w:sz="8" w:color="CCEEFF"/>
            </w:tcBorders>
          </w:tcPr>
          <w:p>
            <w:pPr>
              <w:ind w:left="160"/>
              <w:spacing w:after="0" w:line="201" w:lineRule="exact"/>
              <w:rPr>
                <w:sz w:val="20"/>
                <w:szCs w:val="20"/>
                <w:color w:val="auto"/>
              </w:rPr>
            </w:pPr>
            <w:r>
              <w:rPr>
                <w:rFonts w:ascii="Arial" w:cs="Arial" w:eastAsia="Arial" w:hAnsi="Arial"/>
                <w:sz w:val="18"/>
                <w:szCs w:val="18"/>
                <w:color w:val="auto"/>
              </w:rPr>
              <w:t>Net income attributable to Photronics, Inc.</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13,130</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46,200(a)(b)</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44,625(c)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25,996(d)(e)</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17,966(f)</w:t>
            </w:r>
          </w:p>
        </w:tc>
        <w:tc>
          <w:tcPr>
            <w:tcW w:w="0" w:type="dxa"/>
            <w:vAlign w:val="bottom"/>
          </w:tcPr>
          <w:p>
            <w:pPr>
              <w:spacing w:after="0"/>
              <w:rPr>
                <w:sz w:val="1"/>
                <w:szCs w:val="1"/>
                <w:color w:val="auto"/>
              </w:rPr>
            </w:pPr>
          </w:p>
        </w:tc>
      </w:tr>
      <w:tr>
        <w:trPr>
          <w:trHeight w:val="21"/>
        </w:trPr>
        <w:tc>
          <w:tcPr>
            <w:tcW w:w="40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0.68(a)(b)</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0.67(c)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0.42(d)(e)</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0.30(f)</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0.64(a)(b)</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0.41(d)(e)</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0.29(f)</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number of common shares</w:t>
            </w: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68,436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67,539</w:t>
            </w:r>
          </w:p>
        </w:tc>
        <w:tc>
          <w:tcPr>
            <w:tcW w:w="12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66,331</w:t>
            </w: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61,779</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69,288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76,354</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78,383</w:t>
            </w:r>
          </w:p>
        </w:tc>
        <w:tc>
          <w:tcPr>
            <w:tcW w:w="2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66,679</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61,599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591"/>
              <w:spacing w:after="0"/>
              <w:rPr>
                <w:sz w:val="20"/>
                <w:szCs w:val="20"/>
                <w:color w:val="auto"/>
              </w:rPr>
            </w:pPr>
            <w:r>
              <w:rPr>
                <w:rFonts w:ascii="Arial" w:cs="Arial" w:eastAsia="Arial" w:hAnsi="Arial"/>
                <w:sz w:val="14"/>
                <w:szCs w:val="14"/>
                <w:color w:val="auto"/>
              </w:rPr>
              <w:t>16</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0"/>
              </w:rPr>
              <w:t>October 29,</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00" w:type="dxa"/>
            <w:vAlign w:val="bottom"/>
          </w:tcPr>
          <w:p>
            <w:pPr>
              <w:spacing w:after="0"/>
              <w:rPr>
                <w:sz w:val="17"/>
                <w:szCs w:val="17"/>
                <w:color w:val="auto"/>
              </w:rPr>
            </w:pPr>
          </w:p>
        </w:tc>
        <w:tc>
          <w:tcPr>
            <w:tcW w:w="134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November 1,</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2,</w:t>
            </w:r>
          </w:p>
        </w:tc>
        <w:tc>
          <w:tcPr>
            <w:tcW w:w="8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November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367,348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360,269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168,237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190,152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535,197</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506,434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547,284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550,069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1,020,794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987,988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1,042,811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1,025,564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borrowings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61,976</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67,288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132,219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141,011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Photronics, Inc. shareholders’ equity</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744,564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710,363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646,555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628,050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585,314</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FY 2016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FY 2015</w:t>
            </w: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FY 2014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FY 2013</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Working Capital (g):</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Previously reported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ind w:right="28"/>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360,269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168,068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190,152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ASU 2015-03 adjustment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Retrospectively adjusted</w:t>
            </w: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360,269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168,237</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190,152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212,837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Assets (g):</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Previously reported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ind w:right="28"/>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988,267</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1,043,376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1,026,739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885,505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ASU 2015-03 adjustment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Retrospectively adjusted</w:t>
            </w: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987,988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1,042,811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1,025,564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883,040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borrowings (g):</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Previously reported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ind w:right="28"/>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67,567</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132,615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142,186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ASU 2015-03 adjustment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Retrospectively adjusted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ind w:right="28"/>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67,288</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132,219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141,011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191,596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right="20" w:hanging="330"/>
        <w:spacing w:after="0" w:line="25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$8.8 million gain on sale of investment in a foreign entity and $0.2 million gain on the sale of the Company’s 49.99% interest in the MP Mask joint venture</w:t>
      </w:r>
    </w:p>
    <w:p>
      <w:pPr>
        <w:spacing w:after="0" w:line="1" w:lineRule="exact"/>
        <w:rPr>
          <w:rFonts w:ascii="Arial" w:cs="Arial" w:eastAsia="Arial" w:hAnsi="Arial"/>
          <w:sz w:val="18"/>
          <w:szCs w:val="18"/>
          <w:color w:val="auto"/>
        </w:rPr>
      </w:pPr>
    </w:p>
    <w:p>
      <w:pPr>
        <w:ind w:left="500" w:hanging="330"/>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tax benefits in Taiwan of $4.8 million primarily related to the recognition of prior period tax benefits and other tax positions no longer deemed necessary.</w:t>
      </w: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$0.9 million of financing expenses related to the exchange of $57.5 million of 3.25% convertible senior notes.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$2.5 million, net of tax, of expenses related to the acquisition of DPTT.</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gain of $16.4 million, net of tax, on acquisition of DPTT.</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$0.8 million, net of tax, of expenses related to the acquisition of DPTT.</w:t>
      </w:r>
    </w:p>
    <w:p>
      <w:pPr>
        <w:spacing w:after="0" w:line="9" w:lineRule="exact"/>
        <w:rPr>
          <w:rFonts w:ascii="Arial" w:cs="Arial" w:eastAsia="Arial" w:hAnsi="Arial"/>
          <w:sz w:val="18"/>
          <w:szCs w:val="18"/>
          <w:color w:val="auto"/>
        </w:rPr>
      </w:pPr>
    </w:p>
    <w:p>
      <w:pPr>
        <w:ind w:left="500" w:right="140" w:hanging="330"/>
        <w:spacing w:after="0" w:line="261"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Balances reflect the impact of the adoption of a new accounting standard in fiscal year 2016 (ASU 2015-03) related to the balance sheet classification of debt issuance costs. See Note 6 to the consolidated financial statements for additional information.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right="1300"/>
        <w:spacing w:after="0" w:line="51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Results of Operations for the Years Ended October 29, 2017, October 30, 2016 and November 1, 2015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sell substantially all of our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Our selling cycle is tightly interwoven with the development and release of new semiconductor designs and flat panel display applications, particularly as they relate to the semiconductor industry’s migration to more advanced product innovation, design methodologies and fabrication processes. We believe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 even if the demand for semiconductors and FPDs increases. Advances in semiconductor, FPD and photomask design and semiconductor and FPD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w:t>
      </w:r>
    </w:p>
    <w:p>
      <w:pPr>
        <w:spacing w:after="0" w:line="19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are typically required to fulfill customer orders within a short period of time, sometimes within 24 hours. This results in our having a minimal level of backlog orders, typically one to two weeks of backlog for IC photomasks and two to three weeks of backlog for FPD photomasks.</w:t>
      </w:r>
    </w:p>
    <w:p>
      <w:pPr>
        <w:spacing w:after="0" w:line="17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global semiconductor industry is driven by end markets which have been closely tied to consumer driven applications of high performance semiconductor devices, including, but not limited to, mobile display devices, mobile communications, and computing solutions. While we cannot predict the timing of the industry’s transition to volume production of next-generation technology nodes, or the timing of up and down 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9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are focused on improving our competitiveness by advancing our technology and reducing costs and, in connection therewith, have invested and plan to continue to invest in manufacturing equipment to serve the high-end markets. As we face challenges in the current and near term that require us to make significant improvements in our competitiveness, we continue to evaluate further cost reduction initiatives.</w:t>
      </w:r>
    </w:p>
    <w:p>
      <w:pPr>
        <w:spacing w:after="0" w:line="18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As of December 2017, state-of-the-art production for semiconductor masks is considered to be 45 nanometer and lower for ICs and Generation 8 and above and AMOLED display-based process technologies for FPDs. However, 65 nanometer and above geometries for semiconductors and Generation 7 and below, excluding AMOLED, process technologies for FPDs constitute the majority of designs currently being fabricated in volume. At these geometries, we can produce full lines of photomasks, and there is no significant technology employed by our competitors that is not available to us. We expect 45 nanometer and below designs to continue to move to wafer fabrication throughout fiscal 2018, and we believe we are well positioned to service an increasing volume of this business as a result of our investments in manufacturing processes and technology in the regions where our customers are located.</w:t>
      </w:r>
    </w:p>
    <w:p>
      <w:pPr>
        <w:spacing w:after="0" w:line="16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we believe that, as semiconductor geometries continue to become smaller, and FPD designs become larger or otherwise more advanced, we will be required to manufacture even more complex optically-enhanced reticles, including optical proximity correction and phase-shift photomasks. Additionally, demand for photomasks has been, and could in the future be, adversely affected by changes in semiconductor and high performance electronics fabrication methods that affect the type or quantity of photomasks used, such as changes in semiconductor demand that favor field-programmable gate arrays and other semiconductor designs that replace application-specific ICs, or the use of certain chip stacking methodologies that lessen the emphasis on conventional lithography technology. Furthermore, increased market acceptance of alternative methods of transferring circuit designs onto semiconductor wafers could reduce or eliminate the need for photomasks in the production of semiconductors. As of the end of fiscal year 2017, one alternative method, direct-write lithography, has not been proven to be a commercially viable alternative to photomasks, as it is considered to be too slow for high volume semiconductor wafer production, and we have not experienced a significant loss of revenue as a result of this or other alternative semiconductor design methodologies. However, should direct-write or any other alternative method of transferring IC designs to semiconductor wafers without the use of photomasks achieve market acceptance, and we do not anticipate, respond to, or utilize these or other changing technologies due to resource, technological or other constraints, our business and results of operations could be materially adversely affected.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right="20" w:firstLine="324"/>
        <w:spacing w:after="0" w:line="276" w:lineRule="auto"/>
        <w:rPr>
          <w:sz w:val="20"/>
          <w:szCs w:val="20"/>
          <w:color w:val="auto"/>
        </w:rPr>
      </w:pPr>
      <w:r>
        <w:rPr>
          <w:rFonts w:ascii="Arial" w:cs="Arial" w:eastAsia="Arial" w:hAnsi="Arial"/>
          <w:sz w:val="17"/>
          <w:szCs w:val="17"/>
          <w:color w:val="auto"/>
        </w:rPr>
        <w:t>Both our revenues and costs have been affected by the increased demand for high-end technology photomasks that require more advanced manufacturing capabilities, but generally command higher average selling prices (“ASPs”). Our capital expenditure payments aggregated approximately $246 million for the three fiscal years ended October 29, 2017, which has significantly contributed to our cost of goods sold. We intend to continue to make the required investments to support the technological demands of our customers that we believe will position us for future growth. In support of this effort, we expect capital expenditure payments to be approximately $250 million in fiscal year 2018.</w:t>
      </w:r>
    </w:p>
    <w:p>
      <w:pPr>
        <w:spacing w:after="0" w:line="20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manufacture of photomasks for use in fabricating ICs, FPDs, and other related products built using comparable photomask-based process technologies has been, and continues to be, capital intensive. Our employees and our integrated global manufacturing network, which currently consists of nine manufacturing sites, represent a significant portion of our fixed operating cost base. Should our revenue decrease as a result of a decrease in design releases from our customers, we may have excess or underutilized production capacity, which could significantly impact our operating margins, or result in write-offs from asset impairments.</w:t>
      </w:r>
    </w:p>
    <w:p>
      <w:pPr>
        <w:spacing w:after="0" w:line="21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 the fourth quarter of fiscal 2017, we announced that Photronics UK, Ltd., a wholly owned subsidiary of ours, signed an investment agreement with Hefei State Hi-tech Industry Development Zone to establish a manufacturing facility in Hefei, China. Under the terms of the agreement, through our subsidiary, we will invest a minimum of $160 million, a portion of which may be funded with local borrowings, to build and operate a research and development and manufacturing facility for high-end and mainstream FPD photomasks. Hefei State Hi-tech Industry Development Zone will provide certain investment incentives and support for this facility, which will have initial capability to produce up to G10.5+ large area masks and AMOLED products. Construction began in late 2017 and production is anticipated to commence in early 2019.</w:t>
      </w:r>
    </w:p>
    <w:p>
      <w:pPr>
        <w:spacing w:after="0" w:line="178"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 August 2016, Photronics Singapore Pte, Ltd., a wholly owned subsidiary, signed an investment agreement with the Administrative Committee of Xiamen Torch Hi-Tech Industrial Development Zone (Xiamen Torch) to establish an IC manufacturing facility in Xiamen, China. Under the terms of the agreement, we will build and operate an IC facility to engage in research and development, manufacture and sale of photomasks, in return for which Xiamen Torch will provide certain investment incentives and support. This expansion is also substantially supported by customer commitments for its output. The total investment per the agreement is $160 million to be funded over the next five years in cash, transferred equipment and potential local borrowings. Construction began in 2017 and production is anticipated to start in early 2019.</w:t>
      </w:r>
    </w:p>
    <w:p>
      <w:pPr>
        <w:spacing w:after="0" w:line="20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In the third quarter of fiscal 2017, we agreed to create a joint venture with DNP to encompass the Xiamen project. Under the agreement, our wholly-owned Singapore subsidiary will own 50.01% of the joint venture, which will be named Photronics DNP Mask Corporation Xiamen (PDMCX), and a subsidiary of DNP will own the remaining 49.99%. The financial results of the joint venture will be included in Photronics’ consolidated financial statements.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third quarter of fiscal 2017, our majority owned IC facility in Taiwan paid a dividend of $8.3 million to its noncontrolling interests.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third quarter of fiscal 2016, our majority owned IC facility in Taiwan paid a dividend of $11.9 million to its noncontrolling interests.</w:t>
      </w:r>
    </w:p>
    <w:p>
      <w:pPr>
        <w:spacing w:after="0" w:line="25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the third quarter of fiscal 2016, we sold our investment in MP Mask to Micron for $93.1 million and recorded a gain of $0.1 million on the sale. On that same date a supply agreement commenced between Photronics and Micron, which provided that we would be the majority outsourced supplier of Micron’s photomasks and related services. The supply agreement had a one year term and expired in May 2017. We have unlimited rights to use the technology under our prior technology license agreement.</w:t>
      </w:r>
    </w:p>
    <w:p>
      <w:pPr>
        <w:spacing w:after="0" w:line="21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the second quarter of fiscal 2016, $57.5 million of our senior convertible notes matured. We repaid $50.1 million to noteholders, and issued approximately 0.7 million shares to noteholders that elected to convert their notes to common stock. The notes were exchanged at the rate of approximately 96 shares per $1,000 note principle, equivalent to a conversion rate of $10.37 per share.</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ind w:right="80" w:firstLine="324"/>
        <w:spacing w:after="0" w:line="291" w:lineRule="auto"/>
        <w:rPr>
          <w:sz w:val="20"/>
          <w:szCs w:val="20"/>
          <w:color w:val="auto"/>
        </w:rPr>
      </w:pPr>
      <w:r>
        <w:rPr>
          <w:rFonts w:ascii="Arial" w:cs="Arial" w:eastAsia="Arial" w:hAnsi="Arial"/>
          <w:sz w:val="16"/>
          <w:szCs w:val="16"/>
          <w:color w:val="auto"/>
        </w:rPr>
        <w:t>In the first quarter of fiscal 2015 we privately exchanged $57.5 million in aggregate principal amount of our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we are not required to redeem the notes prior to their maturity date. Interest on the notes accrues in arrears, and is paid semiannually through the notes’ maturity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operating information expressed as a percentage of 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Year Ended</w:t>
            </w:r>
          </w:p>
        </w:tc>
        <w:tc>
          <w:tcPr>
            <w:tcW w:w="1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8"/>
              </w:rPr>
              <w:t>October 29,</w:t>
            </w:r>
          </w:p>
        </w:tc>
        <w:tc>
          <w:tcPr>
            <w:tcW w:w="138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8"/>
              </w:rPr>
              <w:t>October 30,</w:t>
            </w:r>
          </w:p>
        </w:tc>
        <w:tc>
          <w:tcPr>
            <w:tcW w:w="12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November 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Cost of goods sold</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(79.7)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(75.4)</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(expense)</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Gains on sales of investments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Note: All the following tabular comparisons, unless otherwise indicated, are for the fiscal years ended October 29, 2017 (2017), October 30, 2016 (2016) and November 1, 2015 (2015), in millions of dollars.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3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2016 to</w:t>
            </w:r>
          </w:p>
        </w:tc>
        <w:tc>
          <w:tcPr>
            <w:tcW w:w="11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2015 to</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420.8</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FPD</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118.9</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103.4</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1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2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Revenue decreased 6.8% in 2017 to $450.7 million from $483.5 million in 2016. IC photomask revenue decreased $14.3 million, or 3.9%, as a result of decreased volume of both high-end (4.8%) and mainstream (3.4%) products. Revenue from high-end IC products decreased $23.9 million, or 18.3%, from $130.4 million last year to $106.5 million, primarily as a result of decreased ASPs, while revenue from mainstream IC products increased $9.7 million, or 4.1%, from $234.1 million to $243.8 million which resulted from increased ASPs. FPD sales decreased in 2017 by $18.5 million, or 15.6% from 2016. Revenue from high-end FPD sales fell $18.7 million, or 21.6%, year-over-year, the causes of which were $11.8 million and $6.9 million from decreased ASPs and volume, respectively. FPD mainstream photomask revenue was $32.5 million, essentially flat year-over-year, with a modest increase in volume offsetting a slightly lower decrease in ASPs. High-end photomask applications include mask sets for 45 nanometer and below for IC products, and G8 and above and active matrix organic light-emitting diode (AMOLED) display screen technologies for FPD products. High-end photomasks typically have higher ASPs than mainstream products.</w:t>
      </w:r>
    </w:p>
    <w:p>
      <w:pPr>
        <w:spacing w:after="0" w:line="20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We believe our revenue will increase in 2018, as we expect revenues to increase for both high-end IC and FPD products. Our projected increase in high-end IC revenue is based on our expectation that our largest IC customer will increase its market share at the 28 nanometer node. In addition, we are anticipating growth at the 22 and 14 nanometer node levels. We are expecting increased demand for AMOLED products to lead to revenue growth in 2018, and plan to support this growth, in part, with a new high-end mask writing tool, which is due for delivery to us in the first half of 2018. Beyond 2018, we are anticipating our IC and FPD facilities under construction in China and expected to commence production in the spring of 2019 to fuel growth.</w:t>
      </w:r>
    </w:p>
    <w:p>
      <w:pPr>
        <w:spacing w:after="0" w:line="18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Net revenue decreased 7.8% in 2016, compared with 2015. IC photomask revenue was down primarily as a result of a decline in customer new product launches that require logic masks, as well as some reduction in foundry demand for memory masks. Revenue from high-end IC products decreased $36.5 million from last year to $130.4 million. FPD revenue increased from 2015 primarily due to increased demand for high-end large area masks. Revenue from high-end FPD Masks increased by $15.7 million to $86.6 million in 2016. High-end photomasks typically have higher ASPs than mainstream photomasks.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revenue from fiscal years 2016 to 2017 and 2015 to 2016 by geographic area: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89"/>
              </w:rPr>
              <w:t>2016 to 2017</w:t>
            </w:r>
          </w:p>
        </w:tc>
        <w:tc>
          <w:tcPr>
            <w:tcW w:w="1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9"/>
              </w:rPr>
              <w:t>2015 to 2016</w:t>
            </w:r>
          </w:p>
        </w:tc>
        <w:tc>
          <w:tcPr>
            <w:tcW w:w="1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7"/>
              </w:rPr>
              <w:t>Increase</w:t>
            </w:r>
          </w:p>
        </w:tc>
        <w:tc>
          <w:tcPr>
            <w:tcW w:w="1120" w:type="dxa"/>
            <w:vAlign w:val="bottom"/>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Revenue in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Increase</w:t>
            </w:r>
          </w:p>
        </w:tc>
        <w:tc>
          <w:tcPr>
            <w:tcW w:w="114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(Decrease)</w:t>
            </w:r>
          </w:p>
        </w:tc>
        <w:tc>
          <w:tcPr>
            <w:tcW w:w="18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Korea</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All other Asia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6"/>
              </w:rPr>
              <w:t>2016 to</w:t>
            </w:r>
          </w:p>
        </w:tc>
        <w:tc>
          <w:tcPr>
            <w:tcW w:w="12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2015 to</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91.3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Gross margin</w:t>
            </w:r>
          </w:p>
        </w:tc>
        <w:tc>
          <w:tcPr>
            <w:tcW w:w="800" w:type="dxa"/>
            <w:vAlign w:val="bottom"/>
          </w:tcPr>
          <w:p>
            <w:pPr>
              <w:spacing w:after="0"/>
              <w:rPr>
                <w:sz w:val="20"/>
                <w:szCs w:val="20"/>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20.3%</w:t>
            </w:r>
          </w:p>
        </w:tc>
        <w:tc>
          <w:tcPr>
            <w:tcW w:w="3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3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Gross profit and gross margin decreased in 2017, compared with 2016, primarily due to a decrease in overall revenue that resulted from lower ASPs and, to a lesser extent, a reduction in units sold. Gross profit and gross margin decreased in 2016, compared with 2015, primarily as a result of decreased revenue of high-end IC and, to a lesser extent, mainstream IC photomasks. The Company operates in a high fixed-cost environment and, to the extent that the Company’s revenues and utilization increase or decrease, gross margin will generally be positively or negatively impacted.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2016 to</w:t>
            </w: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6"/>
              </w:rPr>
              <w:t>2015 to</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20" w:type="dxa"/>
            <w:vAlign w:val="bottom"/>
            <w:gridSpan w:val="2"/>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   $</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43.6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Selling, general and administrative expenses decreased by $1.0 million in 2017, compared with 2016, primarily due to reduced bad debt expense and professional fees, which were partially offset by increased compensation costs and selling expenses. Selling, general and administrative expenses decreased $4.4 million in 2016, compared with 2015, primarily due to reduced compensation, freight, and other expenses.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2016 to</w:t>
            </w: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6"/>
              </w:rPr>
              <w:t>2015 to</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120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15.9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Research and development expenses primarily consist of development efforts related to high-end process technologies for 10nm and below IC nodes, FPD G8 and above, and AMOLED applications. Research and development expenses decreased by $5.8 million in 2017 to $15.9 million, from $21.7 million in 2016 as a result of lower customer qualification costs for high-end reticles in both Asia and the U.S. Research and development expenses did not change significantly from 2015 to 2016.</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6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(expense)</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Gains on sales of investments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Interest income and other income (expense) decreased by $5.5 million in 2017, compared with 2016, primarily as a result of increased foreign currency transaction losses in 2017. Interest expense decreased in 2017 compared with 2016 primarily as a result of the maturity of our 3.25% convertible senior notes in April 2016, and lower average outstanding debt balance on our other debt obligations.</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Interest expense decreased in 2016 compared with 2015 primarily as a result of the maturity of our 3.25% convertible senior notes in April 2016. Interest income and other income (expense) decreased in 2016, compared with 2015, primarily as a result of unfavorable foreign currency results in 2016, compared to favorable results in 2015. The negative impact of the change in foreign currency results was somewhat mitigated by the favorable settlement of a liability related to our 2014 DPTT acquisition, as well as the favorable effect of not incurring financing fees (which were related to the exchange of senior convertible notes) in 2016 that we had incurred in 2015.</w:t>
      </w:r>
    </w:p>
    <w:p>
      <w:pPr>
        <w:spacing w:after="0" w:line="18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January 2016, we sold a minority interest investment in a foreign entity and recognized a gain of $8.8 million. In May 2016, we sold our 49.99% interest in the MP Mask joint venture and recognized a gain of $0.1 million.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760" w:type="dxa"/>
            <w:vAlign w:val="bottom"/>
            <w:shd w:val="clear" w:color="auto" w:fill="CCEEFF"/>
          </w:tcPr>
          <w:p>
            <w:pPr>
              <w:jc w:val="right"/>
              <w:ind w:right="59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76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19.9%</w:t>
            </w:r>
          </w:p>
        </w:tc>
        <w:tc>
          <w:tcPr>
            <w:tcW w:w="820" w:type="dxa"/>
            <w:vAlign w:val="bottom"/>
          </w:tcPr>
          <w:p>
            <w:pPr>
              <w:spacing w:after="0"/>
              <w:rPr>
                <w:sz w:val="20"/>
                <w:szCs w:val="20"/>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w w:val="93"/>
              </w:rPr>
              <w:t>18.8%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The effective tax rate differs from the U.S. statutory rate of 35% in fiscal years 2017, 2016 and 2015 primarily due to earnings being taxed at lower statutory rates in foreign jurisdictions, the benefit of various investment credits claimed in a foreign jurisdiction, and valuation allowances in jurisdictions with historical and continuing losses.</w:t>
      </w:r>
    </w:p>
    <w:p>
      <w:pPr>
        <w:spacing w:after="0" w:line="18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increase in effective income tax rate in 2017 compared with 2016 was primarily due to recognition of $1.0 million of previously unrecognized tax benefits, the result of audit settlements and expirations of assessment period statutes of limitations. Those effects were partially offset by 2016 benefit factors, including: the recognition of $2.5 million of previously unrecognized deferred tax assets, the result of improved performance of our FPD operations; the reversal of previously recognized tax expense of $2.4 million that was eliminated by a distribution of the earnings of a foreign subsidiary to its foreign parent; a higher percentage of income before income taxes, including an $8.8 million gain on the sale of an investment in the first quarter of fiscal year 2016, generated in jurisdictions where we previously incurred losses that, due to valuation allowances, did not result in recognition of expense.</w:t>
      </w:r>
    </w:p>
    <w:p>
      <w:pPr>
        <w:spacing w:after="0" w:line="16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effective income tax rate decreased in 2016 compared with 2015 as a result of the following major factors: recognition in 2016 of $4.3 million, compared with $1.5 million in 2015, of previously unrecognized deferred tax assets, which primarily resulted from the improved performance of our FPD operations; the reversal of previously recognized tax expense of $2.4 million that was eliminated by a distribution of the 2015 earnings of a foreign subsidiary to its foreign parent; and a higher percentage of income before income taxes, including an $8.8 million gain on the sale of an investment in 2016, generated in jurisdictions where the Company previously incurred losses that, due to valuation allowances, did not result in recognition of tax expense.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ind w:right="100" w:firstLine="324"/>
        <w:spacing w:after="0" w:line="297" w:lineRule="auto"/>
        <w:rPr>
          <w:sz w:val="20"/>
          <w:szCs w:val="20"/>
          <w:color w:val="auto"/>
        </w:rPr>
      </w:pPr>
      <w:r>
        <w:rPr>
          <w:rFonts w:ascii="Arial" w:cs="Arial" w:eastAsia="Arial" w:hAnsi="Arial"/>
          <w:sz w:val="16"/>
          <w:szCs w:val="16"/>
          <w:color w:val="auto"/>
        </w:rPr>
        <w:t>We consider all available evidence when evaluating the potential future realization of deferred tax assets, and when, based on the weight of all available evidence, we determine that it is more likely than not that some portion or all of our deferred tax assets will not be realized, we reduce our deferred tax assets by a valuation allowance. We also regularly assess the potential outcomes of ongoing and future tax examinations and, accordingly, have recorded accruals for such contingencies. Included in the balance of unrecognized tax benefits as of October 29, 2017, October 30, 2016 and November 1, 2015, are $3.4 million, $4.6 million and $4.1 million recorded in other liabilities in the consolidated balance sheets that, if recognized, would impact the effective tax 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Net income attributable to noncontrolling interests decreased $1.3 million to $8.2 million in 2017 compared with $9.5 million in 2016 due to decreased net income at our IC manufacturing facility in Taiwan, and decreased $2.7 million to $9.5 million in 2016 compared with $12.2 million in 2015 as a result of decreased net income at that same facility.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29,</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30,</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November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i w:val="1"/>
                <w:iCs w:val="1"/>
                <w:color w:val="auto"/>
                <w:w w:val="96"/>
              </w:rPr>
              <w:t>(in $ millions)</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i w:val="1"/>
                <w:iCs w:val="1"/>
                <w:color w:val="auto"/>
                <w:w w:val="96"/>
              </w:rPr>
              <w:t>(in $ millions)</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i w:val="1"/>
                <w:iCs w:val="1"/>
                <w:color w:val="auto"/>
                <w:w w:val="96"/>
              </w:rPr>
              <w:t>(in $ millions)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136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(98.1)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52.3</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As of October 29, 2017, we had cash and cash equivalents of $308.0 million compared with $314.1 million as of October 30, 2016. Our working capital increased $7.1 million to $367.3 million at October 29, 2017, compared with $360.3 million at October 30, 2016. We may use our available cash on hand for operations, capital expenditures, debt repayments, strategic opportunities, stock repurchases or other corporate uses, any of which may be material.</w:t>
      </w:r>
    </w:p>
    <w:p>
      <w:pPr>
        <w:spacing w:after="0" w:line="14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of October 30, 2016, we had cash and cash equivalents of $314.1 million compared with $205.9 million as of November 1, 2015. Our working capital increased $192.2 million to $360.3 million at October 30, 2016, compared with $168.1 million (as retrospectively adjusted to reflect our adoption of ASU 2015-17 in the fourth quarter of fiscal year 2016) at November 1, 2015. The increase in cash and cash equivalents in 2016 was primarily attributable to the sale of our 49.99% interest in the MP Mask joint venture for $93.1 million and proceeds from the sale of an investment in a foreign entity of $8.8 million. The increase in working capital was the result of these same factors, as well as the conversion of $7.4 million of debt to common stock, reduced accounts payable and accrued expense balances as of the end of 2016 compared with the end of 2015, which were caused, in significant part, by lower accruals for capital expenditures and employee compensation.</w:t>
      </w:r>
    </w:p>
    <w:p>
      <w:pPr>
        <w:spacing w:after="0" w:line="189" w:lineRule="exact"/>
        <w:rPr>
          <w:sz w:val="20"/>
          <w:szCs w:val="20"/>
          <w:color w:val="auto"/>
        </w:rPr>
      </w:pPr>
    </w:p>
    <w:p>
      <w:pPr>
        <w:jc w:val="both"/>
        <w:ind w:right="160" w:firstLine="324"/>
        <w:spacing w:after="0" w:line="302" w:lineRule="auto"/>
        <w:rPr>
          <w:sz w:val="20"/>
          <w:szCs w:val="20"/>
          <w:color w:val="auto"/>
        </w:rPr>
      </w:pPr>
      <w:r>
        <w:rPr>
          <w:rFonts w:ascii="Arial" w:cs="Arial" w:eastAsia="Arial" w:hAnsi="Arial"/>
          <w:sz w:val="16"/>
          <w:szCs w:val="16"/>
          <w:color w:val="auto"/>
        </w:rPr>
        <w:t>As of October 29, 2017 and October 30, 2016, our total cash and cash equivalents included $190.0 million and $141.4 million, respectively, held by our foreign subsidiaries. The majority of earnings of our foreign subsidiaries are considered to be indefinitely reinvested. Repatriation of these funds to the U.S. may subject these funds to U.S. federal income taxes and local country withholding taxes in certain jurisdictions. Our foreign subsidiaries continue to grow through the reinvestment of earnings in additional manufacturing capacity and capability, particularly in the high-end IC and FPD areas.</w:t>
      </w:r>
    </w:p>
    <w:p>
      <w:pPr>
        <w:spacing w:after="0" w:line="15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Net cash provided by operating activities decreased by $25.3 million to $96.8 million in fiscal 2017, compared with $122.1 million in fiscal 2016, primarily due to the decrease of $34.4 million of net income. Net cash provided by operating activities decreased to $122.1 million in fiscal 2016, compared with $133.2 million in fiscal 2015, primarily due to reduced year-over-year operating income, partially offset by net cash favorable changes in accrual accounts. Net cash provided by operating activities increased to $133.2 million in fiscal 2015, compared with $96.4 million in fiscal 2014, primarily due to increased net income in 2015, excluding the 2014 noncash gain on the acquisition of DPTT.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ind w:firstLine="324"/>
        <w:spacing w:after="0" w:line="254" w:lineRule="auto"/>
        <w:rPr>
          <w:sz w:val="20"/>
          <w:szCs w:val="20"/>
          <w:color w:val="auto"/>
        </w:rPr>
      </w:pPr>
      <w:r>
        <w:rPr>
          <w:rFonts w:ascii="Arial" w:cs="Arial" w:eastAsia="Arial" w:hAnsi="Arial"/>
          <w:sz w:val="18"/>
          <w:szCs w:val="18"/>
          <w:color w:val="auto"/>
        </w:rPr>
        <w:t>Cash flows from investing activities decreased from funds provided of $52.3 million in 2016 to $98.1 million used in fiscal year 2017 due to $101.9 million aggregate proceeds received from the sale of our investments in MP Mask and an interest we held in a foreign entity in fiscal 2016, compared to increased capital expenditures of $41.8 million and the acquisition of a business of $5.4 million in fiscal 2017. Cash flows from investing activities increased to $52.3 million provided in fiscal year 2016 from $104.3 used in fiscal year 2015, primarily due to proceeds of $101.9 million received from the sale of our investments in the MP Mask joint venture and an interest we held in a foreign entity, as well as decreased expenditures for capital equipment. Net cash used in investing activities in fiscal 2015 was $104.3 million primarily due to capital expenditure payments. Capital expenditure payments for the 2017, 2016, and 2015 fiscal years were $92.0, $50.1 million, and $104.0 million, respectively. We expect capital expenditure payments in fiscal 2018 to be approximately $250 million.</w:t>
      </w:r>
    </w:p>
    <w:p>
      <w:pPr>
        <w:spacing w:after="0" w:line="19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Net cash used in financing activities was $10.9 million in fiscal 2017, which primarily comprised repayments of long-term borrowings and a dividend paid to the noncontrolling interest in a subsidiary, partially offset by proceeds received from employee share-based arrangements. Net cash used in financing activities was $67.0 million in fiscal 2016, primarily comprised of repayments of long-term borrowings (including $50.1 million to retire our 3.25% convertible senior notes which matured in April 2016) and $11.9 million dividend paid to the noncontrolling interest in a subsidiary, partially offset by proceeds received from employee share-based arrangements. Net cash used in financing activities was $7.1 million in fiscal 2015, primarily comprised of repayments of borrowings, offset, in part, by proceeds from share-based arrangements.</w:t>
      </w:r>
    </w:p>
    <w:p>
      <w:pPr>
        <w:spacing w:after="0" w:line="193" w:lineRule="exact"/>
        <w:rPr>
          <w:sz w:val="20"/>
          <w:szCs w:val="20"/>
          <w:color w:val="auto"/>
        </w:rPr>
      </w:pPr>
    </w:p>
    <w:p>
      <w:pPr>
        <w:ind w:right="280" w:firstLine="324"/>
        <w:spacing w:after="0" w:line="272" w:lineRule="auto"/>
        <w:rPr>
          <w:sz w:val="20"/>
          <w:szCs w:val="20"/>
          <w:color w:val="auto"/>
        </w:rPr>
      </w:pPr>
      <w:r>
        <w:rPr>
          <w:rFonts w:ascii="Arial" w:cs="Arial" w:eastAsia="Arial" w:hAnsi="Arial"/>
          <w:sz w:val="17"/>
          <w:szCs w:val="17"/>
          <w:color w:val="auto"/>
        </w:rPr>
        <w:t>Our liquidity, as we operate in a high fixed cost environment, is highly dependent on our revenue, cash conversion cycle,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we have used in the past may not be available to us when required. Although we continue to evaluate further cost reduction initiatives, we cannot assure that additional sources of financing would be available to us on commercially favorable terms, should our cash requirements exceed our existing cash and cash available under our credit facility.</w:t>
      </w:r>
    </w:p>
    <w:p>
      <w:pPr>
        <w:spacing w:after="0" w:line="17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At October 29, 2017, we had outstanding purchase commitments of $168 million, which included $162 million related to capital expenditures. We intend to finance our capital expenditures with our working capital, cash generated from operations, and, if necessary, with additional borrowings. We have agreed to enter into a joint venture that is constructing an IC facility in China with an estimated total investment of $160 million. Our funding commitment for the joint venture is approximately $80 million in the form of a combination of cash and transferred capital over the next several years. We have also entered into an agreement to construct an FPD facility in China in which we will invest $160 million over that same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5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cash requirements in fiscal 2018 will be primarily to: fund our operations; capital spending, including the construction of an IC research and development and manufacturing facility in Xiamen, China and an FPD manufacturing facility in Hefei, China; and service our debt. We believe that our cash on hand, cash generated from operations and amounts available to borrow will be sufficient to meet our cash requirements for the next twelve months. We regularly review the availability and terms at which we might issue additional equity or debt securities in the public or private markets. However, we cannot assure that additional sources of financing would be available to us on commercially favorable terms, should our cash requirements exceed our existing cash and cash available under our credit facility.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260" w:type="dxa"/>
            <w:vAlign w:val="bottom"/>
            <w:gridSpan w:val="8"/>
          </w:tcPr>
          <w:p>
            <w:pPr>
              <w:ind w:left="320"/>
              <w:spacing w:after="0"/>
              <w:rPr>
                <w:sz w:val="20"/>
                <w:szCs w:val="20"/>
                <w:color w:val="auto"/>
              </w:rPr>
            </w:pPr>
            <w:r>
              <w:rPr>
                <w:rFonts w:ascii="Arial" w:cs="Arial" w:eastAsia="Arial" w:hAnsi="Arial"/>
                <w:sz w:val="18"/>
                <w:szCs w:val="18"/>
                <w:color w:val="auto"/>
                <w:w w:val="93"/>
              </w:rPr>
              <w:t>The following table presents our contractual obligations as of October 29, 2017:</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9"/>
              </w:rPr>
              <w:t>Payment due by period</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2"/>
              </w:rPr>
              <w:t>Less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7"/>
              </w:rPr>
              <w:t>More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Than</w:t>
            </w:r>
          </w:p>
        </w:tc>
        <w:tc>
          <w:tcPr>
            <w:tcW w:w="24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1 - 3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3 - 5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Than</w:t>
            </w:r>
          </w:p>
        </w:tc>
        <w:tc>
          <w:tcPr>
            <w:tcW w:w="0" w:type="dxa"/>
            <w:vAlign w:val="bottom"/>
          </w:tcPr>
          <w:p>
            <w:pPr>
              <w:spacing w:after="0"/>
              <w:rPr>
                <w:sz w:val="1"/>
                <w:szCs w:val="1"/>
                <w:color w:val="auto"/>
              </w:rPr>
            </w:pPr>
          </w:p>
        </w:tc>
      </w:tr>
      <w:tr>
        <w:trPr>
          <w:trHeight w:val="241"/>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1 Year</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5 Years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168,219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160,534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10,897</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248,254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168,364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69,406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Long-term borrowings of $57.5 million in the table above represent our obligation under our 3.25% senior convertible notes which, at the option of the note holders, may be settled either in cash or by conversion into our common stock. See Note 6 to the consolidated financial statements for additional information. As of October 29, 2017, the Company had recorded accruals for uncertain tax positions of $3.4 million which were not included in the above table due to the high degree of uncertainty regarding the timing of future payments related to such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own a 50.01% (controlling interest) of PDMC, our IC manufacturing facility located in Taiwan. Under the PDMC operating agreement, the shareholders of PDMC may be requested to make additional contributions to PDMC. In the event that PDMC requests additional capital from its shareholders, we may, in order to maintain our 50.01% ownership interest, be required to make such contributions to PDMC. The PDMC operating agreement limits the amount of contributions that may be requested both during the first four years of PDMC and during any individual year within those first four years. As of October 29, 2017, we had not been requested to make any additional capital contribution to PDMC.</w:t>
      </w:r>
    </w:p>
    <w:p>
      <w:pPr>
        <w:spacing w:after="0" w:line="173"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We lease certain office facilities and equipment under operating leases that may require us to pay taxes, insurance and maintenance expenses related to the properties. Certain of these leases contain renewal or purchase options exercisable at the end of the lease terms. See Note 7 to the consolidated financial statements for additional information on these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majority of our revenue growth is expected to continue to come from the Asian region, predominantly in China. In response to this expectation, we agreed to enter into a joint venture that will complete the construction of an IC research and development and manufacturing facility in Xiamen, China, in late 2018. Production is anticipated to begin at this facility in early 2019. In addition, in August 2017, we announced our plan to construct an FPD manufacturing facility in Hefei, China, in which production is also anticipated to begin in early 2019. Please refer to Note 19 of our consolidated financial statements for additional information on these undertakings.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7" w:name="page28"/>
    <w:bookmarkEnd w:id="27"/>
    <w:p>
      <w:pPr>
        <w:jc w:val="both"/>
        <w:ind w:right="60" w:firstLine="324"/>
        <w:spacing w:after="0" w:line="286" w:lineRule="auto"/>
        <w:rPr>
          <w:sz w:val="20"/>
          <w:szCs w:val="20"/>
          <w:color w:val="auto"/>
        </w:rPr>
      </w:pPr>
      <w:r>
        <w:rPr>
          <w:rFonts w:ascii="Arial" w:cs="Arial" w:eastAsia="Arial" w:hAnsi="Arial"/>
          <w:sz w:val="17"/>
          <w:szCs w:val="17"/>
          <w:color w:val="auto"/>
        </w:rPr>
        <w:t>We continue to assess our global manufacturing strategy and monitor our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93"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Our future results of operations and the other forward-looking statements contained in this filing involve a number of risks and uncertainties. While various risks and uncertainties have been discussed, a number of other unforeseen factors could cause actual results to differ materially from our expectations.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consolidated financial statements are based on the selection and application of accounting policies, which require management to make significant estimates and assumptions. We believe that the following are some of the more critical judgment areas in the application of our accounting policies that affect our financial condition and results of operations:</w:t>
      </w:r>
    </w:p>
    <w:p>
      <w:pPr>
        <w:spacing w:after="0" w:line="208" w:lineRule="exact"/>
        <w:rPr>
          <w:sz w:val="20"/>
          <w:szCs w:val="20"/>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determination of the useful lives of our property, plant, and equipment and the timing of when depreciation should begin on such assets, as these determinations can significantly impact our gross margin and research and development expenses;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evaluation of the recoverability of our long-lived and definite-lived intangible assets, which requires us to forecast the future cash flows related to these assets, and impacts our gross margin and operating expenses;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estimation of the collectability of our accounts receivables, which impacts our gross margin and operating expenses;</w:t>
      </w:r>
    </w:p>
    <w:p>
      <w:pPr>
        <w:spacing w:after="0" w:line="252"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recognition and measurement of current and deferred income taxes, including the measurement of uncertain tax positions, which impact our provision for income taxes and our tax-related asset and liability balances.</w:t>
      </w:r>
    </w:p>
    <w:p>
      <w:pPr>
        <w:spacing w:after="0" w:line="19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Please refer to Note 1 to our consolidated financial statements for additional information on these critical accounting estimates and our other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1300" w:firstLine="324"/>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21 Recent Accounting Pronouncements” for recent accounting pronouncements that may affect our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renminbi and the Singapore dollar. The functional currencies of our European subsidiaries are the British pound and the euro. In addition, we have transactions and balances in Japanese yen.</w:t>
      </w:r>
    </w:p>
    <w:p>
      <w:pPr>
        <w:spacing w:after="0" w:line="21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There can be no assurance that this approach will continue to be successful, especially in the event of a significant adverse movement in the value of any foreign currency against the U.S. dollar, the New Taiwan dollar, the South Korean won, the Chinese renminbi, the Singapore dollar, the British pound, or the euro. However, in some instances, we sell products in a currency other than the functional currency of the country where it was produced, or purchase products in a currency that differs from the functional currency of the purchasing manufacturing facility.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ind w:right="40" w:firstLine="324"/>
        <w:spacing w:after="0" w:line="293" w:lineRule="auto"/>
        <w:rPr>
          <w:sz w:val="20"/>
          <w:szCs w:val="20"/>
          <w:color w:val="auto"/>
        </w:rPr>
      </w:pPr>
      <w:r>
        <w:rPr>
          <w:rFonts w:ascii="Arial" w:cs="Arial" w:eastAsia="Arial" w:hAnsi="Arial"/>
          <w:sz w:val="16"/>
          <w:szCs w:val="16"/>
          <w:color w:val="auto"/>
        </w:rPr>
        <w:t>Our primary net foreign currency exposures as of October 29, 2017, included the South Korean won, the Japanese yen, the New Taiwan dollar, the Chinese renminbi, the Singapore dollar, the British pound, and the euro. As of October 29, 2017, a 10% adverse movement in the value of these currencies against the functional currencies of our subsidiaries would have resulted in a net unrealized pre-tax loss of $13.0 million, which represents an increase of $3.9 million from October 30, 2016. The increase in foreign currency rate change risk is primarily the result of increased exposures of the Chinese renminbi against the U.S. dollar, and the Taiwan dollar against the U.S. dollar and, to a lesser extent, the Japanese yen. We do not believe that a 10% change in the exchange rates of other non-US dollar currencies would have had a material effect on our October 29, 2017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At October 29, 2017, we did not have any variable rate borrowings. Therefore, a 10% change in interest rates would not have had a material effect on our consolidated financial position, results of operations, or cash flows in the year ended October 29,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360" w:type="dxa"/>
            <w:vAlign w:val="bottom"/>
            <w:gridSpan w:val="7"/>
          </w:tcPr>
          <w:p>
            <w:pPr>
              <w:jc w:val="center"/>
              <w:ind w:right="2240"/>
              <w:spacing w:after="0"/>
              <w:rPr>
                <w:sz w:val="20"/>
                <w:szCs w:val="20"/>
                <w:color w:val="auto"/>
              </w:rPr>
            </w:pPr>
            <w:r>
              <w:rPr>
                <w:rFonts w:ascii="Arial" w:cs="Arial" w:eastAsia="Arial" w:hAnsi="Arial"/>
                <w:sz w:val="18"/>
                <w:szCs w:val="18"/>
                <w:b w:val="1"/>
                <w:bCs w:val="1"/>
                <w:color w:val="auto"/>
              </w:rPr>
              <w:t>INDEX TO CONSOLIDATED FINANCIAL STATEMENTS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8"/>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Report of Independent Registered Public Accounting Firm</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8"/>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Consolidated Balance Sheets at October 29, 2017 and October 30, 2016</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8"/>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Consolidated Statements of Income for the years ended October 29, 2017, October 30, 2016 and November 1, 2015</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8"/>
            <w:shd w:val="clear" w:color="auto" w:fill="CCEEFF"/>
          </w:tcPr>
          <w:p>
            <w:pPr>
              <w:spacing w:after="0" w:line="176"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Consolidated Statements of Comprehensive Income for the years ended October 29, 2017, October 30, 2016 and November 1, 2015</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8"/>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Consolidated Statements of Equity for the years ended October 29, 2017, October 30, 2016 and November 1, 2015</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8"/>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Statements of Cash Flows for the years ended October 29, 2017, October 30, 2016 and November 1, 2015</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Notes to Consolidated Financial Statements</w:t>
              </w:r>
            </w:hyperlink>
          </w:p>
        </w:tc>
        <w:tc>
          <w:tcPr>
            <w:tcW w:w="736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8280" w:type="dxa"/>
            <w:vAlign w:val="bottom"/>
            <w:gridSpan w:val="5"/>
          </w:tcPr>
          <w:p>
            <w:pPr>
              <w:jc w:val="right"/>
              <w:ind w:right="2500"/>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Brookfield, Connecticut</w:t>
      </w:r>
    </w:p>
    <w:p>
      <w:pPr>
        <w:spacing w:after="0" w:line="2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have audited the accompanying consolidated balance sheets of Photronics, Inc. and subsidiaries (the “Company”) as of October 29, 2017 and October 30, 2016, and the related consolidated statements of income, consolidated statements of comprehensive income, consolidated statements of equity, and consolidated statements of cash flows for each of the fiscal years ended October 29, 2017, October 30, 2016, and November 1, 2015. We also have audited the Company’s internal control over financial reporting as of October 29,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in Item 9A. Our responsibility is to express an opinion on these financial statements and an opinion on the Company’s internal control over financial reporting based on our audits.</w:t>
      </w:r>
    </w:p>
    <w:p>
      <w:pPr>
        <w:spacing w:after="0" w:line="16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Photronics, Inc. and subsidiaries as of October 29, 2017 and October 30, 2016, and the results of their operations and their cash flows for each of the fiscal years ended October 29, 2017, October 30, 2016, and November 1, 2015, in conformity with accounting principles generally accepted in the United States of America. Also, in our opinion, the Company maintained, in all material respects, effective internal control over financial reporting as of October 29, 2017,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2017</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9">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PHOTRONICS, INC. AND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b w:val="1"/>
                <w:bCs w:val="1"/>
                <w:color w:val="auto"/>
                <w:w w:val="87"/>
              </w:rPr>
              <w:t>Consolidated Balance Sheets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October 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308,021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 of allowance of $2,319 in 2017 and $3,901 in 2016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105,320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12,080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1,020,794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987,988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borrowings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Payables – related parties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81,776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Common stock, $0.01 par value, 150,000 shares authorized, 68,666 shares issued and outstanding at October 29,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 68,080 shares issued and outstanding at October 30, 2016</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547,596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Photronics, Inc. 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120,731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865,295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1,020,794</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987,988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i w:val="1"/>
                <w:iCs w:val="1"/>
                <w:color w:val="0000EE"/>
              </w:rPr>
            </w:pPr>
            <w:hyperlink w:anchor="page29">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120" w:type="dxa"/>
            <w:vAlign w:val="bottom"/>
          </w:tcPr>
          <w:p>
            <w:pPr>
              <w:jc w:val="center"/>
              <w:ind w:left="3570"/>
              <w:spacing w:after="0"/>
              <w:rPr>
                <w:sz w:val="20"/>
                <w:szCs w:val="20"/>
                <w:color w:val="auto"/>
              </w:rPr>
            </w:pPr>
            <w:r>
              <w:rPr>
                <w:rFonts w:ascii="Arial" w:cs="Arial" w:eastAsia="Arial" w:hAnsi="Arial"/>
                <w:sz w:val="18"/>
                <w:szCs w:val="18"/>
                <w:b w:val="1"/>
                <w:bCs w:val="1"/>
                <w:color w:val="auto"/>
                <w:w w:val="99"/>
              </w:rPr>
              <w:t>PHOTRONICS, INC. AND SUBSIDIARIES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20" w:type="dxa"/>
            <w:vAlign w:val="bottom"/>
          </w:tcPr>
          <w:p>
            <w:pPr>
              <w:jc w:val="center"/>
              <w:ind w:left="3590"/>
              <w:spacing w:after="0"/>
              <w:rPr>
                <w:sz w:val="20"/>
                <w:szCs w:val="20"/>
                <w:color w:val="auto"/>
              </w:rPr>
            </w:pPr>
            <w:r>
              <w:rPr>
                <w:rFonts w:ascii="Arial" w:cs="Arial" w:eastAsia="Arial" w:hAnsi="Arial"/>
                <w:sz w:val="18"/>
                <w:szCs w:val="18"/>
                <w:b w:val="1"/>
                <w:bCs w:val="1"/>
                <w:color w:val="auto"/>
                <w:w w:val="88"/>
              </w:rPr>
              <w:t>Consolidated Statements of Income</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120" w:type="dxa"/>
            <w:vAlign w:val="bottom"/>
          </w:tcPr>
          <w:p>
            <w:pPr>
              <w:jc w:val="center"/>
              <w:ind w:left="359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October 29,</w:t>
            </w:r>
          </w:p>
        </w:tc>
        <w:tc>
          <w:tcPr>
            <w:tcW w:w="100" w:type="dxa"/>
            <w:vAlign w:val="bottom"/>
          </w:tcPr>
          <w:p>
            <w:pPr>
              <w:spacing w:after="0"/>
              <w:rPr>
                <w:sz w:val="17"/>
                <w:szCs w:val="17"/>
                <w:color w:val="auto"/>
              </w:rPr>
            </w:pPr>
          </w:p>
        </w:tc>
        <w:tc>
          <w:tcPr>
            <w:tcW w:w="11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30,</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450,678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483,456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524,206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(359,363)</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(364,750)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91,315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118,706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(43,585)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(15,862)</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(59,447)</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31,868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 and other income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Gains on sales of investments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26,565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(5,276)</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21,289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55,676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(8,159)</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46,200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67,539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76,354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40" w:type="dxa"/>
            <w:vAlign w:val="bottom"/>
            <w:gridSpan w:val="3"/>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October 29,</w:t>
            </w:r>
          </w:p>
        </w:tc>
        <w:tc>
          <w:tcPr>
            <w:tcW w:w="100" w:type="dxa"/>
            <w:vAlign w:val="bottom"/>
          </w:tcPr>
          <w:p>
            <w:pPr>
              <w:spacing w:after="0"/>
              <w:rPr>
                <w:sz w:val="17"/>
                <w:szCs w:val="17"/>
                <w:color w:val="auto"/>
              </w:rPr>
            </w:pPr>
          </w:p>
        </w:tc>
        <w:tc>
          <w:tcPr>
            <w:tcW w:w="11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30,</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55,676</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Amortization of cash flow hedge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14,003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12,448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29, 2017 October 30, 2016 and November 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Capital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19"/>
                <w:szCs w:val="19"/>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Interests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November 2, 2014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520,182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85,435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111,444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44,625</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(32,347)</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(40,407)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 of common stock through employee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 and purchase plan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3"/>
              </w:rPr>
              <w:t>Restricted stock awards vesting and expense</w:t>
            </w: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7"/>
              </w:rPr>
              <w:t>Repurchase of common stock by subsidiary</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Balance at November 1, 2015</w:t>
            </w:r>
          </w:p>
        </w:tc>
        <w:tc>
          <w:tcPr>
            <w:tcW w:w="880" w:type="dxa"/>
            <w:vAlign w:val="bottom"/>
          </w:tcPr>
          <w:p>
            <w:pPr>
              <w:jc w:val="right"/>
              <w:spacing w:after="0"/>
              <w:rPr>
                <w:sz w:val="20"/>
                <w:szCs w:val="20"/>
                <w:color w:val="auto"/>
              </w:rPr>
            </w:pPr>
            <w:r>
              <w:rPr>
                <w:rFonts w:ascii="Arial" w:cs="Arial" w:eastAsia="Arial" w:hAnsi="Arial"/>
                <w:sz w:val="18"/>
                <w:szCs w:val="18"/>
                <w:color w:val="auto"/>
              </w:rPr>
              <w:t>66,602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526,402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130,060</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(10,573)</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115,511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762,066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46,200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9,476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Sales of common stock through employee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stock option and purchase plan</w:t>
            </w:r>
          </w:p>
        </w:tc>
        <w:tc>
          <w:tcPr>
            <w:tcW w:w="880" w:type="dxa"/>
            <w:vAlign w:val="bottom"/>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3,441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3"/>
              </w:rPr>
              <w:t>Restricted stock awards vesting and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debt to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Dividends to noncontrolling interests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(11,901)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 to noncontrolling interest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7"/>
              </w:rPr>
              <w:t>Repurchase of common stock by subsidiary</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Balance at October 30, 2016</w:t>
            </w:r>
          </w:p>
        </w:tc>
        <w:tc>
          <w:tcPr>
            <w:tcW w:w="880" w:type="dxa"/>
            <w:vAlign w:val="bottom"/>
          </w:tcPr>
          <w:p>
            <w:pPr>
              <w:jc w:val="right"/>
              <w:spacing w:after="0"/>
              <w:rPr>
                <w:sz w:val="20"/>
                <w:szCs w:val="20"/>
                <w:color w:val="auto"/>
              </w:rPr>
            </w:pPr>
            <w:r>
              <w:rPr>
                <w:rFonts w:ascii="Arial" w:cs="Arial" w:eastAsia="Arial" w:hAnsi="Arial"/>
                <w:sz w:val="18"/>
                <w:szCs w:val="18"/>
                <w:color w:val="auto"/>
              </w:rPr>
              <w:t>68,080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541,093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176,260</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(7,671)</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115,111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825,474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13,130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14,562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Sales of common stock through employee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stock option and purchase plan</w:t>
            </w:r>
          </w:p>
        </w:tc>
        <w:tc>
          <w:tcPr>
            <w:tcW w:w="880" w:type="dxa"/>
            <w:vAlign w:val="bottom"/>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2,877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3"/>
              </w:rPr>
              <w:t>Restricted stock awards vesting and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Dividends to noncontrolling interests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October 29, 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547,596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189,390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120,731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6500" w:type="dxa"/>
            <w:vAlign w:val="bottom"/>
            <w:gridSpan w:val="3"/>
          </w:tcPr>
          <w:p>
            <w:pPr>
              <w:spacing w:after="0"/>
              <w:rPr>
                <w:rFonts w:ascii="Arial" w:cs="Arial" w:eastAsia="Arial" w:hAnsi="Arial"/>
                <w:sz w:val="14"/>
                <w:szCs w:val="14"/>
                <w:i w:val="1"/>
                <w:iCs w:val="1"/>
                <w:color w:val="0000EE"/>
              </w:rPr>
            </w:pPr>
            <w:hyperlink w:anchor="page29">
              <w:r>
                <w:rPr>
                  <w:rFonts w:ascii="Arial" w:cs="Arial" w:eastAsia="Arial" w:hAnsi="Arial"/>
                  <w:sz w:val="14"/>
                  <w:szCs w:val="14"/>
                  <w:i w:val="1"/>
                  <w:iCs w:val="1"/>
                  <w:color w:val="0000EE"/>
                </w:rPr>
                <w:t>Index</w:t>
              </w:r>
            </w:hyperlink>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960" w:type="dxa"/>
            <w:vAlign w:val="bottom"/>
            <w:gridSpan w:val="6"/>
          </w:tcPr>
          <w:p>
            <w:pPr>
              <w:jc w:val="center"/>
              <w:ind w:left="2730"/>
              <w:spacing w:after="0"/>
              <w:rPr>
                <w:sz w:val="20"/>
                <w:szCs w:val="20"/>
                <w:color w:val="auto"/>
              </w:rPr>
            </w:pPr>
            <w:r>
              <w:rPr>
                <w:rFonts w:ascii="Arial" w:cs="Arial" w:eastAsia="Arial" w:hAnsi="Arial"/>
                <w:sz w:val="18"/>
                <w:szCs w:val="18"/>
                <w:b w:val="1"/>
                <w:bCs w:val="1"/>
                <w:color w:val="auto"/>
                <w:w w:val="99"/>
              </w:rPr>
              <w:t>PHOTRONICS, INC. AND SUBSIDIARIES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60" w:type="dxa"/>
            <w:vAlign w:val="bottom"/>
            <w:gridSpan w:val="6"/>
          </w:tcPr>
          <w:p>
            <w:pPr>
              <w:jc w:val="center"/>
              <w:ind w:left="273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180" w:type="dxa"/>
            <w:vAlign w:val="bottom"/>
          </w:tcPr>
          <w:p>
            <w:pPr>
              <w:jc w:val="center"/>
              <w:ind w:left="4530"/>
              <w:spacing w:after="0"/>
              <w:rPr>
                <w:sz w:val="20"/>
                <w:szCs w:val="20"/>
                <w:color w:val="auto"/>
              </w:rPr>
            </w:pPr>
            <w:r>
              <w:rPr>
                <w:rFonts w:ascii="Arial" w:cs="Arial" w:eastAsia="Arial" w:hAnsi="Arial"/>
                <w:sz w:val="18"/>
                <w:szCs w:val="18"/>
                <w:i w:val="1"/>
                <w:iCs w:val="1"/>
                <w:color w:val="auto"/>
                <w:w w:val="91"/>
              </w:rPr>
              <w:t>(in thousands)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4"/>
              </w:rPr>
              <w:t>Year Ended</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jc w:val="right"/>
              <w:ind w:right="380"/>
              <w:spacing w:after="0" w:line="198" w:lineRule="exact"/>
              <w:rPr>
                <w:sz w:val="20"/>
                <w:szCs w:val="20"/>
                <w:color w:val="auto"/>
              </w:rPr>
            </w:pPr>
            <w:r>
              <w:rPr>
                <w:rFonts w:ascii="Arial" w:cs="Arial" w:eastAsia="Arial" w:hAnsi="Arial"/>
                <w:sz w:val="18"/>
                <w:szCs w:val="18"/>
                <w:b w:val="1"/>
                <w:bCs w:val="1"/>
                <w:color w:val="auto"/>
                <w:w w:val="96"/>
              </w:rPr>
              <w:t>October 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8"/>
              </w:rPr>
              <w:t>October 30,</w:t>
            </w:r>
          </w:p>
        </w:tc>
        <w:tc>
          <w:tcPr>
            <w:tcW w:w="140" w:type="dxa"/>
            <w:vAlign w:val="bottom"/>
          </w:tcPr>
          <w:p>
            <w:pPr>
              <w:spacing w:after="0"/>
              <w:rPr>
                <w:sz w:val="17"/>
                <w:szCs w:val="17"/>
                <w:color w:val="auto"/>
              </w:rPr>
            </w:pPr>
          </w:p>
        </w:tc>
        <w:tc>
          <w:tcPr>
            <w:tcW w:w="122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November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0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21,289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of property, plant and equipment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77,613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5,228</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Gains on sales of investments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3,827</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Changes in assets, liabilities, and other:</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18,807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2,268</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Accounts payable, accrued liabilities and other</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(7,189)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(36,462)</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96,833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122,137</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133,195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(91,965)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(50,147)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Acquisition of business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sales of investments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101,853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Purchases of intangible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52,290</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(104,305)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Repayments of long-term borrowings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(57,609)</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(11,890)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Proceeds from share-based arrangements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3,463</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Return of capital to noncontrolling interests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(10,928)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(67,022)</w:t>
            </w: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(6,053)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108,207</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12,938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314,074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205,867</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192,929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308,021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314,074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205,867</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Supplemental disclosure of non-cash information: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Accrual for property, plant and equipment purchased during year</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Conversion of debt to common stock</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7,439</w:t>
            </w: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October 29, 2017, October 30, 2016 and November 1,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Photronics, Inc. and its subsidiaries (“Photronics”, the “Company”, “we”, “our”, or “us”)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display substrates during the fabrication of integrated circuits (“ICs” or semiconductors) and a variety of FPDs and, to a lesser extent, other types of electrical and optical components. The Company currently operates principally from nine manufacturing facilities; two of which are located in Europe, three in Taiwan, one in Korea, and three in the United States. We have announced plans to construct two manufacturing facilities in China. See Note 19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5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Photronics, Inc. and majority-owned subsidiaries that it controls. All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256"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assumptions that affect amounts reported in them. Estimates are based on historical experience and on various assumptions that are believed to be reasonable under the circumstances. Our estimates are based on the facts and circumstances available at the time they are made. Actual results we report may differ from such estimates. We review these estimates periodically and reflect any effects of revisions in the period in which they are determined.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fiscal year ends on the Sunday closest to October thirty-first, and, as a result, a 53-week year occurs every 5 to 6 years. Fiscal years 2017, 2016 and 2015 each included 52 weeks.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Cash and cash equivalents include cash and highly liquid investments purchased with an original maturity of 3 months or less. The carrying values of cash equivalents approximate their fair values, due to the short-term maturities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5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generally record our trade accounts receivable at their billed amounts. All outstanding past due customer invoices are reviewed during and at the end of every reporting period for collectability. When, in the judgment of management, a loss on the collection of a customer invoice is probable, the amount is charged to expense and credited to the allowance for doubtful accounts. When the amount is determined to be uncollectible, the amount is charged to the allowance for doubtful accounts, and the related receivable is eliminated.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market. Presented below are the components of inventory at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29</w:t>
            </w: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23,703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22,081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Property, plant and equipment, except as explained below under “Impairment of Long-Lived Assets,” is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its related accumulated depreciation are removed from the accounts, and any resulting gain or loss is reflected in earnings.</w:t>
      </w:r>
    </w:p>
    <w:p>
      <w:pPr>
        <w:spacing w:after="0" w:line="21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Depreciation and amortization, substantially all of which are included in cost of goods sold,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We employ judgment and assumptions when we establish estimated useful lives and depreciation periods, as well as when we periodically review property, plant and equipment for any potential impairment in carrying values, whenever events such as a significant industry downturn, plant closures, technological obsolescence, or other change in circumstances indicate that their carrying amounts may not be recoverable.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6"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Intangible assets consist primarily of a technology license agreement and acquisition-related intangibles. These assets, except as explained below,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174"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periodically evaluate the remaining useful lives of our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its carrying value may not, based on future undiscounted cash flows or market factors, be recoverable; and an impairment loss would be recorded in the period where the impairment determination is made. The amount of the impairment loss recorded would be based on the fair value of the intangible asset at the measurement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Determinations of recoverability are based upon our judgment and estimates of undiscounted future cash flows resulting from the use of the assets and their eventual disposition. Measurement of an impairment loss for long-lived assets that we expect to hold and use is based on the fair value of the assets determined using a market or income approach compared to the carrying value of the asset. The carrying values of assets determined to be impaired are reduced to their estimated fair values.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5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When acquiring other businesses, or participating in mergers or joint ventures in which we are deemed to be the acquirer, we generally recognize identifiable assets acquired, liabilities assumed and any noncontrolling interests at their acquisition date fair values, separately from any goodwill that may be required to be recognized. Goodwill, when recognizable, would be measured as the excess amount of any consideration transferred, which is generally measured at fair value, over the acquisition date fair values of the identifiable assets acquired and liabilities assumed.</w:t>
      </w:r>
    </w:p>
    <w:p>
      <w:pPr>
        <w:spacing w:after="0" w:line="19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Accounting for such transactions requires us to make significant assumptions and estimates and, although we believe any estimates and assumptions we make to be reasonable and appropriate at the time they are made, unanticipated events and circumstances may arise that affect their accuracy, which may cause actual results to differ from those we estimated. When required, we will adjust the values of the assets acquired and liabilities assumed against the acquisition gain or goodwill, as initially recorded, for a period of up to one year after the transaction.</w:t>
      </w:r>
    </w:p>
    <w:p>
      <w:pPr>
        <w:spacing w:after="0" w:line="198" w:lineRule="exact"/>
        <w:rPr>
          <w:sz w:val="20"/>
          <w:szCs w:val="20"/>
          <w:color w:val="auto"/>
        </w:rPr>
      </w:pPr>
    </w:p>
    <w:p>
      <w:pPr>
        <w:ind w:right="700" w:firstLine="324"/>
        <w:spacing w:after="0" w:line="264" w:lineRule="auto"/>
        <w:rPr>
          <w:sz w:val="20"/>
          <w:szCs w:val="20"/>
          <w:color w:val="auto"/>
        </w:rPr>
      </w:pPr>
      <w:r>
        <w:rPr>
          <w:rFonts w:ascii="Arial" w:cs="Arial" w:eastAsia="Arial" w:hAnsi="Arial"/>
          <w:sz w:val="18"/>
          <w:szCs w:val="18"/>
          <w:color w:val="auto"/>
        </w:rPr>
        <w:t>Costs incurred to effect a merger or acquisition, such as legal, accounting, valuation and other third party costs, as well as internal general and administrative costs incurred are charged to expense in the periods incurred. Costs incurred to issue any debt and equity securities are recognized in accordance with other applicable generally accepted accounting principles.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Ventures</w:t>
      </w:r>
    </w:p>
    <w:p>
      <w:pPr>
        <w:spacing w:after="0" w:line="256"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financial results of investments in joint ventures of which we have a controlling financial interest are included in our consolidated financial statements. Investments in joint ventures over which we have the ability to exercise significant influence and that, in general, are at least 20 percent owned are accounted for under the equity method. An impairment loss would be recognized whenever a decrease in the fair value of such an investment below its carrying amount is determined to be other than temporary. In judging “other than temporary,” we would consider the length of time and the extent to which the fair value of the investment has been less than the carrying amount of the investment, the near-term and longer-term operating and financial prospects of the investee, and our longer-term intent of retaining our investment in the investee.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5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account for the investments we make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as “variable interest entities”, or “VIEs”.</w:t>
      </w:r>
    </w:p>
    <w:p>
      <w:pPr>
        <w:spacing w:after="0" w:line="215"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We would consolidate the results of any such entity in which we determined that we have a controlling financial interest. We would have a “controlling financial interest” in such an entity when we have both the power to direct the activities that most significantly affect the VIE’s economic performance and the obligation to absorb the losses of, or right to receive the benefits from, the VIE that could be potentially significant to the VIE. On a quarterly basis, we would reassess whether we have a controlling financial interest in any investments we have in these certain legal entities.</w:t>
      </w:r>
    </w:p>
    <w:p>
      <w:pPr>
        <w:spacing w:after="0" w:line="19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account for investments we make in VIEs in which we have determined that we do not have a controlling financial interest but have a significant influence over, and hold at least a 20 percent ownership interest in, using the equity method. Any such investment not meeting the parameters to be accounted for under the equity method would be accounted for using the cost method, unless the investment had a readily determinable fair value, at which value it would then be reported.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their amounts used for income tax purposes, as well as the tax effects of net operating losses and tax credit carryforwards. We use judgment and make assumptions to determine if valuation allowances for deferred income tax assets are required, if their realization is not more likely than not, by considering future market growth, operating forecasts, future taxable income, and the mix of earnings among the tax jurisdictions in which we operate. Accordingly, income taxes charged against earnings may have been impacted by changes in the valuation allowances.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We consider income taxes in each of the tax jurisdictions in which we operate in order to determine our effective income tax rate. Our current income tax expense is thus identified, and temporary differences resulting from differing treatments of items for tax and financial reporting purposes are assessed. These differences result in deferred tax assets and liabilities, which are included in our consolidated balance sheets.</w:t>
      </w:r>
    </w:p>
    <w:p>
      <w:pPr>
        <w:spacing w:after="0" w:line="166"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We account for uncertain tax positions by recording a liability for unrecognized tax benefits resulting from uncertain tax positions taken, or expected to be taken, in our tax returns. We include any applicable interest and penalties related to uncertain tax positions in our income tax provision.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Basic earnings per share (“EPS”) is based on the weighted-average number of common shares outstanding for the period, excluding any dilutive common share equivalents. Diluted EPS reflects the potential dilution that could occur if certain share-based payment awards or financial instruments were exercised, earned or converted.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recognize share-based compensation expense over the service period that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impact the amount of expense to be recognized in future periods. Determining the appropriate option pricing model, calculating the grant date fair value of share-based awards and estimating forfeiture rates requires considerable judgment, including estimations of stock price volatility and the expected term of options granted.</w:t>
      </w:r>
    </w:p>
    <w:p>
      <w:pPr>
        <w:spacing w:after="0" w:line="173"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We use the Black-Scholes option pricing model to value employee stock options. We estimate stock price volatility based on daily averages of our common stock’s historical volatility over a term approximately equal to the estimated time period the grant will remain outstanding. The expected term of options and forfeiture rate assumptions are derived from historical data.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Research and development costs are expensed as incurred, and consist primarily of development efforts related to high-end process technologies for advanced sub-wavelength reticle solutions for IC photomask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6"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Our non-US subsidiaries maintain their accounts in their respective local currencies. Assets and liabilities of such subsidiaries are translated to U.S. dollars at year-end exchange rates. Income and expenses are translated at average rates of exchange prevailing during the year. Foreign currency translation adjustments are accumulated and reported in accumulated other comprehensive income, a component of equity. The effects of changes in exchange rates on foreign currency transactions, which are included in interest income and other income (expense) were a net gain/(loss) of $(5.2) million, $(0.3) million and $2.5 million in fiscal years 2017, 2016 and 2015,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5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Noncontrolling interests represents the minority shareholders’ proportionate share in the equity of the Company’s two majority-owned subsidiaries, Photronics DNP Mask Corporation (“PDMC”) in Taiwan, of which noncontrolling interests owned 49.99% as of October 29, 2017 and October 30, 2016, and PK Ltd. (“PKL”) in Korea of which noncontrolling shareholders owned approximately 0.3% as of October 29, 2017 and October 30, 2016.</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recognize revenue when there is persuasive evidence that an arrangement exists, delivery has occurred, the sales price of the transaction is fixed or determinable, and collectability is reasonably assured. Delivery is determined by the shipping terms of the individual revenue transactions. For transactions with FOB destination or similar shipping terms, delivery occurs when our product reaches its destination and is received by the customer. For transactions with FOB shipping point terms, delivery occurs when our product is received by the common carrier. We use judgment when estimating the effect on revenue of discounts and sales incentives, both of which are accrued when the related revenue is recognized. Our revenue is reported net of any sales taxes billed to customers.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25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a 30-day period, we warrant that items sold will conform to customer specifications. However, our liability is limited to the repair or replacement of the photomasks at our sole option. We inspect photomasks for conformity to customer specifications prior to shipment. Accordingly, customer claims related to items under warranty have historically been insignificant. Our warranty policy includes accepting returns of products with defects, or products that have not been produced to precise customer specifications.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NOTE 2 - PROPERTY, PLANT AND EQUIPMENT</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Property, plant and equipment consists of the following:</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29,</w:t>
            </w:r>
          </w:p>
        </w:tc>
        <w:tc>
          <w:tcPr>
            <w:tcW w:w="12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125,290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1,547,870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20,050</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12,989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72,045</w:t>
            </w: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1,788,203</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1,253,006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1,155,115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535,197</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under capital leases is included in above property, plant and equipment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29,</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10,352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21,074</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During the three month period ended January 29, 2017, we acquired a business comprised of manufacturing assets and certain intellectual property that enables us to expand our manufacturing capability, primarily in large area masks for IC, for approximately $5.7 million, including a $0.3 million holdback payable one year from the acquisition date. The transaction was accounted for in accordance with ASC 805, “Business Combinations”, with substantially all of the purchase price being allocated to long-lived assets that are being depreciated over five years.</w:t>
      </w:r>
    </w:p>
    <w:p>
      <w:pPr>
        <w:spacing w:after="0" w:line="17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During the three month period ended January 29, 2017, we entered into a noncash transaction with a customer which resulted in the acquisition of equipment with a fair value of approximately $9.0 million in fiscal year 2017.</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INTANGIBLE ASSETS</w:t>
      </w:r>
    </w:p>
    <w:p>
      <w:pPr>
        <w:spacing w:after="0" w:line="25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Amortization expense of the Company’s finite-lived intangible assets was $4.9 million, $4.8 million and $6.0 million in fiscal years 2017, 2016 and 2015,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Intangible assets consist of:</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Accumulated</w:t>
            </w:r>
          </w:p>
        </w:tc>
        <w:tc>
          <w:tcPr>
            <w:tcW w:w="180" w:type="dxa"/>
            <w:vAlign w:val="bottom"/>
          </w:tcPr>
          <w:p>
            <w:pPr>
              <w:spacing w:after="0"/>
              <w:rPr>
                <w:sz w:val="24"/>
                <w:szCs w:val="2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41"/>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As of October 29, 2017</w:t>
            </w:r>
          </w:p>
        </w:tc>
        <w:tc>
          <w:tcPr>
            <w:tcW w:w="16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59,616</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(45,374)</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(7,793)</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Software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77,186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(60,064)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17,122</w:t>
            </w:r>
          </w:p>
        </w:tc>
        <w:tc>
          <w:tcPr>
            <w:tcW w:w="0" w:type="dxa"/>
            <w:vAlign w:val="bottom"/>
          </w:tcPr>
          <w:p>
            <w:pPr>
              <w:spacing w:after="0"/>
              <w:rPr>
                <w:sz w:val="1"/>
                <w:szCs w:val="1"/>
                <w:color w:val="auto"/>
              </w:rPr>
            </w:pPr>
          </w:p>
        </w:tc>
      </w:tr>
      <w:tr>
        <w:trPr>
          <w:trHeight w:val="21"/>
        </w:trPr>
        <w:tc>
          <w:tcPr>
            <w:tcW w:w="51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As of October 30, 2016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Technology license agreement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59,616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(41,400)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Software and 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(5,941)</w:t>
            </w: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74,717</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19,854</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weighted-average amortization period of intangible assets acquired in fiscal year 2017 was 4.5 years, primarily comprised of acquired customer relationships and technology that has an amortization period of five years, and software that has an amortization period of three years. The weighted-average amortization period of intangible assets acquired in fiscal year 2016, which is comprised of software, is three years.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 amortization over the next five years is estimated to be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Fiscal Years:</w:t>
            </w: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2019</w:t>
            </w:r>
          </w:p>
        </w:tc>
        <w:tc>
          <w:tcPr>
            <w:tcW w:w="98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2021</w:t>
            </w:r>
          </w:p>
        </w:tc>
        <w:tc>
          <w:tcPr>
            <w:tcW w:w="98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JOINT VENTURE, TECHNOLOGY LICENSE AND OTHER AGREEMENTS WITH MICRON TECHNOLOGY, INC.</w:t>
      </w:r>
    </w:p>
    <w:p>
      <w:pPr>
        <w:spacing w:after="0" w:line="25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May 2006, Photronics and Micron Technology, Inc. (“Micron”) entered into the MP Mask joint venture (“MP Mask”), which developed and produced photomasks for leading-edge and advanced next generation semiconductors. At the time of the formation of the joint venture, we also entered into an agreement to license photomask technology developed by Micron and certain supply agreements. In May 2016, we sold our investment in MP Mask to Micron for $93.1 million and recorded a gain on the sale of $0.1 million, which is included in our 2016 consolidated statement of income in interest income and other income (expense). On that same date a supply agreement commenced between Photronics and Micron, which provided that we would be the majority outsourced supplier of Micron’s photomasks and related services. The supply agreement had a one year term and expired in May 2017. However, we have the unlimited rights to use technology under the prior technology license agreement.</w:t>
      </w:r>
    </w:p>
    <w:p>
      <w:pPr>
        <w:spacing w:after="0" w:line="17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This joint venture was a variable interest entity (“VIE”) (as that term is defined in ASC 810) because all costs of the joint venture were passed on to Photronics and Micron through purchase agreements they had entered into with the joint venture, and it was dependent upon Photronics and Micron for any additional cash requirements. On a quarterly basis we reassessed whether our interest in MP Mask gave us a controlling financial interest in this VIE. The purpose of this quarterly reassessment was to identify the primary beneficiary (which is defined in ASC 810 as the entity that consolidates a VIE) of the VIE. As a result of the reassessments in fiscal year 2016, we determined that Micron remained the primary beneficiary of the VIE, by virtue of its tie-breaking voting rights within MP Mask’s Board of Managers, thereby having given it the power to direct the activities of MP Mask that most significantly impacted its economic performance, including its decision making authority in the ordinary course of business and its purchase of the majority of products produced by the VIE.</w:t>
      </w:r>
    </w:p>
    <w:p>
      <w:pPr>
        <w:spacing w:after="0" w:line="21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utilized MP Mask for both high-end IC photomask production and research and development purposes. MP Mask charged its variable interest holders based on their actual usage of its facility and charged separately for any research and development activities it engaged in at the requests of its owners.</w:t>
      </w:r>
    </w:p>
    <w:p>
      <w:pPr>
        <w:spacing w:after="0" w:line="15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MP Mask was governed by a Board of Managers appointed by Micron and Photronics. Since MP Mask’s inception, Micron, as a result of its majority ownership, had held majority voting power on the Board of Managers. The voting power held by each party was subject to change as ownership interests changed. Under the MP Mask joint venture operating agreement, we may have been required to make additional capital contributions to MP Mask up to the maximum amount defined in the operating agreement. However, had the Board of Managers determined that further additional funding was required, MP Mask would have pursued its own financing. If MP Mask was unable to obtain its own financing, it may have requested additional capital contributions from us. Had we chosen not to make a requested contribution to MP Mask, our ownership percentage may have been reduced. MP Mask did not request, and we did not make, any contributions to MP Mask in fiscal year 2016, and we did not receive any distributions (other than upon the sale of our investment to Micron in fiscal year 2016) from MP Mask during 2016.</w:t>
      </w:r>
    </w:p>
    <w:p>
      <w:pPr>
        <w:spacing w:after="0" w:line="20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recorded losses from operations from our investment in MP Mask of $0.1 million in fiscal years 2016 and 2015. Income (loss) from MP Mask is included in Interest and other income, net, in our consolidated statements of income.</w:t>
      </w:r>
    </w:p>
    <w:p>
      <w:pPr>
        <w:spacing w:after="0" w:line="19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fiscal 2016, we recorded $0.4 million of commission revenue earned under the supply agreements with Micron and MP Mask, and amortization of $0.1 million of the related supply agreement intangible asset. In 2016, we also recorded cost of goods sold in the amount of $5.7 million for photomasks produced by MP Mask for Photronics customers, and incurred expenses of $0.5 million for research and development activities and other goods and services purchased from MP Mask by Photronics.</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fiscal 2015, we recorded $0.8 million of commission revenue earned under the supply agreements with Micron and MP Mask, and amortization of $0.2 million of the related supply agreement intangible asset. In 2015, we also recorded cost of goods sold in the amount of $4.8 million for photomasks produced by MP Mask for Photronics customers, and incurred expenses of $3.1 million for research and development activities and other goods and services purchased from MP Mask by Photronics.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Summarized financial information of MP Mask is presented below. The financial results of 2016 are through May 5, 2016, the date of the sale of the Joint Venture.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Fiscal Year</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49,626</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2,736</w:t>
            </w:r>
          </w:p>
        </w:tc>
        <w:tc>
          <w:tcPr>
            <w:tcW w:w="3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ACCRUED LIABILITIES</w:t>
      </w:r>
    </w:p>
    <w:p>
      <w:pPr>
        <w:spacing w:after="0" w:line="256"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Accrued liabilities at October 29, 2017 included salaries, wages and related benefits of $10.0 million, unearned revenue of $5.7 million, value added and other taxes of $3.1 million, and other accruals of $7.5 million. At October 30, 2016, accrued liabilities included salaries, wages and related benefits of $8.2 million, income taxes of $6.2 million, and other accruals of $9.8 million.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NOTE 6 - LONG-TERM BORROWINGS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320" w:type="dxa"/>
            <w:vAlign w:val="bottom"/>
          </w:tcPr>
          <w:p>
            <w:pPr>
              <w:ind w:left="320"/>
              <w:spacing w:after="0"/>
              <w:rPr>
                <w:sz w:val="20"/>
                <w:szCs w:val="20"/>
                <w:color w:val="auto"/>
              </w:rPr>
            </w:pPr>
            <w:r>
              <w:rPr>
                <w:rFonts w:ascii="Arial" w:cs="Arial" w:eastAsia="Arial" w:hAnsi="Arial"/>
                <w:sz w:val="18"/>
                <w:szCs w:val="18"/>
                <w:color w:val="auto"/>
              </w:rPr>
              <w:t>Long-term borrowings consist of the following:</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October 29,</w:t>
            </w:r>
          </w:p>
        </w:tc>
        <w:tc>
          <w:tcPr>
            <w:tcW w:w="10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57,337</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2016, $57.5 million of our senior convertible notes matured. We repaid $50.1 million to noteholders and issued approximately 0.7 million shares to noteholders that elected to convert their notes to common stock. The notes were exchanged at the rate of approximately 96 shares per $1,000 note principle, equivalent to a conversion rate of $10.37 per share.</w:t>
      </w:r>
    </w:p>
    <w:p>
      <w:pPr>
        <w:spacing w:after="0" w:line="20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January 2015, we privately exchanged $57.5 million in aggregate principal amount of our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we are not required to redeem the notes prior to their maturity date. Interest on the notes accrues in arrears, and is paid semiannually through the notes’ maturity date.</w:t>
      </w:r>
    </w:p>
    <w:p>
      <w:pPr>
        <w:spacing w:after="0" w:line="19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credit facility, which expires in December 2018, has a $50 million limit with an expansion capacity to $75 million, and is secured by substantially all of our assets located in the United States and common stock we own in certain of our foreign subsidiaries. The credit facility stipulates that we may not pay cash dividends on Photronics, Inc. stock, and is subject to a minimum interest coverage ratio, total leverage ratio and minimum unrestricted cash balance financial covenants, all of which we were in compliance with at October 29, 2017. We had no outstanding borrowings against the credit facility at October 29, 2017, and $50 million was available for borrowing. The interest rate on the credit facility (2.49% at October 29, 2017) is based on our total leverage ratio at LIBOR plus a spread, as defined in the credit facility. In May 2017, the credit facility was amended to add certain covenants for our planned IC joint venture and FPD manufacturing facility, both of which are in China. See Note 19 for additional discussion of these new investments.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August 2013, a $26.4 million principal amount, five year capital lease commenced to fund the purchase of a high-end lithography tool. Payments under the capital lease, which bears interest at 2.77%, are $0.5 million per month through July 2018. The lease is subject to a cross default with cross acceleration provision related to certain nonfinancial covenants incorporated into our credit facility. As of October 29, 2017, the total amount payable through August 2018 (the end of the lease term) was $4.7 million, of which $4.6 million represented principal and $0.1 million represented interest.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payments were $2.1 million, $3.2 million, and $4.4 million in fiscal years 2017, 2016 and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256"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We adopted Accounting Standards Update (“ASU”) 2015-03 – “Simplifying the Presentation of Debt Issuance Costs” in the first quarter of fiscal year 2017. This ASU requires debt issuance costs related to recognized debt liabilities to be presented in the balance sheet as a direct deduction from that debt liability, consistent with the presentation of a debt discount. We adopted this ASU on a retrospective basis, as a result of which our prior year financial statements and related notes have been adjusted, as necessary, to show its effects on those periods. The effect of adopting ASU 2015-03 on the other assets and long-term borrowing line items in the fiscal 2016 balance sheet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Previously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Change Due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Retrospectively</w:t>
            </w:r>
          </w:p>
        </w:tc>
        <w:tc>
          <w:tcPr>
            <w:tcW w:w="0" w:type="dxa"/>
            <w:vAlign w:val="bottom"/>
          </w:tcPr>
          <w:p>
            <w:pPr>
              <w:spacing w:after="0"/>
              <w:rPr>
                <w:sz w:val="1"/>
                <w:szCs w:val="1"/>
                <w:color w:val="auto"/>
              </w:rPr>
            </w:pPr>
          </w:p>
        </w:tc>
      </w:tr>
      <w:tr>
        <w:trPr>
          <w:trHeight w:val="241"/>
        </w:trPr>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Reported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8"/>
              </w:rPr>
              <w:t>to Adoption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Adjusted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62,139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61,860</w:t>
            </w:r>
          </w:p>
        </w:tc>
        <w:tc>
          <w:tcPr>
            <w:tcW w:w="0" w:type="dxa"/>
            <w:vAlign w:val="bottom"/>
          </w:tcPr>
          <w:p>
            <w:pPr>
              <w:spacing w:after="0"/>
              <w:rPr>
                <w:sz w:val="1"/>
                <w:szCs w:val="1"/>
                <w:color w:val="auto"/>
              </w:rPr>
            </w:pPr>
          </w:p>
        </w:tc>
      </w:tr>
      <w:tr>
        <w:trPr>
          <w:trHeight w:val="445"/>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NOTE 7 - OPERATING LEASES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lease various real estate and equipment under non-cancelable operating leases, for which rent expense was $3.0 million in 2017 and $2.8 million in each of fiscal years 2016 and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 October 29, 2017, future minimum lease payments under non-cancelable operating leases with initial terms in excess of one year were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1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4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684</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2021</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w:t>
            </w:r>
          </w:p>
        </w:tc>
      </w:tr>
      <w:tr>
        <w:trPr>
          <w:trHeight w:val="223"/>
        </w:trPr>
        <w:tc>
          <w:tcPr>
            <w:tcW w:w="1440" w:type="dxa"/>
            <w:vAlign w:val="bottom"/>
          </w:tcPr>
          <w:p>
            <w:pPr>
              <w:spacing w:after="0"/>
              <w:rPr>
                <w:sz w:val="20"/>
                <w:szCs w:val="20"/>
                <w:color w:val="auto"/>
              </w:rPr>
            </w:pPr>
            <w:r>
              <w:rPr>
                <w:rFonts w:ascii="Arial" w:cs="Arial" w:eastAsia="Arial" w:hAnsi="Arial"/>
                <w:sz w:val="18"/>
                <w:szCs w:val="18"/>
                <w:color w:val="auto"/>
              </w:rPr>
              <w:t>Thereafter</w:t>
            </w:r>
          </w:p>
        </w:tc>
        <w:tc>
          <w:tcPr>
            <w:tcW w:w="6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r>
      <w:tr>
        <w:trPr>
          <w:trHeight w:val="257"/>
        </w:trPr>
        <w:tc>
          <w:tcPr>
            <w:tcW w:w="14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disclosures related to capital lease obligations.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25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open-market or in private transactions), shares that are being held in the treasury,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We incurred total share-based compensation expenses of $3.6 million, $3.8 million, and $3.7 million in fiscal years 2017, 2016, and 2015, respectively. No share-based compensation cost was capitalized as part of an asset and no related income tax benefits were recorded during the fiscal years presented.</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Option awards generally vest in one-to-four years, and have a ten year contractual term. All incentive and non-qualified stock option grants must have an exercise price no less than the market value of the underlying common stock on the date of grant. The grant date fair values of options are based on the closing price of our common stock on the date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22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values of stock options issued during fiscal years 2017, 2016 and 2015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Year Ended</w:t>
            </w:r>
          </w:p>
        </w:tc>
        <w:tc>
          <w:tcPr>
            <w:tcW w:w="1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8"/>
              </w:rPr>
              <w:t>October 29,</w:t>
            </w:r>
          </w:p>
        </w:tc>
        <w:tc>
          <w:tcPr>
            <w:tcW w:w="138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8"/>
              </w:rPr>
              <w:t>October 30,</w:t>
            </w:r>
          </w:p>
        </w:tc>
        <w:tc>
          <w:tcPr>
            <w:tcW w:w="12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November 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return</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 – 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 – 1.7%</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 – 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 years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 years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presents a summary of stock options activity during fiscal year 2017 and information on stock options outstanding at October 29,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Contractual Life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Intrinsic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2016</w:t>
            </w:r>
          </w:p>
        </w:tc>
        <w:tc>
          <w:tcPr>
            <w:tcW w:w="1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3,535,335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344,750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(401,750)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Cancelled and forfeited</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(133,100)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29, 2017</w:t>
            </w:r>
          </w:p>
        </w:tc>
        <w:tc>
          <w:tcPr>
            <w:tcW w:w="120" w:type="dxa"/>
            <w:vAlign w:val="bottom"/>
            <w:shd w:val="clear" w:color="auto" w:fill="CCEEFF"/>
          </w:tcPr>
          <w:p>
            <w:pPr>
              <w:spacing w:after="0"/>
              <w:rPr>
                <w:sz w:val="20"/>
                <w:szCs w:val="20"/>
                <w:color w:val="auto"/>
              </w:rPr>
            </w:pPr>
          </w:p>
        </w:tc>
        <w:tc>
          <w:tcPr>
            <w:tcW w:w="15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3,345,235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6"/>
              </w:rPr>
              <w:t>5.8 years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Exercisable at October 29, 2017</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2,142,094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1380" w:type="dxa"/>
            <w:vAlign w:val="bottom"/>
          </w:tcPr>
          <w:p>
            <w:pPr>
              <w:ind w:left="720"/>
              <w:spacing w:after="0"/>
              <w:rPr>
                <w:sz w:val="20"/>
                <w:szCs w:val="20"/>
                <w:color w:val="auto"/>
              </w:rPr>
            </w:pPr>
            <w:r>
              <w:rPr>
                <w:rFonts w:ascii="Arial" w:cs="Arial" w:eastAsia="Arial" w:hAnsi="Arial"/>
                <w:sz w:val="18"/>
                <w:szCs w:val="18"/>
                <w:color w:val="auto"/>
                <w:w w:val="86"/>
              </w:rPr>
              <w:t>4.6 years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as of October 29, 2017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3,180,991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6"/>
              </w:rPr>
              <w:t>5.7 years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40" w:type="dxa"/>
            <w:vAlign w:val="bottom"/>
            <w:gridSpan w:val="2"/>
          </w:tcPr>
          <w:p>
            <w:pPr>
              <w:jc w:val="right"/>
              <w:ind w:right="690"/>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weighted-average grant date fair value of options granted during fiscal years 2017, 2016 and 2015 were $3.59, $4.51and $3.81, respectively. The total intrinsic value of options exercised during fiscal years 2017, 2016 and 2015 was $1.9 million, $3.5 million and $2.0 million, respectively.</w:t>
      </w:r>
    </w:p>
    <w:p>
      <w:pPr>
        <w:spacing w:after="0" w:line="15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received cash from option exercises of $2.4 million, $3.1 million and $2.2 million in fiscal years 2017, 2016 and 2015, respectively. As of October 29, 2017, the total unrecognized compensation cost of unvested option awards was approximately $2.8 million. That cost is expected to be recognized over a weighted-average amortization period of 2.0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We periodically grant restricted stock awards, the restrictions on which typically lapse over a service period of one-to-four years. The fair value of the awards are determined and fixed on the grant date based on our stock price. The weighted-average grant date fair values of restricted stock awards issued during fiscal years 2017, 2016 and 2015 were $10.94, $12.13 and $8.28, respectively. The total fair value of awards for which restrictions lapsed was $1.2 million, $1.7 million and $1.4 million during fiscal years 2017, 2016 and 2015, respectively. As of October 29, 2017, the total compensation cost for restricted stock awards not yet recognized was approximately $2.6 million. That cost is expected to be recognized over a weighted-average amortization period of 2.9 years.</w:t>
      </w:r>
    </w:p>
    <w:p>
      <w:pPr>
        <w:spacing w:after="0" w:line="19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 summary of restricted stock award activity during fiscal year 2017 and the status of our outstanding restricted stock awards as of October 29, 2017, is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Fair Value at</w:t>
            </w:r>
          </w:p>
        </w:tc>
        <w:tc>
          <w:tcPr>
            <w:tcW w:w="0" w:type="dxa"/>
            <w:vAlign w:val="bottom"/>
          </w:tcPr>
          <w:p>
            <w:pPr>
              <w:spacing w:after="0"/>
              <w:rPr>
                <w:sz w:val="1"/>
                <w:szCs w:val="1"/>
                <w:color w:val="auto"/>
              </w:rPr>
            </w:pPr>
          </w:p>
        </w:tc>
      </w:tr>
      <w:tr>
        <w:trPr>
          <w:trHeight w:val="241"/>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October 31, 2016</w:t>
            </w: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162,375</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317,750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(126,869)</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(14,075)</w:t>
            </w:r>
          </w:p>
        </w:tc>
        <w:tc>
          <w:tcPr>
            <w:tcW w:w="8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29, 2017</w:t>
            </w:r>
          </w:p>
        </w:tc>
        <w:tc>
          <w:tcPr>
            <w:tcW w:w="100" w:type="dxa"/>
            <w:vAlign w:val="bottom"/>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339,181</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Vested and expected to vest as of October 29, 2017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302,898</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5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Employee Stock Purchase Plan (“ESPP”) permits employees to purchase Photronics, Inc. common shares at 85% of the lower of the closing market price at the commencement or ending date of the Plan year (which is approximately one year). We recognize the ESPP expense during that same period. As of October 29, 2017, the maximum number of shares of common stock approved by our shareholders to be purchased under the ESPP was 1.5 million shares; approximately 1.4 million shares had been issued through October 29, 2017, and approximately 54,000 shares are subject to outstanding subscriptions. As of October 29, 2017, the total compensation cost related to the ESPP not yet recognized was $0.1 million, which is expected to be recognized in fiscal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EMPLOYEE RETIREMENT PLANS</w:t>
      </w:r>
    </w:p>
    <w:p>
      <w:pPr>
        <w:spacing w:after="0" w:line="256"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maintain a 401(k) Savings and Profit Sharing Plan (“401(k) Plan”) which covers all full and certain part time U.S. employees who have completed three months of service and are 18 years of age or older. Under the terms of the 401(k) Plan, employees may contribute up to 50% of their salary, subject to certain maximum amounts, which will be matched by the Company at 50% of the employee’s contributions that are not in excess of 4% of the employee’s compensation. Employee and employer contributions vest immediately upon contribution. The total employer contributions for all of our defined contribution plans were $0.6 million, $0.6 million and $0.7 million in fiscal years 2017, 2016, and 2015, respectively.</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INCOME TAXES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before the income tax provisions consists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8"/>
              </w:rPr>
              <w:t>Year Ended</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1"/>
              </w:rPr>
              <w:t>October 29</w:t>
            </w:r>
          </w:p>
        </w:tc>
        <w:tc>
          <w:tcPr>
            <w:tcW w:w="100" w:type="dxa"/>
            <w:vAlign w:val="bottom"/>
          </w:tcPr>
          <w:p>
            <w:pPr>
              <w:spacing w:after="0"/>
              <w:rPr>
                <w:sz w:val="17"/>
                <w:szCs w:val="17"/>
                <w:color w:val="auto"/>
              </w:rPr>
            </w:pPr>
          </w:p>
        </w:tc>
        <w:tc>
          <w:tcPr>
            <w:tcW w:w="11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November 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54,204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63,394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26,565</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60,474</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The income tax provisions consist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8"/>
              </w:rPr>
              <w:t>Year Ended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October 29,</w:t>
            </w:r>
          </w:p>
        </w:tc>
        <w:tc>
          <w:tcPr>
            <w:tcW w:w="100" w:type="dxa"/>
            <w:vAlign w:val="bottom"/>
          </w:tcPr>
          <w:p>
            <w:pPr>
              <w:spacing w:after="0"/>
              <w:rPr>
                <w:sz w:val="17"/>
                <w:szCs w:val="17"/>
                <w:color w:val="auto"/>
              </w:rPr>
            </w:pPr>
          </w:p>
        </w:tc>
        <w:tc>
          <w:tcPr>
            <w:tcW w:w="11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November 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income tax provisions differ from the amount computed by applying the statutory U.S. federal income tax rate to income before income taxes as a result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0"/>
              </w:rPr>
              <w:t>October 29,</w:t>
            </w:r>
          </w:p>
        </w:tc>
        <w:tc>
          <w:tcPr>
            <w:tcW w:w="100" w:type="dxa"/>
            <w:vAlign w:val="bottom"/>
          </w:tcPr>
          <w:p>
            <w:pPr>
              <w:spacing w:after="0"/>
              <w:rPr>
                <w:sz w:val="17"/>
                <w:szCs w:val="17"/>
                <w:color w:val="auto"/>
              </w:rPr>
            </w:pPr>
          </w:p>
        </w:tc>
        <w:tc>
          <w:tcPr>
            <w:tcW w:w="11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30,</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1,</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at statutory rate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21,166</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(9,516)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(11,471)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foreign subsidiaries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Foreign tax rate differentials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(5,230)</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(9,620)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4"/>
              </w:rPr>
              <w:t>Uncertain tax positions, including reserves, settlements and resolutions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tax holiday</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Employee stock compensation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Tax on foreign subsidiary earnings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20" w:type="dxa"/>
            <w:vAlign w:val="bottom"/>
          </w:tcPr>
          <w:p>
            <w:pPr>
              <w:jc w:val="right"/>
              <w:ind w:right="439"/>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effective tax rates differ from the U.S. statutory rate of 35% in fiscal years 2017, 2016 and 2015 primarily due to earnings being taxed at lower statutory rates in foreign jurisdictions, changes in deferred tax asset valuation allowances, including the reversals noted below, together with the benefit of various investment credits in a foreign jurisdiction. In addition, the lower rate in fiscal year 2016 was partially driven by a benefit that resulted from the reversal of a previously recorded undistributed earnings tax liability in a foreign jurisdiction for which we are no longer liable. Two five-year tax holidays in Taiwan, one that expired in 2017 and the other that expires in 2019, reduced foreign taxes by $0.7 million, $0.5 million and $0.2 million in fiscal years 2017, 2016 and 2015, respectively. These tax holidays had no per share effect on our financial results of fiscal years 2017, 2016 and 2015.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The net deferred income tax assets consist of the following:</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4"/>
              </w:rPr>
              <w:t>As of</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October 29,</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October 30,</w:t>
            </w:r>
          </w:p>
        </w:tc>
      </w:tr>
      <w:tr>
        <w:trPr>
          <w:trHeight w:val="241"/>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Deferred income tax assets</w:t>
            </w: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46,158</w:t>
            </w: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Reserves not currently deductible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5,904</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Alternative minimum tax credits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3,772</w:t>
            </w: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Tax credit carryforwards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8,814</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1,972</w:t>
            </w:r>
          </w:p>
        </w:tc>
      </w:tr>
      <w:tr>
        <w:trPr>
          <w:trHeight w:val="223"/>
        </w:trPr>
        <w:tc>
          <w:tcPr>
            <w:tcW w:w="20" w:type="dxa"/>
            <w:vAlign w:val="bottom"/>
          </w:tcPr>
          <w:p>
            <w:pPr>
              <w:spacing w:after="0"/>
              <w:rPr>
                <w:sz w:val="19"/>
                <w:szCs w:val="19"/>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1,719</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62,959</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68,339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Valuation allowances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(25,590)</w:t>
            </w: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(29,315)</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37,369</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Deferred income tax liabilities: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Undistributed earnings of foreign subsidiaries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(4,335)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(3,962)</w:t>
            </w: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(19,280)</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(19,977)</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r>
      <w:tr>
        <w:trPr>
          <w:trHeight w:val="27"/>
        </w:trPr>
        <w:tc>
          <w:tcPr>
            <w:tcW w:w="20" w:type="dxa"/>
            <w:vAlign w:val="bottom"/>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(23,937)</w:t>
            </w: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(24,193)</w:t>
            </w:r>
          </w:p>
        </w:tc>
      </w:tr>
      <w:tr>
        <w:trPr>
          <w:trHeight w:val="257"/>
        </w:trPr>
        <w:tc>
          <w:tcPr>
            <w:tcW w:w="20" w:type="dxa"/>
            <w:vAlign w:val="bottom"/>
          </w:tcPr>
          <w:p>
            <w:pPr>
              <w:spacing w:after="0"/>
              <w:rPr>
                <w:sz w:val="22"/>
                <w:szCs w:val="22"/>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income tax assets</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13,432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14,831</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b w:val="1"/>
                <w:bCs w:val="1"/>
                <w:color w:val="auto"/>
              </w:rPr>
              <w:t>Reported as: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assets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16,322</w:t>
            </w:r>
          </w:p>
        </w:tc>
      </w:tr>
      <w:tr>
        <w:trPr>
          <w:trHeight w:val="223"/>
        </w:trPr>
        <w:tc>
          <w:tcPr>
            <w:tcW w:w="20" w:type="dxa"/>
            <w:vAlign w:val="bottom"/>
          </w:tcPr>
          <w:p>
            <w:pPr>
              <w:spacing w:after="0"/>
              <w:rPr>
                <w:sz w:val="19"/>
                <w:szCs w:val="19"/>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Deferred income tax liabilities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(1,491)</w:t>
            </w:r>
          </w:p>
        </w:tc>
      </w:tr>
      <w:tr>
        <w:trPr>
          <w:trHeight w:val="257"/>
        </w:trPr>
        <w:tc>
          <w:tcPr>
            <w:tcW w:w="20" w:type="dxa"/>
            <w:vAlign w:val="bottom"/>
          </w:tcPr>
          <w:p>
            <w:pPr>
              <w:spacing w:after="0"/>
              <w:rPr>
                <w:sz w:val="22"/>
                <w:szCs w:val="22"/>
                <w:color w:val="auto"/>
              </w:rPr>
            </w:pPr>
          </w:p>
        </w:tc>
        <w:tc>
          <w:tcPr>
            <w:tcW w:w="55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13,432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14,831</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have established a valuation allowance for a portion of our deferred tax assets because we believe, based on the weight of all available evidence, that it is more likely than not that a portion of our net operating loss carryforwards will expire prior to utilization. During fiscal years 2016 and 2015, we determined that sufficient positive evidence existed in certain foreign jurisdictions that it was more likely than not that additional deferred tax assets were realizable and, therefore, we reduced the valuation allowance by $4.3 million and $1.5 million, respectively. In addition, the valuation allowance decreased in fiscal years 2017, 2016 and 2015 as a result of loss utilizations and deferred tax liability changes of $3.7 million, $5.2 million and $9.3 million, respectively.</w:t>
      </w:r>
    </w:p>
    <w:p>
      <w:pPr>
        <w:spacing w:after="0" w:line="15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October 29, 2017, we have not provided deferred taxes on $170.6 million of undistributed earnings of non-U.S. subsidiaries, as it is our policy to indefinitely reinvest these earnings in non-U.S. operations. During fiscal year 2017, the permanently invested assertion was partially changed due to changes in circumstances within one of our non-U.S. subsidiary entities, and a U.S. tax liability was recognized for the related undistributed earnings. Should we elect in the future to repatriate the remaining foreign earnings deemed to be indefinitely reinvested, we may incur additional income tax expense on those foreign earnings, the amount of which is not practicable to compute.</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our available operating loss and credit carryforwards at October 29, 2017, and their related expiration periods: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41"/>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Operating Loss Carryforwards</w:t>
            </w:r>
          </w:p>
        </w:tc>
        <w:tc>
          <w:tcPr>
            <w:tcW w:w="1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Periods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86,358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2025-2033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214,532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2018-2037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15,414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2019-2023</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41"/>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Tax Credit Carryforwards</w:t>
            </w:r>
          </w:p>
        </w:tc>
        <w:tc>
          <w:tcPr>
            <w:tcW w:w="1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Period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Federal research and development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5,580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2019-2037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Federal alternative minimum</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5,829</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2018-2031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amounts of unrecognized tax benefits, excluding interest and penalties,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8"/>
              </w:rPr>
              <w:t>Year Ended</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0"/>
              </w:rPr>
              <w:t>October 29,</w:t>
            </w:r>
          </w:p>
        </w:tc>
        <w:tc>
          <w:tcPr>
            <w:tcW w:w="100" w:type="dxa"/>
            <w:vAlign w:val="bottom"/>
          </w:tcPr>
          <w:p>
            <w:pPr>
              <w:spacing w:after="0"/>
              <w:rPr>
                <w:sz w:val="17"/>
                <w:szCs w:val="17"/>
                <w:color w:val="auto"/>
              </w:rPr>
            </w:pPr>
          </w:p>
        </w:tc>
        <w:tc>
          <w:tcPr>
            <w:tcW w:w="124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17"/>
                <w:szCs w:val="17"/>
                <w:color w:val="auto"/>
              </w:rPr>
            </w:pPr>
          </w:p>
        </w:tc>
        <w:tc>
          <w:tcPr>
            <w:tcW w:w="11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November 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Additions (reductions) for tax positions in prior years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current year tax positions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Lapses of statutes of limitations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3,384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4,606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of October 29, 2017, October 30, 2016 and November 1, 2015, the balance of unrecognized tax benefits includes $3.4 million, $4.6 million and $4.1 million recorded in other liabilities in the consolidated balance sheets that, if recognized, would impact the effective tax rate. Included in these amounts in each of fiscal years 2017, 2016 and 2015 were $0.1 million of interest and penalties. We include any applicable interest and penalties related to uncertain tax positions in our income tax provision. The amounts reflected in the table above for the fiscal years 2017, 2016 and 2015 include settlements of non-U.S. audits.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Although the timing of the expirations of statutes of limitations may be uncertain, as they can be dependent upon the settlement of tax audits, the Company believes that it is reasonably possible that up to $1.4 million of its uncertain tax positions (including accrued interest and penalties, and net of tax benefits) may be resolved over the next twelve months. Resolution of these uncertain tax positions may result from either or both of the lapses of statutes of limitations and tax settlements. The Company is no longer subject to tax authority examinations in the U.S., major foreign, or state tax jurisdictions for years prior to fiscal year 2013.</w:t>
      </w:r>
    </w:p>
    <w:p>
      <w:pPr>
        <w:spacing w:after="0" w:line="188"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Income tax payments were $9.3 million, $11.4 million and $4.9 million in fiscal years 2017, 2016 and 2015, respectively. Cash received as refunds of income taxes paid in prior years amounted to $0.1 million, $0.2 million and $0.1 million in fiscal years 2017, 2016 and 2015, respectively.</w:t>
      </w: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Currently, Congress is considering various U.S. corporate tax reform bills, which if enacted could have a material impact on various components of the income taxes including but not limited to, valuation allowances, deferred tax assets and liabilities. If the proposed bills are signed into law we expect a reduction in the recorded deferred tax liability related to foreign earnings and an offsetting reduction in deferred tax assets related to U.S. net operating losses. At this time it is not practical to calculate the potential dollar amount of these potential income tax law changes. The Company will continue to evaluate the potential implications as more information becomes available and the changes are enacted.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NOTE 11 - EARNINGS PER SHARE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w w:val="91"/>
              </w:rPr>
              <w:t>The calculation of basic and diluted earnings per share is presented as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October 29,</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November 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on convertible notes, net of related tax effects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Earnings for diluted earnings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49,138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Weighted-average common shares used for basic earnings per share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68,436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67,539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Share-based payment awards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Convertible notes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shares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76,354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360" w:type="dxa"/>
            <w:vAlign w:val="bottom"/>
            <w:gridSpan w:val="2"/>
          </w:tcPr>
          <w:p>
            <w:pPr>
              <w:ind w:left="120"/>
              <w:spacing w:after="0" w:line="198" w:lineRule="exact"/>
              <w:rPr>
                <w:sz w:val="20"/>
                <w:szCs w:val="20"/>
                <w:color w:val="auto"/>
              </w:rPr>
            </w:pPr>
            <w:r>
              <w:rPr>
                <w:rFonts w:ascii="Arial" w:cs="Arial" w:eastAsia="Arial" w:hAnsi="Arial"/>
                <w:sz w:val="18"/>
                <w:szCs w:val="18"/>
                <w:b w:val="1"/>
                <w:bCs w:val="1"/>
                <w:color w:val="auto"/>
              </w:rPr>
              <w:t>October 29,</w:t>
            </w:r>
          </w:p>
        </w:tc>
        <w:tc>
          <w:tcPr>
            <w:tcW w:w="13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November 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Share based payment awards</w:t>
            </w:r>
          </w:p>
        </w:tc>
        <w:tc>
          <w:tcPr>
            <w:tcW w:w="1140" w:type="dxa"/>
            <w:vAlign w:val="bottom"/>
          </w:tcPr>
          <w:p>
            <w:pPr>
              <w:jc w:val="right"/>
              <w:spacing w:after="0"/>
              <w:rPr>
                <w:sz w:val="20"/>
                <w:szCs w:val="20"/>
                <w:color w:val="auto"/>
              </w:rPr>
            </w:pPr>
            <w:r>
              <w:rPr>
                <w:rFonts w:ascii="Arial" w:cs="Arial" w:eastAsia="Arial" w:hAnsi="Arial"/>
                <w:sz w:val="18"/>
                <w:szCs w:val="18"/>
                <w:color w:val="auto"/>
              </w:rPr>
              <w:t>1,308</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1,635</w:t>
            </w:r>
          </w:p>
        </w:tc>
        <w:tc>
          <w:tcPr>
            <w:tcW w:w="2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1140" w:type="dxa"/>
            <w:vAlign w:val="bottom"/>
          </w:tcPr>
          <w:p>
            <w:pPr>
              <w:jc w:val="right"/>
              <w:spacing w:after="0"/>
              <w:rPr>
                <w:sz w:val="20"/>
                <w:szCs w:val="20"/>
                <w:color w:val="auto"/>
              </w:rPr>
            </w:pPr>
            <w:r>
              <w:rPr>
                <w:rFonts w:ascii="Arial" w:cs="Arial" w:eastAsia="Arial" w:hAnsi="Arial"/>
                <w:sz w:val="18"/>
                <w:szCs w:val="18"/>
                <w:color w:val="auto"/>
              </w:rPr>
              <w:t>6,850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1,635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5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At October 29, 2017, we had outstanding purchase commitments of $168 million, which included $162 million related to capital expenditures, and had recorded liabilities for the purchase of equipment of $3 million. See Notes 7 and 19, respectively, for information on our operating lease commitments and our plans to construct two facilities in China.</w:t>
      </w:r>
    </w:p>
    <w:p>
      <w:pPr>
        <w:spacing w:after="0" w:line="20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are subject to various claims that arise in the ordinary course of business. We believe such claims, individually and in the aggregate, will not have a material effect on our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GEOGRAPHIC AND SIGNIFICANT CUSTOMER INFORMATION</w:t>
      </w:r>
    </w:p>
    <w:p>
      <w:pPr>
        <w:spacing w:after="0" w:line="25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operate as a single operating segment as a manufacturer of photomasks, which are high precision quartz plates containing microscopic images of electronic circuits for use in the fabrication of IC’s and FPDs. Geographic revenues (shown below) are based primarily on where our manufacturing facility is located.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2017, 2016 and 2015 revenue by geographic area and by IC and FPD products, and long-lived assets by geographic area were as follows:</w:t>
      </w:r>
    </w:p>
    <w:p>
      <w:pPr>
        <w:spacing w:after="0" w:line="260"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1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Year Ended</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2"/>
              </w:rPr>
              <w:t>October 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October 30,</w:t>
            </w:r>
          </w:p>
        </w:tc>
        <w:tc>
          <w:tcPr>
            <w:tcW w:w="140" w:type="dxa"/>
            <w:vAlign w:val="bottom"/>
          </w:tcPr>
          <w:p>
            <w:pPr>
              <w:spacing w:after="0"/>
              <w:rPr>
                <w:sz w:val="17"/>
                <w:szCs w:val="17"/>
                <w:color w:val="auto"/>
              </w:rPr>
            </w:pPr>
          </w:p>
        </w:tc>
        <w:tc>
          <w:tcPr>
            <w:tcW w:w="124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w w:val="94"/>
              </w:rPr>
              <w:t>November 1,</w:t>
            </w:r>
          </w:p>
        </w:tc>
        <w:tc>
          <w:tcPr>
            <w:tcW w:w="100" w:type="dxa"/>
            <w:vAlign w:val="bottom"/>
          </w:tcPr>
          <w:p>
            <w:pPr>
              <w:spacing w:after="0"/>
              <w:rPr>
                <w:sz w:val="17"/>
                <w:szCs w:val="17"/>
                <w:color w:val="auto"/>
              </w:rPr>
            </w:pPr>
          </w:p>
        </w:tc>
      </w:tr>
      <w:tr>
        <w:trPr>
          <w:trHeight w:val="241"/>
        </w:trPr>
        <w:tc>
          <w:tcPr>
            <w:tcW w:w="1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187,818</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193,216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205,141</w:t>
            </w:r>
          </w:p>
        </w:tc>
      </w:tr>
      <w:tr>
        <w:trPr>
          <w:trHeight w:val="216"/>
        </w:trPr>
        <w:tc>
          <w:tcPr>
            <w:tcW w:w="1380" w:type="dxa"/>
            <w:vAlign w:val="bottom"/>
          </w:tcPr>
          <w:p>
            <w:pPr>
              <w:ind w:left="160"/>
              <w:spacing w:after="0"/>
              <w:rPr>
                <w:sz w:val="20"/>
                <w:szCs w:val="20"/>
                <w:color w:val="auto"/>
              </w:rPr>
            </w:pPr>
            <w:r>
              <w:rPr>
                <w:rFonts w:ascii="Arial" w:cs="Arial" w:eastAsia="Arial" w:hAnsi="Arial"/>
                <w:sz w:val="18"/>
                <w:szCs w:val="18"/>
                <w:color w:val="auto"/>
              </w:rPr>
              <w:t>Korea</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122,165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141,017</w:t>
            </w: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147,921</w:t>
            </w:r>
          </w:p>
        </w:tc>
      </w:tr>
      <w:tr>
        <w:trPr>
          <w:trHeight w:val="216"/>
        </w:trPr>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113,670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132,792</w:t>
            </w:r>
          </w:p>
        </w:tc>
      </w:tr>
      <w:tr>
        <w:trPr>
          <w:trHeight w:val="216"/>
        </w:trPr>
        <w:tc>
          <w:tcPr>
            <w:tcW w:w="1380" w:type="dxa"/>
            <w:vAlign w:val="bottom"/>
          </w:tcPr>
          <w:p>
            <w:pPr>
              <w:ind w:left="160"/>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36,081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33,384</w:t>
            </w: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35,792</w:t>
            </w:r>
          </w:p>
        </w:tc>
      </w:tr>
      <w:tr>
        <w:trPr>
          <w:trHeight w:val="223"/>
        </w:trPr>
        <w:tc>
          <w:tcPr>
            <w:tcW w:w="1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 Asia</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483,456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524,206</w:t>
            </w:r>
          </w:p>
        </w:tc>
        <w:tc>
          <w:tcPr>
            <w:tcW w:w="100" w:type="dxa"/>
            <w:vAlign w:val="bottom"/>
          </w:tcPr>
          <w:p>
            <w:pPr>
              <w:spacing w:after="0"/>
              <w:rPr>
                <w:sz w:val="18"/>
                <w:szCs w:val="18"/>
                <w:color w:val="auto"/>
              </w:rPr>
            </w:pPr>
          </w:p>
        </w:tc>
      </w:tr>
      <w:tr>
        <w:trPr>
          <w:trHeight w:val="21"/>
        </w:trPr>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r>
      <w:tr>
        <w:trPr>
          <w:trHeight w:val="216"/>
        </w:trPr>
        <w:tc>
          <w:tcPr>
            <w:tcW w:w="1380" w:type="dxa"/>
            <w:vAlign w:val="bottom"/>
          </w:tcPr>
          <w:p>
            <w:pPr>
              <w:ind w:left="160"/>
              <w:spacing w:after="0"/>
              <w:rPr>
                <w:sz w:val="20"/>
                <w:szCs w:val="20"/>
                <w:color w:val="auto"/>
              </w:rPr>
            </w:pPr>
            <w:r>
              <w:rPr>
                <w:rFonts w:ascii="Arial" w:cs="Arial" w:eastAsia="Arial" w:hAnsi="Arial"/>
                <w:sz w:val="18"/>
                <w:szCs w:val="18"/>
                <w:color w:val="auto"/>
              </w:rPr>
              <w:t>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350,260</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364,531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420,833</w:t>
            </w:r>
          </w:p>
        </w:tc>
      </w:tr>
      <w:tr>
        <w:trPr>
          <w:trHeight w:val="223"/>
        </w:trPr>
        <w:tc>
          <w:tcPr>
            <w:tcW w:w="1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FPD</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100,418</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118,925</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103,373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450,678</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483,456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524,206</w:t>
            </w:r>
          </w:p>
        </w:tc>
      </w:tr>
      <w:tr>
        <w:trPr>
          <w:trHeight w:val="21"/>
        </w:trPr>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1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2"/>
              </w:rPr>
              <w:t>October 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October 30,</w:t>
            </w:r>
          </w:p>
        </w:tc>
        <w:tc>
          <w:tcPr>
            <w:tcW w:w="140" w:type="dxa"/>
            <w:vAlign w:val="bottom"/>
          </w:tcPr>
          <w:p>
            <w:pPr>
              <w:spacing w:after="0"/>
              <w:rPr>
                <w:sz w:val="17"/>
                <w:szCs w:val="17"/>
                <w:color w:val="auto"/>
              </w:rPr>
            </w:pPr>
          </w:p>
        </w:tc>
        <w:tc>
          <w:tcPr>
            <w:tcW w:w="124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w w:val="94"/>
              </w:rPr>
              <w:t>November 1,</w:t>
            </w:r>
          </w:p>
        </w:tc>
        <w:tc>
          <w:tcPr>
            <w:tcW w:w="100" w:type="dxa"/>
            <w:vAlign w:val="bottom"/>
          </w:tcPr>
          <w:p>
            <w:pPr>
              <w:spacing w:after="0"/>
              <w:rPr>
                <w:sz w:val="17"/>
                <w:szCs w:val="17"/>
                <w:color w:val="auto"/>
              </w:rPr>
            </w:pPr>
          </w:p>
        </w:tc>
      </w:tr>
      <w:tr>
        <w:trPr>
          <w:trHeight w:val="241"/>
        </w:trPr>
        <w:tc>
          <w:tcPr>
            <w:tcW w:w="1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198"/>
        </w:trPr>
        <w:tc>
          <w:tcPr>
            <w:tcW w:w="1380" w:type="dxa"/>
            <w:vAlign w:val="bottom"/>
          </w:tcPr>
          <w:p>
            <w:pPr>
              <w:spacing w:after="0" w:line="198" w:lineRule="exact"/>
              <w:rPr>
                <w:sz w:val="20"/>
                <w:szCs w:val="20"/>
                <w:color w:val="auto"/>
              </w:rPr>
            </w:pPr>
            <w:r>
              <w:rPr>
                <w:rFonts w:ascii="Arial" w:cs="Arial" w:eastAsia="Arial" w:hAnsi="Arial"/>
                <w:sz w:val="18"/>
                <w:szCs w:val="18"/>
                <w:b w:val="1"/>
                <w:bCs w:val="1"/>
                <w:color w:val="auto"/>
              </w:rPr>
              <w:t>Long-lived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80" w:type="dxa"/>
            <w:vAlign w:val="bottom"/>
          </w:tcPr>
          <w:p>
            <w:pPr>
              <w:ind w:left="1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186,192</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176,644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185,087</w:t>
            </w:r>
          </w:p>
        </w:tc>
      </w:tr>
      <w:tr>
        <w:trPr>
          <w:trHeight w:val="216"/>
        </w:trPr>
        <w:tc>
          <w:tcPr>
            <w:tcW w:w="138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180,095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173,658</w:t>
            </w: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184,282</w:t>
            </w:r>
          </w:p>
        </w:tc>
      </w:tr>
      <w:tr>
        <w:trPr>
          <w:trHeight w:val="216"/>
        </w:trPr>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Korea</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146,515</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167,618</w:t>
            </w:r>
          </w:p>
        </w:tc>
      </w:tr>
      <w:tr>
        <w:trPr>
          <w:trHeight w:val="216"/>
        </w:trPr>
        <w:tc>
          <w:tcPr>
            <w:tcW w:w="1380" w:type="dxa"/>
            <w:vAlign w:val="bottom"/>
          </w:tcPr>
          <w:p>
            <w:pPr>
              <w:ind w:left="160"/>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13,372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9,617</w:t>
            </w: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10,287</w:t>
            </w:r>
          </w:p>
        </w:tc>
      </w:tr>
      <w:tr>
        <w:trPr>
          <w:trHeight w:val="223"/>
        </w:trPr>
        <w:tc>
          <w:tcPr>
            <w:tcW w:w="1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 Asia</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535,197</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506,434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547,284</w:t>
            </w:r>
          </w:p>
        </w:tc>
      </w:tr>
      <w:tr>
        <w:trPr>
          <w:trHeight w:val="21"/>
        </w:trPr>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One customer accounted for 16%, 19% and 18% of our revenue in fiscal years 2017, 2016 and 2015, respectively, and another customer accounted for 16%, 17%, and 15% of our revenue in fiscal years 2017, 2016 and 2015, respectively.</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CHANGES IN ACCUMULATED OTHER COMPREHENSIVE INCOME BY COMPONENT</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income by component (net of tax of $0) for the years ended October 29, 2017 and October 30,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Year Ended October 29, 2017</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5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126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Cash</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31, 2016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19,799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other accumulated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19,799</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other comprehensive income attributable to noncontrolling interests</w:t>
            </w: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(5,605)</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Balance at October 29, 2017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7,627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(688)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Year Ended October 30, 2016</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5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126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of Cash</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Flow Hedge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November 1, 2015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other accumulated comprehensive income</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Less: other comprehensive (income) loss attributable to noncontrolling interests</w:t>
            </w: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Balance at October 30, 2016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(6,567)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(927)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the cash flow hedge is included in cost of goods sold in the consolidated statements of income in all periods presented.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CONCENTRATIONS OF CREDIT RISK</w:t>
      </w:r>
    </w:p>
    <w:p>
      <w:pPr>
        <w:spacing w:after="0" w:line="256"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Financial instruments that potentially subject us to credit risk principally consist of trade accounts receivables and short-term cash investments. We sell our products primarily to semiconductor and FPD manufacturers in Asia, North America, and Europe. We believe that the concentration of credit risk in our trade receivables is substantially mitigated by our ongoing credit evaluation process and relatively short collection terms. We do not generally require collateral from customers. We establish an allowance for doubtful accounts based upon factors surrounding the credit risk of specific customers, historical trends and other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Our cash and cash equivalents are deposited in several financial institutions, including institutions located within all of the countries in which we manufacture photomasks. Portions of deposits in some of these institutions may exceed the amount of insurance available for such deposits at these institutions. As these deposits are generally redeemable upon demand and are held by high quality, reputable institutions, we consider them to bear minimal credit risk. We further mitigate credit risks related to our cash and cash equivalents by spreading such risk among a number of institutions.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RELATED PARTY TRANSACTIONS</w:t>
      </w:r>
    </w:p>
    <w:p>
      <w:pPr>
        <w:spacing w:after="0" w:line="25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executive chairman of the board of directors is also a director of an entity that provided secure managed information technology services to Photronics in fiscal years 2016 and 2015. Another member of our board of directors was the chief executive officer and chairman of the board of this entity. We had contracted with this entity since 2002 for services it provided to all of our facilities. In fiscal years 2016 and 2015, we incurred expenses for services provided by this entity of $0.2 million and $1.0 million, respectively.</w:t>
      </w:r>
    </w:p>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An officer of one of our foreign subsidiaries is related to an individual in a position of authority at one of our largest customers. We recorded revenue from this customer of $73.6 million, $80.5 million, and $77.8 million in fiscal years 2017, 2016 and 2015, respectively. At October 29, 2017 and October 30, 2016, we had accounts receivable of $24.3 million and $23.2 million, respectively, from this customer.</w:t>
      </w:r>
    </w:p>
    <w:p>
      <w:pPr>
        <w:spacing w:after="0" w:line="181"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In July 2016, we entered into a contract for information technology services with a parent entity for which a member of our board of directors serves as the executive chairman of the board and director of a wholly owned subsidiary of that entity. During fiscal years 2017 and 2016, we incurred expenses of $0.5 million and $0.3 million, respectively with the parent entity, and had payables outstanding to the parent entity of $0.2 million at October 30, 2016.</w:t>
      </w:r>
    </w:p>
    <w:p>
      <w:pPr>
        <w:spacing w:after="0" w:line="14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purchase photomask blanks from an entity of which a former officer of ours is a significant shareholder. The Company purchased $4.5 million of photomask blanks from this entity during the period in 2017 when the former officer was employed by us, and $16.3 million and $20.2 million in 2016 and 2015, respectively, for which the amount owed to this entity was $2.7 million at October 30, 2016 (the last reported date at which this entity was a related party to Photronics).</w:t>
      </w:r>
    </w:p>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believe that the terms of our transactions with the related parties described above were negotiated at arm’s length and were no less favorable to us than terms we could have obtained from unrelated third parties. See Note 4 for additional related party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MEASUREMENTS</w:t>
      </w:r>
    </w:p>
    <w:p>
      <w:pPr>
        <w:spacing w:after="0" w:line="256"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did not have any assets or liabilities measured at fair value, on a recurring or a nonrecurring basis, at October 29, 2017 or October 30, 2016.</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fair values of our cash and cash equivalents (Level 1 measurements), accounts receivable, accounts payable, and certain other current assets and current liabilities (Level 2 measurements) approximate their carrying value due to their short-term maturities. The fair value of our convertible senior notes is a Level 2 measurement, as it was determined using inputs that were either observable market data or could be derived from or corroborated with observable market data. These inputs included our stock price and interest rates offered on debt issued by entities with credit ratings similar to ours.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4340" w:type="dxa"/>
            <w:vAlign w:val="bottom"/>
            <w:gridSpan w:val="3"/>
          </w:tcPr>
          <w:p>
            <w:pPr>
              <w:spacing w:after="0"/>
              <w:rPr>
                <w:rFonts w:ascii="Arial" w:cs="Arial" w:eastAsia="Arial" w:hAnsi="Arial"/>
                <w:sz w:val="14"/>
                <w:szCs w:val="14"/>
                <w:i w:val="1"/>
                <w:iCs w:val="1"/>
                <w:color w:val="0000EE"/>
              </w:rPr>
            </w:pPr>
            <w:hyperlink w:anchor="page29">
              <w:r>
                <w:rPr>
                  <w:rFonts w:ascii="Arial" w:cs="Arial" w:eastAsia="Arial" w:hAnsi="Arial"/>
                  <w:sz w:val="14"/>
                  <w:szCs w:val="14"/>
                  <w:i w:val="1"/>
                  <w:iCs w:val="1"/>
                  <w:color w:val="0000EE"/>
                </w:rPr>
                <w:t>Index</w:t>
              </w:r>
            </w:hyperlink>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9420" w:type="dxa"/>
            <w:vAlign w:val="bottom"/>
            <w:gridSpan w:val="13"/>
          </w:tcPr>
          <w:p>
            <w:pPr>
              <w:jc w:val="right"/>
              <w:ind w:right="240"/>
              <w:spacing w:after="0"/>
              <w:rPr>
                <w:sz w:val="20"/>
                <w:szCs w:val="20"/>
                <w:color w:val="auto"/>
              </w:rPr>
            </w:pPr>
            <w:r>
              <w:rPr>
                <w:rFonts w:ascii="Arial" w:cs="Arial" w:eastAsia="Arial" w:hAnsi="Arial"/>
                <w:sz w:val="18"/>
                <w:szCs w:val="18"/>
                <w:color w:val="auto"/>
                <w:w w:val="90"/>
              </w:rPr>
              <w:t>The table below presents the fair and carrying values of our convertible senior notes at October 29, 2017 and October 30, 2016.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6"/>
          </w:tcPr>
          <w:p>
            <w:pPr>
              <w:ind w:left="740"/>
              <w:spacing w:after="0"/>
              <w:rPr>
                <w:sz w:val="20"/>
                <w:szCs w:val="20"/>
                <w:color w:val="auto"/>
              </w:rPr>
            </w:pPr>
            <w:r>
              <w:rPr>
                <w:rFonts w:ascii="Arial" w:cs="Arial" w:eastAsia="Arial" w:hAnsi="Arial"/>
                <w:sz w:val="18"/>
                <w:szCs w:val="18"/>
                <w:b w:val="1"/>
                <w:bCs w:val="1"/>
                <w:color w:val="auto"/>
              </w:rPr>
              <w:t>October 29, 2017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6"/>
          </w:tcPr>
          <w:p>
            <w:pPr>
              <w:ind w:left="720"/>
              <w:spacing w:after="0"/>
              <w:rPr>
                <w:sz w:val="20"/>
                <w:szCs w:val="20"/>
                <w:color w:val="auto"/>
              </w:rPr>
            </w:pPr>
            <w:r>
              <w:rPr>
                <w:rFonts w:ascii="Arial" w:cs="Arial" w:eastAsia="Arial" w:hAnsi="Arial"/>
                <w:sz w:val="18"/>
                <w:szCs w:val="18"/>
                <w:b w:val="1"/>
                <w:bCs w:val="1"/>
                <w:color w:val="auto"/>
              </w:rPr>
              <w:t>October 30,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Carrying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convertible senior notes due 2019</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67,396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57,337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68,230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57,221</w:t>
            </w:r>
          </w:p>
        </w:tc>
        <w:tc>
          <w:tcPr>
            <w:tcW w:w="0" w:type="dxa"/>
            <w:vAlign w:val="bottom"/>
          </w:tcPr>
          <w:p>
            <w:pPr>
              <w:spacing w:after="0"/>
              <w:rPr>
                <w:sz w:val="1"/>
                <w:szCs w:val="1"/>
                <w:color w:val="auto"/>
              </w:rPr>
            </w:pPr>
          </w:p>
        </w:tc>
      </w:tr>
      <w:tr>
        <w:trPr>
          <w:trHeight w:val="459"/>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NOTE 18 – GAINS ON SALE OF INVESTMENTS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had a minority interest in a foreign entity. In fiscal year 2016, we sold this investment and recognized a gain of $8.8 million. In addition, as discussed in Note 4, we sold our investment in the MP Mask joint venture in fiscal year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EXPANSION INTO CHINA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Expansion of IC Manufacturing into China</w:t>
      </w:r>
    </w:p>
    <w:p>
      <w:pPr>
        <w:spacing w:after="0" w:line="25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August 2016, Photronics Singapore Pte, Ltd., a wholly owned subsidiary, signed an investment agreement with the Administrative Committee of Xiamen Torch Hi-Tech Industrial Development Zone (Xiamen Torch) to establish an IC manufacturing facility in Xiamen, China. Under the terms of the agreement, we will build and operate an IC facility to engage in research and development, manufacture and sale of photomasks, in return for which Xiamen Torch will provide certain investment incentives and support. This expansion is also substantially supported by customer commitments for its output. The total investment per the agreement is $160 million to be funded over the next five years in cash, transferred equipment and potential local borrowings. Construction began in 2017 and production is anticipated to start in early 2019.</w:t>
      </w:r>
    </w:p>
    <w:p>
      <w:pPr>
        <w:spacing w:after="0" w:line="178"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In the third quarter of fiscal 2017, we agreed to create a joint venture with DNP to encompass the Xiamen project. Under the agreement, our wholly-owned Singapore subsidiary will own 50.01% of the joint venture, which will be named Photronics DNP Mask Corporation Xiamen (PDMCX), and a subsidiary of DNP will own the remaining 49.99%. The financial results of the joint venture will be included in Photronics’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Expansion of FPD Manufacturing into China</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August 2017, we announced that Photronics UK, Ltd., a wholly-owned subsidiary, signed an investment agreement with Hefei State Hi-tech Industry Development Zone to establish a manufacturing facility in Hefei, China. Under the terms of the agreement, through our subsidiary, we will invest a minimum of $160 million, a portion of which may be funded with local borrowings, to build and operate a research and development and manufacturing facility for high-end and mainstream FPD photomasks. Hefei State Hi-tech Industry Development Zone will provide certain investment incentives and support for this facility, which will have initial capability to produce up to G10.5 large area masks and AMOLED products. Construction began in late 2017 and production is anticipated to commence in early 2019.</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QUARTERLY RESULTS OF OPERATIONS (UNAUDITED)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unaudited quarterly financial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Second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Fourth</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Fiscal 2017:</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109,831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108,297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111,579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20,157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21,717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26,442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Net income attributable to Photronics, Inc. shareholders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4,001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Fiscal 2016: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(a)</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(b)</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(c)</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129,956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122,923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123,209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107,368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31,450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23,501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14,153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11,453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attributable to Photronics, Inc. shareholders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$8.8 million gain on sale of investment in a foreign entity.</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 tax benefit in Taiwan of $1.8 million related to prior years.</w:t>
      </w:r>
    </w:p>
    <w:p>
      <w:pPr>
        <w:spacing w:after="0" w:line="252" w:lineRule="exact"/>
        <w:rPr>
          <w:rFonts w:ascii="Arial" w:cs="Arial" w:eastAsia="Arial" w:hAnsi="Arial"/>
          <w:sz w:val="18"/>
          <w:szCs w:val="18"/>
          <w:color w:val="auto"/>
        </w:rPr>
      </w:pPr>
    </w:p>
    <w:p>
      <w:pPr>
        <w:ind w:left="500" w:right="66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 tax benefit in Taiwan of $3.0 million related to the recognition of prior period tax benefits and other tax positions no longer deemed necessary.</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tax benefits in Taiwan of $4.8 million primarily related to the recognition of prior period tax benefits and other tax positions no longer deemed necessary.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RECENT ACCOUNTING PRONOUNCEMENTS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January 2017, the Financial Accounting Standards Board (“FASB”) issued ASU 2017-04 “Simplifying the Test for Goodwill Impairment”, which eliminates Step 2 of the goodwill impairment test and requires entities to perform their annual or interim goodwill impairment test by comparing the fair value of a reporting unit with its carrying amount, and to recognize an impairment charge for the amount by which the carrying amount exceeds the reporting unit’s fair value. In addition, this ASU eliminates the requirements for any reporting unit with a zero or negative carrying amount to perform a qualitative assessment and, in the event the reporting unit fails the qualitative test, to perform Step 2 of the goodwill impairment test. ASU 2017-04 is effective for us in the first quarter of our fiscal year 2021, and will be applied on a prospective basis. The impact of this ASU will depend upon the nature of future acquisitions that we may make.</w:t>
      </w:r>
    </w:p>
    <w:p>
      <w:pPr>
        <w:spacing w:after="0" w:line="21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January 2017, the FASB issued ASU 2017-01 “Clarifying the Definition of a Business”, with the objective of adding guidance to assist entities with evaluating whether transactions should be accounted for as acquisitions (or disposals) of assets or businesses. ASU 2017-01 is effective for Photronics in our first quarter of fiscal year 2019, and will be applied on a prospective basis. The impact of this ASU will depend upon the nature of future acquisitions or dispositions that we may make.</w:t>
      </w:r>
    </w:p>
    <w:p>
      <w:pPr>
        <w:spacing w:after="0" w:line="1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November 2016, the FASB issued ASU 2016-18 “Restricted Cash”,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Update is effective for us in the first quarter of our fiscal year 2019, and will be applied on a retrospective transition basis. Early adoption is permitted, including adoption in an interim period as of the beginning of an annual reporting period for which interim or annual financial statements have not been issued or made available for issuance. We are currently evaluating the effect this ASU will have on our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October 2016, the FASB issued ASU 2016-16 “Intra-Entity Transfers of Assets Other Than Inventory”, which eliminates the exception of recognizing, at the time of transfer, deferred income taxes for intra-entity asset transfers other than inventory. This Update is effective for us in the first quarter of our fiscal year 2019, and will be applied on a modified retrospective transition basis. Early adoption is permitted as of the beginning of an annual reporting period for which interim or annual financial statements have not been issued or made available for issuance. We are currently evaluating the effect this ASU will have on our consolidated financial statements.</w:t>
      </w:r>
    </w:p>
    <w:p>
      <w:pPr>
        <w:spacing w:after="0" w:line="215"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In August 2016, the FASB issued ASU 2016-15 “Classification of Certain Cash Receipts and Cash Payments”, which addresses eight specific cash flow issues with the objective of reducing diversity in practice. This Update is effective for us in the first quarter of our fiscal year 2019, and will be applied using a retrospective transition approach. We are currently evaluating the effect this ASU will have on our consolidated financial statements.</w:t>
      </w:r>
    </w:p>
    <w:p>
      <w:pPr>
        <w:spacing w:after="0" w:line="19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impairment methodology found in current GAAP with a methodology that reflects expected credit losses and requires consideration of a broader range of reasonable and supportable information to measure expected credit losses. This ASU requires a cumulative-effect adjustment as of the beginning of the first reporting period in which the guidance is adopted. This Update is effective for us in the first quarter of our fiscal year 2021, with early adoption permitted beginning in the first quarter of fiscal year 2019. We are currently evaluating the effect this ASU will have on our consolidated financial statements.</w:t>
      </w:r>
    </w:p>
    <w:p>
      <w:pPr>
        <w:spacing w:after="0" w:line="19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March 2016, the FASB issued ASU 2016 – 09 “Improvements to Employee Share-Based Payment Accounting”, which simplifies the accounting for share-based payment transactions including their income tax consequences, classification as either equity or liability awards, classification on the statement of cash flows, and other areas. The method of adoption varies with the different aspects of the Update. The Update is effective for us the first quarter of our fiscal year 2018. We do not expect this ASU to have a material impact on our consolidated financial statements.</w:t>
      </w:r>
    </w:p>
    <w:p>
      <w:pPr>
        <w:spacing w:after="0" w:line="19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February 2016, the FASB issued ASU 2016 – 02 “Leases (Topic 842)”, which requires lessees to recognize right-of-use assets and corresponding liabilities for all leases with an initial term in excess of twelve months. The Update is to be adopted using a modified retrospective approach, which includes a number of practical expedients, that requires leases to be measured and recognized under the new guidance at the beginning of the earliest period presented. The ASU is effective for us in the first quarter of our fiscal year 2020, with early application permitted, and we are currently evaluating the effect this ASU will have on our consolidated financial statements.</w:t>
      </w:r>
    </w:p>
    <w:p>
      <w:pPr>
        <w:spacing w:after="0" w:line="21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January 2016, the FASB issued ASU 2016-01 “Recognition and Measurement of Financial Assets and Financial Liabilities”, which provides targeted improvements to the recognition, measurement, presentation and disclosure of financial assets and financial liabilities. Specific accounting areas addressed include, equity investments, financial liabilities reported under the fair value option and valuation allowance assessment resulting from unrealized losses on available-for-sale securities. The ASU also changes certain presentation and disclosure requirements for financial instruments. The Update is to be applied by means of a cumulative effect adjustment to the balance sheet as of the beginning of the fiscal year of adoption. This ASU is effective for us in the first quarter of our fiscal year 2019. We are currently evaluating the effect this ASU will have on our consolidated financial statements.</w:t>
      </w:r>
    </w:p>
    <w:p>
      <w:pPr>
        <w:spacing w:after="0" w:line="19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April 2015, the FASB issued ASU 2015-03 “Simplifying the Presentation of Debt Issuance Costs”, which requires debt issuance costs related to a recognized debt liability to be presented in the balance sheet as a direct deduction from that debt liability, consistent with the presentation of a debt discount. We adopted this ASU, and applied it on a retrospective basis, in the first quarter of our 2017 fiscal year. See Note 6 for the effects of adoption on our October 30, 2016, consolidated balance sheet.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May 2014, the FASB issued ASU 2014-09 “Revenue from Contracts with Customers”, which will supersede nearly all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defers the effective date of ASU 2014-09 by one year and allows entities to early adopt, but no earlier than the original effective date. ASU 2014-09 will now be effective for us in the first quarter of our fiscal year 2019. This update allows for either full retrospective or modified retrospective adoption. In April 2016, the FASB issued ASU 2016-10 “Identifying Performance Obligations and Licensing” which amends guidance previously issued on these matters in ASU 2014-09. The effective date and transition requirements of ASU 2016-10 are the same as those for ASU 2014-09. We anticipate that the adoption of this ASU will result in the acceleration of revenue as, upon adoption of this Update, amounts in our work-in process inventory will be considered to represent promised goods transferred to our customers, requiring us to recognize consideration for those transferred goods in amounts we expect to be entitled to receive in exchange for them. However, we cannot currently quantify with reasonable certainty the effect this anticipated acceleration of revenue will have on our consolidated financial statements. We expect to adopt this Update using the modified retrospective approach.</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established and currently maintain disclosure controls and procedures, as such term is defined in Rules 13a-15(e) and 15d-15(e) of the Securities Exchange Act of 1934, as amended (the “Exchange Act”), designed to provide reasonable assurance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fourth fiscal quarter that has materially affected, or is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Rules 13a-15(f) and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7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October 29, 2017, based on the criteria set forth by the Committee of Sponsoring Organizations of the Treadway Commission in its “Internal Control - Integrated Framework” (2013). Management, under the supervision and with the participation of our chief executive officer and chief financial officer, concluded that our internal control over financial reporting was effective as of October 29, 2017.</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Company’s independent registered public accounting firm, Deloitte &amp; Touche LLP, has audited the effectiveness of the Company’s internal control over financial reporting as of October 29, 2017, as stated in their report on page 29 of this Form 10-K.</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December 20, 2017</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information as to Directors required by Items 401, 405 and 407(c)(3)(d)(4) and (d)(5) of Regulation S-K is set forth in our 2018 definitive Proxy Statement which will be filed with the Securities and Exchange Commission pursuant to Regulation 14A of the Exchange Act within 120 days after the end of the fiscal year covered by this Form 10-K under the caption “PROPOSAL 1 - ELECTION OF DIRECTORS,” “SECTION 16(A) BENEFICIAL OWNERSHIP REPORTING COMPLIANCE” and in the third paragraph under the caption “MEETINGS AND COMMITTEES OF THE BOARD,” and is incorporated in this report by reference. The information as to Executive Officers is included in our 2018 definitive Proxy Statement under the caption “EXECUTIVE OFFICERS” and is incorporated in this report by reference.</w:t>
      </w:r>
    </w:p>
    <w:p>
      <w:pPr>
        <w:spacing w:after="0" w:line="22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have adopted a code of ethics that applies to our principal executive officer, principal financial officer and principal accounting officer or chief financial officer. A copy of the code of ethics may be obtained, free of charge, by writing to the vice president, general counsel of Photronics, Inc. at 15 Secor Road, Brookfield, Connecticut 06804.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information required by Item 402 of Regulation S-K and paragraph (e)(4) and (e)(5) of Item 407 is set forth in our 2018 definitive Proxy Statement under the captions “EXECUTIVE COMPENSATION”, “CERTAIN AGREEMENTS”, “DIRECTORS’ COMPENSATION”, “COMPENSATION COMMITTEE INTERLOCKS AND INSIDER PARTICIPATION” and “COMPENSATION COMMITTEE REPORT ON EXECUTIVE COMPENSATION”, respectively, and is incorporated in this report by reference.</w:t>
      </w:r>
    </w:p>
    <w:p>
      <w:pPr>
        <w:spacing w:after="0" w:line="210" w:lineRule="exact"/>
        <w:rPr>
          <w:sz w:val="20"/>
          <w:szCs w:val="20"/>
          <w:color w:val="auto"/>
        </w:rPr>
      </w:pPr>
    </w:p>
    <w:p>
      <w:pPr>
        <w:ind w:left="820" w:right="62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information required by Item 201(d) of Regulation S-K is set forth in our 2018 definitive Proxy Statement under the caption “EQUITY COMPENSATION PLAN INFORMATION”, and is incorporated in this report by reference. The information required by Item 403 of Regulation S-K is set forth in our 2018 definitive Proxy Statement under the caption “OWNERSHIP OF COMMON STOCK BY DIRECTORS, OFFICERS AND CERTAIN BENEFICIAL OWNERS”, and is incorporated in this report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The information required by Items 404 and Item 407(a) of Regulation S-K is set forth in our 2018 definitive Proxy Statement under the captions “MEETINGS AND COMMITTEES OF THE BOARD” and “CERTAIN RELATIONSHIPS AND RELATED TRANSACTIONS”, respectively, and is incorporated in this report by reference.</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The information required by Item 9(e) of Rule 14a-101 of the Exchange Act is set forth in our 2018 definitive Proxy Statement under the captions “Fees Paid to the Independent Registered Public Accounting Firm” and “AUDIT COMMITTEE REPORT”, and is incorporated in this report by reference.</w:t>
      </w:r>
    </w:p>
    <w:p>
      <w:pPr>
        <w:spacing w:after="0" w:line="14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48" w:lineRule="exact"/>
        <w:rPr>
          <w:sz w:val="20"/>
          <w:szCs w:val="20"/>
          <w:color w:val="auto"/>
        </w:rPr>
      </w:pPr>
    </w:p>
    <w:p>
      <w:pPr>
        <w:ind w:left="10780"/>
        <w:spacing w:after="0"/>
        <w:rPr>
          <w:sz w:val="20"/>
          <w:szCs w:val="20"/>
          <w:color w:val="auto"/>
        </w:rPr>
      </w:pPr>
      <w:r>
        <w:rPr>
          <w:rFonts w:ascii="Arial" w:cs="Arial" w:eastAsia="Arial" w:hAnsi="Arial"/>
          <w:sz w:val="18"/>
          <w:szCs w:val="18"/>
          <w:b w:val="1"/>
          <w:bCs w:val="1"/>
          <w:color w:val="auto"/>
        </w:rPr>
        <w:t>Page</w:t>
      </w:r>
    </w:p>
    <w:p>
      <w:pPr>
        <w:spacing w:after="0" w:line="27" w:lineRule="exact"/>
        <w:rPr>
          <w:sz w:val="20"/>
          <w:szCs w:val="20"/>
          <w:color w:val="auto"/>
        </w:rPr>
      </w:pPr>
    </w:p>
    <w:p>
      <w:pPr>
        <w:ind w:left="1084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6677025</wp:posOffset>
            </wp:positionH>
            <wp:positionV relativeFrom="paragraph">
              <wp:posOffset>5715</wp:posOffset>
            </wp:positionV>
            <wp:extent cx="57467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4675" cy="17145"/>
                    </a:xfrm>
                    <a:prstGeom prst="rect">
                      <a:avLst/>
                    </a:prstGeom>
                    <a:noFill/>
                  </pic:spPr>
                </pic:pic>
              </a:graphicData>
            </a:graphic>
          </wp:anchor>
        </w:drawing>
      </w:r>
    </w:p>
    <w:p>
      <w:pPr>
        <w:spacing w:after="0" w:line="218" w:lineRule="exact"/>
        <w:rPr>
          <w:sz w:val="20"/>
          <w:szCs w:val="20"/>
          <w:color w:val="auto"/>
        </w:rPr>
      </w:pPr>
    </w:p>
    <w:p>
      <w:pPr>
        <w:spacing w:after="0"/>
        <w:tabs>
          <w:tab w:leader="none" w:pos="680" w:val="left"/>
          <w:tab w:leader="none" w:pos="112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Financial Statements: See “INDEX TO CONSOLIDATED FINANCIAL STATEMENTS” in Part II, Item 8 of this Form 10-K.</w:t>
      </w:r>
      <w:r>
        <w:rPr>
          <w:sz w:val="20"/>
          <w:szCs w:val="20"/>
          <w:color w:val="auto"/>
        </w:rPr>
        <w:tab/>
      </w: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700" w:hanging="69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Report of Independent Registered Public Accounting Firm on financial statement schedule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1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Schedule II - Valuation and Qualifying Accounts for the years ended October 29, 2017, October 30, 2016 and November 1, 2015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All other schedules are omitted because they are not applicable.</w:t>
            </w: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10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70"/>
              </w:rPr>
              <w:t>3.</w:t>
            </w:r>
          </w:p>
        </w:tc>
        <w:tc>
          <w:tcPr>
            <w:tcW w:w="10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Exhibits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FINANCIAL STATEMENT SCHEDULE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Brookfield, Connecticut</w:t>
      </w:r>
    </w:p>
    <w:p>
      <w:pPr>
        <w:spacing w:after="0" w:line="21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audited the consolidated financial statements of Photronics, Inc. and subsidiaries (the “Company”) as of October 29, 2017 and October 30, 2016 and for each of the fiscal years ended October 29, 2017, October 30, 2016, and November 1, 2015, and have issued our report thereon dated December 20, 2017, which contained an unqualified opinion on those consolidated financial statements. The financial statement schedule in Item 15 has been subjected to audit procedures performed in conjunction with the audit of the Company’s consolidated financial statements. The financial statement schedule is the responsibility of the Company’s management. Our audit procedures included determining whether the financial statement schedule reconciles to the consolidated financial statements or the underlying accounting and other records, as applicable, and performing procedures to test the completeness and accuracy of the information presented in the financial statement schedule. In our opinion, such schedule is fairly stated, in all material respects, in relation to the consolidated financial statements as a whole.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2017</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5780" w:type="dxa"/>
            <w:vAlign w:val="bottom"/>
            <w:gridSpan w:val="3"/>
          </w:tcPr>
          <w:p>
            <w:pPr>
              <w:spacing w:after="0"/>
              <w:rPr>
                <w:rFonts w:ascii="Arial" w:cs="Arial" w:eastAsia="Arial" w:hAnsi="Arial"/>
                <w:sz w:val="14"/>
                <w:szCs w:val="14"/>
                <w:i w:val="1"/>
                <w:iCs w:val="1"/>
                <w:color w:val="0000EE"/>
              </w:rPr>
            </w:pPr>
            <w:hyperlink w:anchor="page29">
              <w:r>
                <w:rPr>
                  <w:rFonts w:ascii="Arial" w:cs="Arial" w:eastAsia="Arial" w:hAnsi="Arial"/>
                  <w:sz w:val="14"/>
                  <w:szCs w:val="14"/>
                  <w:i w:val="1"/>
                  <w:iCs w:val="1"/>
                  <w:color w:val="0000EE"/>
                </w:rPr>
                <w:t>Index</w:t>
              </w:r>
            </w:hyperlink>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Schedule II</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Valuation and Qualifying Accounts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64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w w:val="90"/>
              </w:rPr>
              <w:t>for the Years Ended October 29, 2017, October 30,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and November 1, 2015</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(in $ thousands)</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Charged to</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Beginning of</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Costs and</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End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Expenses</w:t>
            </w:r>
          </w:p>
        </w:tc>
        <w:tc>
          <w:tcPr>
            <w:tcW w:w="3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Deductions</w:t>
            </w:r>
          </w:p>
        </w:tc>
        <w:tc>
          <w:tcPr>
            <w:tcW w:w="380" w:type="dxa"/>
            <w:vAlign w:val="bottom"/>
          </w:tcPr>
          <w:p>
            <w:pPr>
              <w:spacing w:after="0"/>
              <w:rPr>
                <w:sz w:val="20"/>
                <w:szCs w:val="20"/>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Year-ended October 29,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(1,600)</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Year ended October 30, 2016</w:t>
            </w:r>
          </w:p>
        </w:tc>
        <w:tc>
          <w:tcPr>
            <w:tcW w:w="1120" w:type="dxa"/>
            <w:vAlign w:val="bottom"/>
          </w:tcPr>
          <w:p>
            <w:pPr>
              <w:jc w:val="right"/>
              <w:spacing w:after="0"/>
              <w:rPr>
                <w:sz w:val="20"/>
                <w:szCs w:val="20"/>
                <w:color w:val="auto"/>
              </w:rPr>
            </w:pPr>
            <w:r>
              <w:rPr>
                <w:rFonts w:ascii="Arial" w:cs="Arial" w:eastAsia="Arial" w:hAnsi="Arial"/>
                <w:sz w:val="18"/>
                <w:szCs w:val="18"/>
                <w:color w:val="auto"/>
              </w:rPr>
              <w:t>3,301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380" w:type="dxa"/>
            <w:vAlign w:val="bottom"/>
          </w:tcPr>
          <w:p>
            <w:pPr>
              <w:spacing w:after="0"/>
              <w:rPr>
                <w:sz w:val="18"/>
                <w:szCs w:val="18"/>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8"/>
                <w:szCs w:val="18"/>
                <w:color w:val="auto"/>
              </w:rPr>
              <w:t>(42) (a)</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November 1, 2015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3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(507) (a)</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Year-ended October 29, 2017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(3,725)</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Year ended October 30, 2016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38,763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(4,262)</w:t>
            </w:r>
          </w:p>
        </w:tc>
        <w:tc>
          <w:tcPr>
            <w:tcW w:w="380" w:type="dxa"/>
            <w:vAlign w:val="bottom"/>
          </w:tcPr>
          <w:p>
            <w:pPr>
              <w:ind w:left="60"/>
              <w:spacing w:after="0"/>
              <w:rPr>
                <w:sz w:val="20"/>
                <w:szCs w:val="20"/>
                <w:color w:val="auto"/>
              </w:rPr>
            </w:pPr>
            <w:r>
              <w:rPr>
                <w:rFonts w:ascii="Arial" w:cs="Arial" w:eastAsia="Arial" w:hAnsi="Arial"/>
                <w:sz w:val="18"/>
                <w:szCs w:val="18"/>
                <w:color w:val="auto"/>
              </w:rPr>
              <w:t>(b)</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(5,186)</w:t>
            </w:r>
          </w:p>
        </w:tc>
        <w:tc>
          <w:tcPr>
            <w:tcW w:w="380" w:type="dxa"/>
            <w:vAlign w:val="bottom"/>
          </w:tcPr>
          <w:p>
            <w:pPr>
              <w:ind w:left="60"/>
              <w:spacing w:after="0"/>
              <w:rPr>
                <w:sz w:val="20"/>
                <w:szCs w:val="20"/>
                <w:color w:val="auto"/>
              </w:rPr>
            </w:pPr>
            <w:r>
              <w:rPr>
                <w:rFonts w:ascii="Arial" w:cs="Arial" w:eastAsia="Arial" w:hAnsi="Arial"/>
                <w:sz w:val="18"/>
                <w:szCs w:val="18"/>
                <w:color w:val="auto"/>
              </w:rPr>
              <w:t>(c)</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November 1, 2015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49,548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(2,364)</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(8,421)</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38,763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Uncollectible accounts written off, net, and impact of foreign currency translation.</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Reversal of valuation allowance.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in deferred tax liability and utilization of net operating losses.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80" w:type="dxa"/>
            <w:vAlign w:val="bottom"/>
          </w:tcPr>
          <w:p>
            <w:pPr>
              <w:ind w:left="2920"/>
              <w:spacing w:after="0"/>
              <w:rPr>
                <w:sz w:val="20"/>
                <w:szCs w:val="20"/>
                <w:color w:val="auto"/>
              </w:rPr>
            </w:pPr>
            <w:r>
              <w:rPr>
                <w:rFonts w:ascii="Arial" w:cs="Arial" w:eastAsia="Arial" w:hAnsi="Arial"/>
                <w:sz w:val="18"/>
                <w:szCs w:val="18"/>
                <w:b w:val="1"/>
                <w:bCs w:val="1"/>
                <w:color w:val="auto"/>
              </w:rPr>
              <w:t>EXHIBITS INDEX</w:t>
            </w:r>
          </w:p>
        </w:tc>
        <w:tc>
          <w:tcPr>
            <w:tcW w:w="0" w:type="dxa"/>
            <w:vAlign w:val="bottom"/>
          </w:tcPr>
          <w:p>
            <w:pPr>
              <w:spacing w:after="0"/>
              <w:rPr>
                <w:sz w:val="1"/>
                <w:szCs w:val="1"/>
                <w:color w:val="auto"/>
              </w:rPr>
            </w:pPr>
          </w:p>
        </w:tc>
      </w:tr>
      <w:tr>
        <w:trPr>
          <w:trHeight w:val="419"/>
        </w:trPr>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3"/>
              </w:rPr>
              <w:t>Exhibit</w:t>
            </w:r>
          </w:p>
        </w:tc>
        <w:tc>
          <w:tcPr>
            <w:tcW w:w="58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Number</w:t>
            </w:r>
          </w:p>
        </w:tc>
        <w:tc>
          <w:tcPr>
            <w:tcW w:w="10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66">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Certificate of Incorporation as amended July 9, 1986, April 9, 1990, March 16, 1995, November 13, 1997, April 15, 2002 and June 20, 2005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(incorporated by reference to Exhibit 3.1 to the Company’s Annual Report on Form 10-K filed January 3,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67">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Amended and Restated By-laws of the Company dated as of September 7, 2016 (incorporated by reference to the Company’s Current Report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on Form 8-K filed on September 13,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68">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7"/>
              </w:rPr>
              <w:t>Indenture dated January 22, 2015, by and between the Company and the Bank of New York Mellon Trust Company, N.A., as trustee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(incorporated by reference to Exhibit 4.2 to the Company’s Current Report on Form 8-K filed on January 28,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gridSpan w:val="3"/>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The Company’s 1992 Employee Stock Purchase Plan. *</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9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gridSpan w:val="3"/>
            <w:shd w:val="clear" w:color="auto" w:fill="CCEEFF"/>
          </w:tcPr>
          <w:p>
            <w:pPr>
              <w:spacing w:after="0" w:line="176" w:lineRule="exact"/>
              <w:rPr>
                <w:rFonts w:ascii="Arial" w:cs="Arial" w:eastAsia="Arial" w:hAnsi="Arial"/>
                <w:sz w:val="18"/>
                <w:szCs w:val="18"/>
                <w:color w:val="0000EE"/>
              </w:rPr>
            </w:pPr>
            <w:hyperlink r:id="rId69">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Amendment to the Employee Stock Purchase Plan as of March 24, 2004 (incorporated by reference to Exhibit 10.2 to the Company’s Annual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Report on Form 10-K filed on January 6, 2017).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gridSpan w:val="3"/>
            <w:shd w:val="clear" w:color="auto" w:fill="CCEEFF"/>
          </w:tcPr>
          <w:p>
            <w:pPr>
              <w:spacing w:after="0" w:line="176" w:lineRule="exact"/>
              <w:rPr>
                <w:rFonts w:ascii="Arial" w:cs="Arial" w:eastAsia="Arial" w:hAnsi="Arial"/>
                <w:sz w:val="18"/>
                <w:szCs w:val="18"/>
                <w:color w:val="0000EE"/>
              </w:rPr>
            </w:pPr>
            <w:hyperlink r:id="rId70">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3"/>
              </w:rPr>
              <w:t>Amendment to the Employee Stock Purchase Plan as of April 8, 2010 (incorporated by reference to Exhibit 10.4 to the Company’s Annual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Report on Form 10-K filed on January 7, 2016).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gridSpan w:val="3"/>
            <w:shd w:val="clear" w:color="auto" w:fill="CCEEFF"/>
          </w:tcPr>
          <w:p>
            <w:pPr>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Amendment to the Employee Stock Purchase Plan as of March 28, 2012 (incorporated by reference to Exhibit 10.9 of the Company’s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gridSpan w:val="2"/>
            <w:shd w:val="clear" w:color="auto" w:fill="CCEEFF"/>
          </w:tcPr>
          <w:p>
            <w:pPr>
              <w:spacing w:after="0" w:line="236" w:lineRule="exact"/>
              <w:rPr>
                <w:sz w:val="20"/>
                <w:szCs w:val="20"/>
                <w:color w:val="auto"/>
              </w:rPr>
            </w:pPr>
            <w:r>
              <w:rPr>
                <w:rFonts w:ascii="Arial" w:cs="Arial" w:eastAsia="Arial" w:hAnsi="Arial"/>
                <w:sz w:val="17"/>
                <w:szCs w:val="17"/>
                <w:color w:val="auto"/>
              </w:rPr>
              <w:t>Quarterly Report on Form 10-Q filed September 5, 2012).</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gridSpan w:val="3"/>
            <w:shd w:val="clear" w:color="auto" w:fill="CCEEFF"/>
          </w:tcPr>
          <w:p>
            <w:pPr>
              <w:spacing w:after="0" w:line="176" w:lineRule="exact"/>
              <w:rPr>
                <w:rFonts w:ascii="Arial" w:cs="Arial" w:eastAsia="Arial" w:hAnsi="Arial"/>
                <w:sz w:val="18"/>
                <w:szCs w:val="18"/>
                <w:color w:val="0000EE"/>
              </w:rPr>
            </w:pPr>
            <w:hyperlink r:id="rId72">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2016 Equity Incentive Compensation Plan (incorporated by reference to the Company’s Definitive Proxy Statement filed on February 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color w:val="auto"/>
              </w:rPr>
              <w:t xml:space="preserve">2016). </w:t>
            </w:r>
            <w:r>
              <w:rPr>
                <w:rFonts w:ascii="Arial" w:cs="Arial" w:eastAsia="Arial" w:hAnsi="Arial"/>
                <w:sz w:val="27"/>
                <w:szCs w:val="27"/>
                <w:color w:val="auto"/>
                <w:vertAlign w:val="superscript"/>
              </w:rPr>
              <w:t>+</w:t>
            </w:r>
          </w:p>
        </w:tc>
        <w:tc>
          <w:tcPr>
            <w:tcW w:w="93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gridSpan w:val="3"/>
            <w:shd w:val="clear" w:color="auto" w:fill="CCEEFF"/>
          </w:tcPr>
          <w:p>
            <w:pPr>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The Company’s 2007 Long-Term Equity Incentive Plan (incorporated by reference to the Company’s Definitive Proxy Statement filed 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March 3, 2014).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gridSpan w:val="3"/>
            <w:shd w:val="clear" w:color="auto" w:fill="CCEEFF"/>
          </w:tcPr>
          <w:p>
            <w:pPr>
              <w:spacing w:after="0" w:line="176" w:lineRule="exact"/>
              <w:rPr>
                <w:rFonts w:ascii="Arial" w:cs="Arial" w:eastAsia="Arial" w:hAnsi="Arial"/>
                <w:sz w:val="18"/>
                <w:szCs w:val="18"/>
                <w:color w:val="0000EE"/>
              </w:rPr>
            </w:pPr>
            <w:hyperlink r:id="rId74">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Amendment to the 2007 Long-Term Equity Incentive Plan as of April 8, 2010 (incorporated by reference to Exhibit 10.7 to the Company’s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Annual Report on Form 10-K Field on January 7, 2016).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60" w:name="page61"/>
    <w:bookmarkEnd w:id="60"/>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0" w:type="dxa"/>
            <w:vAlign w:val="bottom"/>
            <w:gridSpan w:val="2"/>
            <w:shd w:val="clear" w:color="auto" w:fill="CCEEFF"/>
          </w:tcPr>
          <w:p>
            <w:pPr>
              <w:spacing w:after="0"/>
              <w:rPr>
                <w:rFonts w:ascii="Arial" w:cs="Arial" w:eastAsia="Arial" w:hAnsi="Arial"/>
                <w:sz w:val="18"/>
                <w:szCs w:val="18"/>
                <w:color w:val="0000EE"/>
              </w:rPr>
            </w:pPr>
            <w:hyperlink r:id="rId76">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Amendment to the 2007 Long Term Equity Incentive Plan as of April 11, 2014 (incorporated by reference to Exhibit 10.8 of the Company’s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 xml:space="preserve">Annual Report on Form 10-K filed January 6, 2015).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2"/>
            <w:shd w:val="clear" w:color="auto" w:fill="CCEEFF"/>
          </w:tcPr>
          <w:p>
            <w:pPr>
              <w:spacing w:after="0" w:line="176" w:lineRule="exact"/>
              <w:rPr>
                <w:rFonts w:ascii="Arial" w:cs="Arial" w:eastAsia="Arial" w:hAnsi="Arial"/>
                <w:sz w:val="18"/>
                <w:szCs w:val="18"/>
                <w:color w:val="0000EE"/>
              </w:rPr>
            </w:pPr>
            <w:hyperlink r:id="rId77">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2"/>
              </w:rPr>
              <w:t>2011 Executive Incentive Compensation Plan effective as of November 1, 2010 (incorporated by reference to Exhibit 10.9 of the Company’s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Annual Report on Form 10-K filed January 6, 2015).</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r:id="rId78">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4"/>
              </w:rPr>
              <w:t>Executive Employment Agreement between the Company and Constantine Macricostas dated May 4, 2015 (incorporated by reference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 xml:space="preserve">Exhibit 10.31 to the Company’s Quarterly Report on Form 10-Q filed on September 9, 2015).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 w:type="dxa"/>
            <w:vAlign w:val="bottom"/>
            <w:gridSpan w:val="3"/>
            <w:shd w:val="clear" w:color="auto" w:fill="CCEEFF"/>
          </w:tcPr>
          <w:p>
            <w:pPr>
              <w:spacing w:after="0" w:line="176" w:lineRule="exact"/>
              <w:rPr>
                <w:rFonts w:ascii="Arial" w:cs="Arial" w:eastAsia="Arial" w:hAnsi="Arial"/>
                <w:sz w:val="18"/>
                <w:szCs w:val="18"/>
                <w:color w:val="0000EE"/>
                <w:w w:val="84"/>
              </w:rPr>
            </w:pPr>
            <w:hyperlink r:id="rId7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11</w:t>
              </w:r>
            </w:hyperlink>
          </w:p>
        </w:tc>
        <w:tc>
          <w:tcPr>
            <w:tcW w:w="360" w:type="dxa"/>
            <w:vAlign w:val="bottom"/>
            <w:shd w:val="clear" w:color="auto" w:fill="CCEEFF"/>
          </w:tcPr>
          <w:p>
            <w:pPr>
              <w:spacing w:after="0"/>
              <w:rPr>
                <w:sz w:val="15"/>
                <w:szCs w:val="15"/>
                <w:color w:val="auto"/>
              </w:rPr>
            </w:pPr>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2"/>
              </w:rPr>
              <w:t>Executive Employment Agreement between the Company and Sean T. Smith dated February 20, 2003 (incorporated by reference to Exhibit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 xml:space="preserve">10.12 of the Company’s Annual Report on Form 10-K filed January 6, 2015).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r:id="rId80">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8"/>
              </w:rPr>
              <w:t>Limited Liability Company Operating Agreement of MP Mask Technology Center, LLC (MP Mask) between Micron Technology, Inc.</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(“Micron”) and Photronics, Inc. (“Photronics”) dated May 5, 2006 (incorporated by reference to Exhibit 10.14 to the Company’s Annual</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Report on Form 10-K filed on January 13, 2012).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r:id="rId81">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4"/>
              </w:rPr>
              <w:t>Contribution and Units Purchase Agreement between Micron, Photronics and MP Mask dated May 5, 2006 (incorporated by reference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 xml:space="preserve">Exhibit 10.15 to the Company’s Annual Report on Form 10-K filed on January 13, 2012).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r:id="rId82">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2"/>
              </w:rPr>
              <w:t>Technology License Agreement among Micron, Photronics and MP Mask dated May 5, 2006 (incorporated by reference to Exhibit 10.16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 xml:space="preserve">the Company’s Annual Report on Form 10-K filed on January 13, 2012).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r:id="rId83">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3"/>
              </w:rPr>
              <w:t>Photronics to Micron Supply Agreement between Micron and Photronics dated May 5, 2006 (incorporated by reference to Exhibit 10.17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 xml:space="preserve">the Company’s Annual Report on Form 10-K filed on January 13, 2012).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r:id="rId84">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1"/>
              </w:rPr>
              <w:t>MP Mask to Photronics Supply Agreement between MP Mask and Photronics dated May 5, 2006 (incorporated by reference to Exhibit 10.18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 xml:space="preserve">to the Company’s Annual Report on Form 10-K filed on January 13, 2012).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r:id="rId85">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0"/>
              </w:rPr>
              <w:t>Special Warranty Deed dated as of February 29, 2012 (incorporated by reference to Exhibit 99.2 to the Company’s Current Report on Form 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K filed on March 6,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r:id="rId86">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5"/>
              </w:rPr>
              <w:t>Outsource Supply Agreement between Micron and Photronics dated March 24, 2015 (incorporated by reference to Exhibit 10.18 to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 xml:space="preserve">Company’s Quarterly Report on Form 10-Q filed on June 4, 2015).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r:id="rId87">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8"/>
              </w:rPr>
              <w:t>Bridge License Agreement between Micron and Photronics dated March 24, 2015 (incorporated by reference to Exhibit 10.16 to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 xml:space="preserve">Company’s Quarterly Report on Form 10-Q filed on June 4, 2015).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r:id="rId88">
              <w:r>
                <w:rPr>
                  <w:rFonts w:ascii="Arial" w:cs="Arial" w:eastAsia="Arial" w:hAnsi="Arial"/>
                  <w:sz w:val="18"/>
                  <w:szCs w:val="18"/>
                  <w:color w:val="0000EE"/>
                </w:rPr>
                <w:t>10.</w:t>
              </w:r>
              <w:r>
                <w:rPr>
                  <w:rFonts w:ascii="Arial" w:cs="Arial" w:eastAsia="Arial" w:hAnsi="Arial"/>
                  <w:sz w:val="18"/>
                  <w:szCs w:val="18"/>
                  <w:u w:val="single" w:color="auto"/>
                  <w:color w:val="0000EE"/>
                </w:rPr>
                <w:t>20</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3"/>
              </w:rPr>
              <w:t>Joint Venture Framework Agreement dated November 20, 2013, between the Company and Dai Nippon Printing Co., Ltd (incorporated 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 xml:space="preserve">reference to Exhibit 10.19 of the Company’s Annual Report on Form 10-K/A filed July 8, 2015).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r:id="rId89">
              <w:r>
                <w:rPr>
                  <w:rFonts w:ascii="Arial" w:cs="Arial" w:eastAsia="Arial" w:hAnsi="Arial"/>
                  <w:sz w:val="18"/>
                  <w:szCs w:val="18"/>
                  <w:color w:val="0000EE"/>
                </w:rPr>
                <w:t>10.</w:t>
              </w:r>
              <w:r>
                <w:rPr>
                  <w:rFonts w:ascii="Arial" w:cs="Arial" w:eastAsia="Arial" w:hAnsi="Arial"/>
                  <w:sz w:val="18"/>
                  <w:szCs w:val="18"/>
                  <w:u w:val="single" w:color="auto"/>
                  <w:color w:val="0000EE"/>
                </w:rPr>
                <w:t>21</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3"/>
              </w:rPr>
              <w:t>Joint Venture Operating Agreement dated November 20, 2013, between the Company and Dai Nippon Printing Co., Ltd. (incorporated 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reference to Exhibit 10.20 of the Company’s Annual Report on Form 10-K/A filed July 8, 2015).</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r:id="rId90">
              <w:r>
                <w:rPr>
                  <w:rFonts w:ascii="Arial" w:cs="Arial" w:eastAsia="Arial" w:hAnsi="Arial"/>
                  <w:sz w:val="18"/>
                  <w:szCs w:val="18"/>
                  <w:color w:val="0000EE"/>
                </w:rPr>
                <w:t>10.</w:t>
              </w:r>
              <w:r>
                <w:rPr>
                  <w:rFonts w:ascii="Arial" w:cs="Arial" w:eastAsia="Arial" w:hAnsi="Arial"/>
                  <w:sz w:val="18"/>
                  <w:szCs w:val="18"/>
                  <w:u w:val="single" w:color="auto"/>
                  <w:color w:val="0000EE"/>
                </w:rPr>
                <w:t>22</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2"/>
              </w:rPr>
              <w:t>Outsourcing Agreement dated November 20, 2013, among the Company, Dai Nippon Printing Co., Ltd and Photronics Semiconductor Mask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Corporation (incorporated by reference to Exhibit 10.21 of the Company’s Annual Report on Form 10-K/A filed July 8, 2015).</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r:id="rId91">
              <w:r>
                <w:rPr>
                  <w:rFonts w:ascii="Arial" w:cs="Arial" w:eastAsia="Arial" w:hAnsi="Arial"/>
                  <w:sz w:val="18"/>
                  <w:szCs w:val="18"/>
                  <w:color w:val="0000EE"/>
                </w:rPr>
                <w:t>10.</w:t>
              </w:r>
              <w:r>
                <w:rPr>
                  <w:rFonts w:ascii="Arial" w:cs="Arial" w:eastAsia="Arial" w:hAnsi="Arial"/>
                  <w:sz w:val="18"/>
                  <w:szCs w:val="18"/>
                  <w:u w:val="single" w:color="auto"/>
                  <w:color w:val="0000EE"/>
                </w:rPr>
                <w:t>23</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3"/>
              </w:rPr>
              <w:t>License Agreement dated November 20, 2013, between the Company and Photronics Semiconductor Mask Corporation (incorporated 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reference to Exhibit 10.22 of the Company’s Annual Report on Form 10-K/A filed July 8, 2015).</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r:id="rId92">
              <w:r>
                <w:rPr>
                  <w:rFonts w:ascii="Arial" w:cs="Arial" w:eastAsia="Arial" w:hAnsi="Arial"/>
                  <w:sz w:val="18"/>
                  <w:szCs w:val="18"/>
                  <w:color w:val="0000EE"/>
                </w:rPr>
                <w:t>10.</w:t>
              </w:r>
              <w:r>
                <w:rPr>
                  <w:rFonts w:ascii="Arial" w:cs="Arial" w:eastAsia="Arial" w:hAnsi="Arial"/>
                  <w:sz w:val="18"/>
                  <w:szCs w:val="18"/>
                  <w:u w:val="single" w:color="auto"/>
                  <w:color w:val="0000EE"/>
                </w:rPr>
                <w:t>24</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5"/>
              </w:rPr>
              <w:t>License Agreement dated November 20, 2013, between Dai Nippon Printing Co., Ltd and Photronics Semiconductor Mask Corporation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 xml:space="preserve">(incorporated by reference to Exhibit 10.23 of the Company’s Annual Report on Form 10-K/A filed July 8, 2015).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r:id="rId93">
              <w:r>
                <w:rPr>
                  <w:rFonts w:ascii="Arial" w:cs="Arial" w:eastAsia="Arial" w:hAnsi="Arial"/>
                  <w:sz w:val="18"/>
                  <w:szCs w:val="18"/>
                  <w:color w:val="0000EE"/>
                </w:rPr>
                <w:t>10.</w:t>
              </w:r>
              <w:r>
                <w:rPr>
                  <w:rFonts w:ascii="Arial" w:cs="Arial" w:eastAsia="Arial" w:hAnsi="Arial"/>
                  <w:sz w:val="18"/>
                  <w:szCs w:val="18"/>
                  <w:u w:val="single" w:color="auto"/>
                  <w:color w:val="0000EE"/>
                </w:rPr>
                <w:t>25</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5"/>
              </w:rPr>
              <w:t>Margin Agreement dated November 20, 2013, among the Company, Dai Nippon Printing Co., Ltd and Photronics Semiconductor Mask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Corporation (incorporated by reference to Exhibit 10.24 of the Company’s Annual Report on Form 10-K/A filed July 8, 2015).</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40" w:type="dxa"/>
            <w:vAlign w:val="bottom"/>
          </w:tcPr>
          <w:p>
            <w:pPr>
              <w:ind w:left="48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1" w:name="page62"/>
    <w:bookmarkEnd w:id="61"/>
    <w:p>
      <w:pPr>
        <w:spacing w:after="0" w:line="32"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gridSpan w:val="2"/>
            <w:shd w:val="clear" w:color="auto" w:fill="CCEEFF"/>
          </w:tcPr>
          <w:p>
            <w:pPr>
              <w:jc w:val="right"/>
              <w:ind w:right="360"/>
              <w:spacing w:after="0"/>
              <w:rPr>
                <w:rFonts w:ascii="Arial" w:cs="Arial" w:eastAsia="Arial" w:hAnsi="Arial"/>
                <w:sz w:val="18"/>
                <w:szCs w:val="18"/>
                <w:color w:val="0000EE"/>
                <w:w w:val="84"/>
              </w:rPr>
            </w:pPr>
            <w:hyperlink r:id="rId9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26</w:t>
              </w:r>
            </w:hyperlink>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Merger Agreement dated January 16, 2014, between Photronics Semiconductor Mask Corporation and DNP Photomask Technology Taiwan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Co., Ltd. (incorporated by reference to Exhibit 10.25 of the Company’s Annual Report on Form 10-K/A filed July 8, 2015).</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r:id="rId9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27</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3"/>
              </w:rPr>
              <w:t>Executive Employment Agreement between the Company and Soo Hong Jeong dated May 31, 2011 (incorporated by reference to Exhibit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 xml:space="preserve">10.27 of the Company’s Annual Report on Form 10-K filed on January 6, 2017).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r:id="rId9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28</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6"/>
              </w:rPr>
              <w:t>Executive Employment Agreement between the Company and Christopher J. Progler, Vice President, Chief Technology Officer dated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w w:val="97"/>
              </w:rPr>
              <w:t>September 10, 2007 (incorporated by reference to Exhibit 10.24 to the Company’s Annual Report on Form 10-K filed on January 11, 2008).</w:t>
            </w:r>
            <w:r>
              <w:rPr>
                <w:rFonts w:ascii="Arial" w:cs="Arial" w:eastAsia="Arial" w:hAnsi="Arial"/>
                <w:sz w:val="27"/>
                <w:szCs w:val="27"/>
                <w:color w:val="auto"/>
                <w:w w:val="97"/>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r:id="rId9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29</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2"/>
              </w:rPr>
              <w:t>Executive Employment Agreement between the Company and Peter S. Kirlin dated May 4, 2015 (incorporated by reference to Exhibit 10.28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of the Company’s Quarterly Report on Form 10-Q filed on September 9, 2015).</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r:id="rId9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30</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4"/>
              </w:rPr>
              <w:t>Executive Employment Agreement between the Company and Richelle E. Burr dated May 21, 2010 (incorporated by reference to Exhibit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10.30 of the Company’s Annual Report on Form 10-K filed on January 7, 2016).</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w:anchor="page7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31</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3"/>
                <w:szCs w:val="13"/>
                <w:color w:val="auto"/>
              </w:rPr>
              <w:t xml:space="preserve">Executive Employment Agreement between the Company and John P. Jordan dated September 5, 2017* </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r:id="rId9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32</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9"/>
              </w:rPr>
              <w:t>Form of Amendment to Executive Employment Agreement dated March 16, 2012 (incorporated by reference to Exhibit 10.1 to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 xml:space="preserve">Company’s Current Report on Form 8-K filed on March 16, 2012).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r:id="rId10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33</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1"/>
              </w:rPr>
              <w:t>Third Amended and Restated Credit Agreement Dated as of December 5, 2013 (incorporated by reference to Exhibit 10.24 to the Company’s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Annual Report on Form 10-K filed on January 3,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r:id="rId10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34</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6"/>
              </w:rPr>
              <w:t>Amendment No. 1 Dated as of August 22, 2014 to the Third Amended and Restated Credit Agreement Dated as of December 5, 2013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(incorporated by reference to Exhibit 10.32 of the Company’s Annual Report on Form 10-K filed on January 6,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r:id="rId10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35</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1"/>
              </w:rPr>
              <w:t>Amendment No. 2 to the Third Amended and Restated Credit Agreement Dated May 15, 2017 (incorporated by reference to Exhibit 10.30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Company’s Quarterly Report on Form 10-Q filed on june 8,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r:id="rId10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36</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3"/>
              </w:rPr>
              <w:t>Second Amended and Restated Security Agreement (incorporated by reference to Exhibit 10.33 of the Company’s Annual Report on Form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10-K filed on January 6,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r:id="rId10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37</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0"/>
              </w:rPr>
              <w:t>Investment Agreement between Xiamen Torch Hi-Tech Industrial Development Zone Management Committee and Photronics Singapore Pte.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Ltd. dated August 18, 2016 (incorporated by reference to Exhibit 10.35 to the Company’s Quarterly Report on Form 10-Q filed on September</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2, 2016).</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r:id="rId10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38</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Contribution Agreement dated May 16, 2017 among Dai Nippon Printing Co., Ltd. (“DNP), DNP Asia Pacific Pte. Ltd. (“DNP Asia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0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Pacific”), Photronics, Inc. (“Photronics”), Photronics Sigapore Pte. Ltd., (“Photronics Sigapore”), and Xiamen American Japan Photronics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Mask Co., Ltd. (“PDMCX”) (incorporated by reference to Exhibit 10.26 to the Company’s Quarterly Report on Form 10-Q/A filed 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December 19, 2017).</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r:id="rId10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39</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1"/>
              </w:rPr>
              <w:t>Joint Venture Operating Agreement dated May 16, 2017 among Photronics, Photronics Singapore, DNP and DNP Asia Pacific (incorporated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by reference to Exhibit 10.27 to the Company’s Quarterly Report on Form 10-Q/A filed on December 19, 2017).</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r:id="rId10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40</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5"/>
              </w:rPr>
              <w:t>Outsourcing Agreement dated May 16, 2017 among Photronics, DNP, Photronics DNP Photomask Corporation (“PDMC”), and PDMCX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(incorporated by reference to Exhibit 10.28 to the Company’s Quarterly Report on Form 10-Q/A filed on December 19, 2017).</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r:id="rId10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41</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1"/>
              </w:rPr>
              <w:t>Amended and Restated License Agreement dated May 16, 2017 between DNP and PDMC (incorporated by reference to Exhibit 10.29 to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40" w:type="dxa"/>
            <w:vAlign w:val="bottom"/>
            <w:tcBorders>
              <w:top w:val="single" w:sz="8" w:color="CCEEFF"/>
            </w:tcBorders>
            <w:shd w:val="clear" w:color="auto" w:fill="CCEEFF"/>
          </w:tcPr>
          <w:p>
            <w:pPr>
              <w:ind w:left="380"/>
              <w:spacing w:after="0" w:line="236" w:lineRule="exact"/>
              <w:rPr>
                <w:sz w:val="20"/>
                <w:szCs w:val="20"/>
                <w:color w:val="auto"/>
              </w:rPr>
            </w:pPr>
            <w:r>
              <w:rPr>
                <w:rFonts w:ascii="Arial" w:cs="Arial" w:eastAsia="Arial" w:hAnsi="Arial"/>
                <w:sz w:val="17"/>
                <w:szCs w:val="17"/>
                <w:color w:val="auto"/>
              </w:rPr>
              <w:t>Company’s Quarterly Report on Form 10-Q/A filed on December 19, 2017).</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w:anchor="page8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42</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3"/>
                <w:szCs w:val="13"/>
                <w:color w:val="auto"/>
              </w:rPr>
              <w:t>Investment Cooperation Agreement between Hefei State Hi-tech Industry Development Zone and Photronics UK, Ltd. *</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60" w:hanging="1152"/>
        <w:spacing w:after="0"/>
        <w:tabs>
          <w:tab w:leader="none" w:pos="1160" w:val="left"/>
        </w:tabs>
        <w:numPr>
          <w:ilvl w:val="0"/>
          <w:numId w:val="11"/>
        </w:numPr>
        <w:rPr>
          <w:rFonts w:ascii="Arial" w:cs="Arial" w:eastAsia="Arial" w:hAnsi="Arial"/>
          <w:sz w:val="18"/>
          <w:szCs w:val="18"/>
          <w:u w:val="single" w:color="auto"/>
          <w:color w:val="0000EE"/>
        </w:rPr>
      </w:pPr>
      <w:r>
        <w:rPr>
          <w:rFonts w:ascii="Arial" w:cs="Arial" w:eastAsia="Arial" w:hAnsi="Arial"/>
          <w:sz w:val="18"/>
          <w:szCs w:val="18"/>
          <w:color w:val="auto"/>
        </w:rPr>
        <w:t>List of 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160" w:hanging="1152"/>
        <w:spacing w:after="0"/>
        <w:tabs>
          <w:tab w:leader="none" w:pos="1160" w:val="left"/>
        </w:tabs>
        <w:numPr>
          <w:ilvl w:val="0"/>
          <w:numId w:val="12"/>
        </w:numPr>
        <w:rPr>
          <w:rFonts w:ascii="Arial" w:cs="Arial" w:eastAsia="Arial" w:hAnsi="Arial"/>
          <w:sz w:val="18"/>
          <w:szCs w:val="18"/>
          <w:u w:val="single" w:color="auto"/>
          <w:color w:val="0000EE"/>
        </w:rPr>
      </w:pPr>
      <w:r>
        <w:rPr>
          <w:rFonts w:ascii="Arial" w:cs="Arial" w:eastAsia="Arial" w:hAnsi="Arial"/>
          <w:sz w:val="18"/>
          <w:szCs w:val="18"/>
          <w:color w:val="auto"/>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00" w:type="dxa"/>
            <w:vAlign w:val="bottom"/>
            <w:gridSpan w:val="2"/>
            <w:shd w:val="clear" w:color="auto" w:fill="CCEEFF"/>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Certification of Chief Executive Officer pursuant to Rule 13a-14(a)/15d-14(a) of the Securities Exchange Act of 1934, as adopted pursuant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Certification of Chief Financial Officer pursuant to Rule 13a-14(a)/15d-14(a) of the Securities Exchange Act of 1934, as adopted pursuant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ectPr>
          <w:pgSz w:w="11900" w:h="16870" w:orient="portrait"/>
          <w:cols w:equalWidth="0" w:num="1">
            <w:col w:w="11420"/>
          </w:cols>
          <w:pgMar w:left="240" w:top="122" w:right="2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52" w:lineRule="exact"/>
        <w:rPr>
          <w:sz w:val="20"/>
          <w:szCs w:val="20"/>
          <w:color w:val="auto"/>
        </w:rPr>
      </w:pPr>
    </w:p>
    <w:p>
      <w:pPr>
        <w:ind w:left="1140" w:hanging="1132"/>
        <w:spacing w:after="0"/>
        <w:tabs>
          <w:tab w:leader="none" w:pos="11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Represents a management contract or compensatory plan or arrangement.</w:t>
      </w:r>
    </w:p>
    <w:p>
      <w:pPr>
        <w:spacing w:after="0" w:line="229" w:lineRule="exact"/>
        <w:rPr>
          <w:sz w:val="20"/>
          <w:szCs w:val="20"/>
          <w:color w:val="auto"/>
        </w:rPr>
      </w:pPr>
    </w:p>
    <w:p>
      <w:pPr>
        <w:ind w:left="1140" w:hanging="1132"/>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request for confidential treatment filed with the Securities and Exchange Commission.</w:t>
      </w:r>
    </w:p>
    <w:p>
      <w:pPr>
        <w:spacing w:after="0" w:line="275" w:lineRule="exact"/>
        <w:rPr>
          <w:sz w:val="20"/>
          <w:szCs w:val="20"/>
          <w:color w:val="auto"/>
        </w:rPr>
      </w:pPr>
    </w:p>
    <w:p>
      <w:pPr>
        <w:ind w:left="1140" w:hanging="113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an exhibit that is filed with this Annual Report on Form 10-K.</w:t>
      </w:r>
    </w:p>
    <w:p>
      <w:pPr>
        <w:spacing w:after="0" w:line="252" w:lineRule="exact"/>
        <w:rPr>
          <w:rFonts w:ascii="Arial" w:cs="Arial" w:eastAsia="Arial" w:hAnsi="Arial"/>
          <w:sz w:val="18"/>
          <w:szCs w:val="18"/>
          <w:color w:val="auto"/>
        </w:rPr>
      </w:pPr>
    </w:p>
    <w:p>
      <w:pPr>
        <w:ind w:left="1140" w:right="240"/>
        <w:spacing w:after="0" w:line="308" w:lineRule="auto"/>
        <w:rPr>
          <w:rFonts w:ascii="Arial" w:cs="Arial" w:eastAsia="Arial" w:hAnsi="Arial"/>
          <w:sz w:val="18"/>
          <w:szCs w:val="18"/>
          <w:color w:val="auto"/>
        </w:rPr>
      </w:pPr>
      <w:r>
        <w:rPr>
          <w:rFonts w:ascii="Arial" w:cs="Arial" w:eastAsia="Arial" w:hAnsi="Arial"/>
          <w:sz w:val="17"/>
          <w:szCs w:val="17"/>
          <w:color w:val="auto"/>
        </w:rPr>
        <w:t>The Company will provide a copy of any exhibit upon receipt of a written request for the particular exhibit or exhibits desired. All requests should be addressed to the Company’s general counsel at the address of the Company’s principal executive offices.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9">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right="892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jc w:val="center"/>
        <w:ind w:right="89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440" w:val="left"/>
          <w:tab w:leader="none" w:pos="5140" w:val="left"/>
        </w:tabs>
        <w:rPr>
          <w:sz w:val="20"/>
          <w:szCs w:val="20"/>
          <w:color w:val="auto"/>
        </w:rPr>
      </w:pPr>
      <w:r>
        <w:rPr>
          <w:rFonts w:ascii="Arial" w:cs="Arial" w:eastAsia="Arial" w:hAnsi="Arial"/>
          <w:sz w:val="18"/>
          <w:szCs w:val="18"/>
          <w:color w:val="auto"/>
        </w:rPr>
        <w:t>By</w:t>
        <w:tab/>
        <w:t>/s/ JOHN P. JORDAN</w:t>
      </w:r>
      <w:r>
        <w:rPr>
          <w:sz w:val="20"/>
          <w:szCs w:val="20"/>
          <w:color w:val="auto"/>
        </w:rPr>
        <w:tab/>
      </w:r>
      <w:r>
        <w:rPr>
          <w:rFonts w:ascii="Arial" w:cs="Arial" w:eastAsia="Arial" w:hAnsi="Arial"/>
          <w:sz w:val="15"/>
          <w:szCs w:val="15"/>
          <w:color w:val="auto"/>
        </w:rPr>
        <w:t>December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615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3">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ind w:left="100" w:right="640" w:firstLine="22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 KIRLIN</w:t>
            </w:r>
          </w:p>
        </w:tc>
        <w:tc>
          <w:tcPr>
            <w:tcW w:w="6840" w:type="dxa"/>
            <w:vAlign w:val="bottom"/>
          </w:tcPr>
          <w:p>
            <w:pPr>
              <w:ind w:left="580"/>
              <w:spacing w:after="0"/>
              <w:rPr>
                <w:sz w:val="20"/>
                <w:szCs w:val="20"/>
                <w:color w:val="auto"/>
              </w:rPr>
            </w:pPr>
            <w:r>
              <w:rPr>
                <w:rFonts w:ascii="Arial" w:cs="Arial" w:eastAsia="Arial" w:hAnsi="Arial"/>
                <w:sz w:val="18"/>
                <w:szCs w:val="18"/>
                <w:color w:val="auto"/>
              </w:rPr>
              <w:t>December 20, 2017</w:t>
            </w:r>
          </w:p>
        </w:tc>
      </w:tr>
      <w:tr>
        <w:trPr>
          <w:trHeight w:val="202"/>
        </w:trPr>
        <w:tc>
          <w:tcPr>
            <w:tcW w:w="46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Peter S. Kirlin</w:t>
            </w:r>
          </w:p>
        </w:tc>
        <w:tc>
          <w:tcPr>
            <w:tcW w:w="684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8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684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6840" w:type="dxa"/>
            <w:vAlign w:val="bottom"/>
          </w:tcPr>
          <w:p>
            <w:pPr>
              <w:spacing w:after="0"/>
              <w:rPr>
                <w:sz w:val="20"/>
                <w:szCs w:val="20"/>
                <w:color w:val="auto"/>
              </w:rPr>
            </w:pPr>
          </w:p>
        </w:tc>
      </w:tr>
      <w:tr>
        <w:trPr>
          <w:trHeight w:val="45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JORDAN</w:t>
            </w:r>
          </w:p>
        </w:tc>
        <w:tc>
          <w:tcPr>
            <w:tcW w:w="6840" w:type="dxa"/>
            <w:vAlign w:val="bottom"/>
          </w:tcPr>
          <w:p>
            <w:pPr>
              <w:ind w:left="580"/>
              <w:spacing w:after="0"/>
              <w:rPr>
                <w:sz w:val="20"/>
                <w:szCs w:val="20"/>
                <w:color w:val="auto"/>
              </w:rPr>
            </w:pPr>
            <w:r>
              <w:rPr>
                <w:rFonts w:ascii="Arial" w:cs="Arial" w:eastAsia="Arial" w:hAnsi="Arial"/>
                <w:sz w:val="18"/>
                <w:szCs w:val="18"/>
                <w:color w:val="auto"/>
              </w:rPr>
              <w:t>December 20, 2017</w:t>
            </w:r>
          </w:p>
        </w:tc>
      </w:tr>
      <w:tr>
        <w:trPr>
          <w:trHeight w:val="202"/>
        </w:trPr>
        <w:tc>
          <w:tcPr>
            <w:tcW w:w="46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John P. Jordan</w:t>
            </w:r>
          </w:p>
        </w:tc>
        <w:tc>
          <w:tcPr>
            <w:tcW w:w="684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Senior Vice President</w:t>
            </w:r>
          </w:p>
        </w:tc>
        <w:tc>
          <w:tcPr>
            <w:tcW w:w="68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8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684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6840" w:type="dxa"/>
            <w:vAlign w:val="bottom"/>
          </w:tcPr>
          <w:p>
            <w:pPr>
              <w:spacing w:after="0"/>
              <w:rPr>
                <w:sz w:val="20"/>
                <w:szCs w:val="20"/>
                <w:color w:val="auto"/>
              </w:rPr>
            </w:pPr>
          </w:p>
        </w:tc>
      </w:tr>
      <w:tr>
        <w:trPr>
          <w:trHeight w:val="45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CONSTANTINE S. MACRICOSTAS</w:t>
            </w:r>
          </w:p>
        </w:tc>
        <w:tc>
          <w:tcPr>
            <w:tcW w:w="6840" w:type="dxa"/>
            <w:vAlign w:val="bottom"/>
          </w:tcPr>
          <w:p>
            <w:pPr>
              <w:ind w:left="580"/>
              <w:spacing w:after="0"/>
              <w:rPr>
                <w:sz w:val="20"/>
                <w:szCs w:val="20"/>
                <w:color w:val="auto"/>
              </w:rPr>
            </w:pPr>
            <w:r>
              <w:rPr>
                <w:rFonts w:ascii="Arial" w:cs="Arial" w:eastAsia="Arial" w:hAnsi="Arial"/>
                <w:sz w:val="18"/>
                <w:szCs w:val="18"/>
                <w:color w:val="auto"/>
              </w:rPr>
              <w:t>December 20, 2017</w:t>
            </w:r>
          </w:p>
        </w:tc>
      </w:tr>
      <w:tr>
        <w:trPr>
          <w:trHeight w:val="202"/>
        </w:trPr>
        <w:tc>
          <w:tcPr>
            <w:tcW w:w="46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Constantine S. Macricostas</w:t>
            </w:r>
          </w:p>
        </w:tc>
        <w:tc>
          <w:tcPr>
            <w:tcW w:w="684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Executive Chairman of the Board</w:t>
            </w:r>
          </w:p>
        </w:tc>
        <w:tc>
          <w:tcPr>
            <w:tcW w:w="6840" w:type="dxa"/>
            <w:vAlign w:val="bottom"/>
          </w:tcPr>
          <w:p>
            <w:pPr>
              <w:spacing w:after="0"/>
              <w:rPr>
                <w:sz w:val="20"/>
                <w:szCs w:val="20"/>
                <w:color w:val="auto"/>
              </w:rPr>
            </w:pPr>
          </w:p>
        </w:tc>
      </w:tr>
      <w:tr>
        <w:trPr>
          <w:trHeight w:val="45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M. FIEDEROWICZ</w:t>
            </w:r>
          </w:p>
        </w:tc>
        <w:tc>
          <w:tcPr>
            <w:tcW w:w="6840" w:type="dxa"/>
            <w:vAlign w:val="bottom"/>
          </w:tcPr>
          <w:p>
            <w:pPr>
              <w:ind w:left="580"/>
              <w:spacing w:after="0"/>
              <w:rPr>
                <w:sz w:val="20"/>
                <w:szCs w:val="20"/>
                <w:color w:val="auto"/>
              </w:rPr>
            </w:pPr>
            <w:r>
              <w:rPr>
                <w:rFonts w:ascii="Arial" w:cs="Arial" w:eastAsia="Arial" w:hAnsi="Arial"/>
                <w:sz w:val="18"/>
                <w:szCs w:val="18"/>
                <w:color w:val="auto"/>
              </w:rPr>
              <w:t>December 20, 2017</w:t>
            </w:r>
          </w:p>
        </w:tc>
      </w:tr>
      <w:tr>
        <w:trPr>
          <w:trHeight w:val="202"/>
        </w:trPr>
        <w:tc>
          <w:tcPr>
            <w:tcW w:w="46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Walter M. Fiederowicz</w:t>
            </w:r>
          </w:p>
        </w:tc>
        <w:tc>
          <w:tcPr>
            <w:tcW w:w="684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6840" w:type="dxa"/>
            <w:vAlign w:val="bottom"/>
          </w:tcPr>
          <w:p>
            <w:pPr>
              <w:spacing w:after="0"/>
              <w:rPr>
                <w:sz w:val="20"/>
                <w:szCs w:val="20"/>
                <w:color w:val="auto"/>
              </w:rPr>
            </w:pPr>
          </w:p>
        </w:tc>
      </w:tr>
      <w:tr>
        <w:trPr>
          <w:trHeight w:val="45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A. FIORITA, JR.</w:t>
            </w:r>
          </w:p>
        </w:tc>
        <w:tc>
          <w:tcPr>
            <w:tcW w:w="6840" w:type="dxa"/>
            <w:vAlign w:val="bottom"/>
          </w:tcPr>
          <w:p>
            <w:pPr>
              <w:ind w:left="580"/>
              <w:spacing w:after="0"/>
              <w:rPr>
                <w:sz w:val="20"/>
                <w:szCs w:val="20"/>
                <w:color w:val="auto"/>
              </w:rPr>
            </w:pPr>
            <w:r>
              <w:rPr>
                <w:rFonts w:ascii="Arial" w:cs="Arial" w:eastAsia="Arial" w:hAnsi="Arial"/>
                <w:sz w:val="18"/>
                <w:szCs w:val="18"/>
                <w:color w:val="auto"/>
              </w:rPr>
              <w:t>December 20, 2017</w:t>
            </w:r>
          </w:p>
        </w:tc>
      </w:tr>
      <w:tr>
        <w:trPr>
          <w:trHeight w:val="202"/>
        </w:trPr>
        <w:tc>
          <w:tcPr>
            <w:tcW w:w="46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Joseph A. Fiorita, Jr.</w:t>
            </w:r>
          </w:p>
        </w:tc>
        <w:tc>
          <w:tcPr>
            <w:tcW w:w="684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6840" w:type="dxa"/>
            <w:vAlign w:val="bottom"/>
          </w:tcPr>
          <w:p>
            <w:pPr>
              <w:spacing w:after="0"/>
              <w:rPr>
                <w:sz w:val="20"/>
                <w:szCs w:val="20"/>
                <w:color w:val="auto"/>
              </w:rPr>
            </w:pPr>
          </w:p>
        </w:tc>
      </w:tr>
      <w:tr>
        <w:trPr>
          <w:trHeight w:val="45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LIANG-CHOO HSIA</w:t>
            </w:r>
          </w:p>
        </w:tc>
        <w:tc>
          <w:tcPr>
            <w:tcW w:w="6840" w:type="dxa"/>
            <w:vAlign w:val="bottom"/>
          </w:tcPr>
          <w:p>
            <w:pPr>
              <w:ind w:left="580"/>
              <w:spacing w:after="0"/>
              <w:rPr>
                <w:sz w:val="20"/>
                <w:szCs w:val="20"/>
                <w:color w:val="auto"/>
              </w:rPr>
            </w:pPr>
            <w:r>
              <w:rPr>
                <w:rFonts w:ascii="Arial" w:cs="Arial" w:eastAsia="Arial" w:hAnsi="Arial"/>
                <w:sz w:val="18"/>
                <w:szCs w:val="18"/>
                <w:color w:val="auto"/>
              </w:rPr>
              <w:t>December 20, 2017</w:t>
            </w:r>
          </w:p>
        </w:tc>
      </w:tr>
      <w:tr>
        <w:trPr>
          <w:trHeight w:val="202"/>
        </w:trPr>
        <w:tc>
          <w:tcPr>
            <w:tcW w:w="46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Liang-Choo Hsia</w:t>
            </w:r>
          </w:p>
        </w:tc>
        <w:tc>
          <w:tcPr>
            <w:tcW w:w="684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6840" w:type="dxa"/>
            <w:vAlign w:val="bottom"/>
          </w:tcPr>
          <w:p>
            <w:pPr>
              <w:spacing w:after="0"/>
              <w:rPr>
                <w:sz w:val="20"/>
                <w:szCs w:val="20"/>
                <w:color w:val="auto"/>
              </w:rPr>
            </w:pPr>
          </w:p>
        </w:tc>
      </w:tr>
      <w:tr>
        <w:trPr>
          <w:trHeight w:val="45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MACRICOSTAS</w:t>
            </w:r>
          </w:p>
        </w:tc>
        <w:tc>
          <w:tcPr>
            <w:tcW w:w="6840" w:type="dxa"/>
            <w:vAlign w:val="bottom"/>
          </w:tcPr>
          <w:p>
            <w:pPr>
              <w:ind w:left="580"/>
              <w:spacing w:after="0"/>
              <w:rPr>
                <w:sz w:val="20"/>
                <w:szCs w:val="20"/>
                <w:color w:val="auto"/>
              </w:rPr>
            </w:pPr>
            <w:r>
              <w:rPr>
                <w:rFonts w:ascii="Arial" w:cs="Arial" w:eastAsia="Arial" w:hAnsi="Arial"/>
                <w:sz w:val="18"/>
                <w:szCs w:val="18"/>
                <w:color w:val="auto"/>
              </w:rPr>
              <w:t>December 20, 2017</w:t>
            </w:r>
          </w:p>
        </w:tc>
      </w:tr>
      <w:tr>
        <w:trPr>
          <w:trHeight w:val="202"/>
        </w:trPr>
        <w:tc>
          <w:tcPr>
            <w:tcW w:w="46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George Macricostas</w:t>
            </w:r>
          </w:p>
        </w:tc>
        <w:tc>
          <w:tcPr>
            <w:tcW w:w="684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6840" w:type="dxa"/>
            <w:vAlign w:val="bottom"/>
          </w:tcPr>
          <w:p>
            <w:pPr>
              <w:spacing w:after="0"/>
              <w:rPr>
                <w:sz w:val="20"/>
                <w:szCs w:val="20"/>
                <w:color w:val="auto"/>
              </w:rPr>
            </w:pPr>
          </w:p>
        </w:tc>
      </w:tr>
      <w:tr>
        <w:trPr>
          <w:trHeight w:val="45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 TYSON</w:t>
            </w:r>
          </w:p>
        </w:tc>
        <w:tc>
          <w:tcPr>
            <w:tcW w:w="6840" w:type="dxa"/>
            <w:vAlign w:val="bottom"/>
          </w:tcPr>
          <w:p>
            <w:pPr>
              <w:ind w:left="580"/>
              <w:spacing w:after="0"/>
              <w:rPr>
                <w:sz w:val="20"/>
                <w:szCs w:val="20"/>
                <w:color w:val="auto"/>
              </w:rPr>
            </w:pPr>
            <w:r>
              <w:rPr>
                <w:rFonts w:ascii="Arial" w:cs="Arial" w:eastAsia="Arial" w:hAnsi="Arial"/>
                <w:sz w:val="18"/>
                <w:szCs w:val="18"/>
                <w:color w:val="auto"/>
              </w:rPr>
              <w:t>December 20, 2017</w:t>
            </w:r>
          </w:p>
        </w:tc>
      </w:tr>
      <w:tr>
        <w:trPr>
          <w:trHeight w:val="202"/>
        </w:trPr>
        <w:tc>
          <w:tcPr>
            <w:tcW w:w="46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Mitchell G. Tyson</w:t>
            </w:r>
          </w:p>
        </w:tc>
        <w:tc>
          <w:tcPr>
            <w:tcW w:w="684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6840" w:type="dxa"/>
            <w:vAlign w:val="bottom"/>
          </w:tcPr>
          <w:p>
            <w:pPr>
              <w:spacing w:after="0"/>
              <w:rPr>
                <w:sz w:val="20"/>
                <w:szCs w:val="20"/>
                <w:color w:val="auto"/>
              </w:rPr>
            </w:pPr>
          </w:p>
        </w:tc>
      </w:tr>
      <w:tr>
        <w:trPr>
          <w:trHeight w:val="650"/>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840" w:type="dxa"/>
            <w:vAlign w:val="bottom"/>
          </w:tcPr>
          <w:p>
            <w:pPr>
              <w:ind w:left="1060"/>
              <w:spacing w:after="0"/>
              <w:rPr>
                <w:sz w:val="20"/>
                <w:szCs w:val="20"/>
                <w:color w:val="auto"/>
              </w:rPr>
            </w:pPr>
            <w:r>
              <w:rPr>
                <w:rFonts w:ascii="Arial" w:cs="Arial" w:eastAsia="Arial" w:hAnsi="Arial"/>
                <w:sz w:val="14"/>
                <w:szCs w:val="14"/>
                <w:color w:val="auto"/>
              </w:rPr>
              <w:t>63</w:t>
            </w:r>
          </w:p>
        </w:tc>
      </w:tr>
      <w:tr>
        <w:trPr>
          <w:trHeight w:val="100"/>
        </w:trPr>
        <w:tc>
          <w:tcPr>
            <w:tcW w:w="46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684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2"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General</w:t>
      </w:r>
    </w:p>
    <w:p>
      <w:pPr>
        <w:spacing w:after="0" w:line="25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purpose of Photronics, Inc. Employee Stock Purchase Plan is to provide eligible employees of the Company and its designated subsidiaries (if any) with an opportunity to acquire a proprietary interest in the Company by the purchase of shares of the Common Stock of the Company directly from the Company through payroll deductions. It is felt that employee participation in the ownership of the Company will be to the mutual benefit of both the employees and the Company.</w:t>
      </w:r>
    </w:p>
    <w:p>
      <w:pPr>
        <w:spacing w:after="0" w:line="214"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Plan is intended to qualify as an “employee stock purchase plan” within the meaning of Section 423 of the Internal Revenue Code of 1986, as amended (the “Code”). The provisions of the Plan shall, accordingly, be construed so as to extend and/or limit eligibility and participation in a manner consistent, and so as to otherwise comply, with the requirements of the Code.</w:t>
      </w:r>
    </w:p>
    <w:p>
      <w:pPr>
        <w:spacing w:after="0" w:line="208"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Eligibility and participation in the Plan shall give any Employee only such rights as are set forth in the Plan and any amendments hereto and shall in no way affect or in any manner limit the Company’s right to discharge the Employee, which right is expressly reserved by the Company, or impair the authority of the Plan Committee to limit the employee's rights, claims or causes, as provided in the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 Definitions</w:t>
      </w:r>
    </w:p>
    <w:p>
      <w:pPr>
        <w:spacing w:after="0" w:line="25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following words and phrases, when used in the Plan, shall have the following respective meanings, unless the context clearly indicates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Leave of Absence”</w:t>
      </w:r>
    </w:p>
    <w:p>
      <w:pPr>
        <w:spacing w:after="0" w:line="2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Any leave of absence authorized under the Company’s standard personnel practices, provided that all persons under similar circumstances must be treated equally in the granting of such Authorized Leave of Absence and provided further that the person returns to the employ of the Company upon the expiration of an Authorized Leave of Absence.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of Photronics,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Internal Revenue Code of 1986, as amended from time to time, and applicable Treasury Department regulations issued thereunder.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Common Stock, par value $0.01 per share, of the Company, or the securities adjusted or substituted therefor pursuant to Article XIV.</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Photronics, Inc., a Connecticut corporation, or its successor or successors or any present or future subsidiary of Photronics, Inc., which may be designated to participate in the Plan by the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7"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The total of all cash amounts paid to an Eligible Employee by the Company for services, including wages and salaries, overtime compensation, commissions and bonuses, as reported in the Eligible Employee’s Federal Income Tax Withholding Statement (Form W-2) furnished to the Employee by the Company (or any similar or successor form promulgated for such purpose) for the calendar year preceding any Offering Date, but excluding any reimbursement for expenses, sick pay, amounts contributed by the Company for any group insurance or like benefit plan, any amounts contributed by the Company to any profit sharing, retirement or pension or similar plan or paid to or on behalf of an Eligible Employee hereunder, and all other forms of extraordinary remuneration paid to or on behalf of such Eligible Employee.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“Disability”</w:t>
      </w:r>
    </w:p>
    <w:p>
      <w:pPr>
        <w:spacing w:after="0" w:line="2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Disability shall have the same meaning set forth in section 22(e) (3) of the Code or any successor provision thereto. At present, a disability is defined as a physical or mental impairment or incapacity which, in the opinion of a physician selected by the Plan Committee, can be expected to result in death or has lasted or can be expected to last for a continuous period of at least twelve (12) months and renders the Participant unable to engage in any substantial, gainful activity.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of the Plan”</w:t>
      </w:r>
    </w:p>
    <w:p>
      <w:pPr>
        <w:spacing w:after="0" w:line="2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date on which the Plan shall have become effective pursuant to Article XVII, provided, however, that if the Plan shall not be approved by the stockholders of the Company as provided in Article XVII, the Plan and all rights granted hereunder shall be, and be deemed to have been, null and void.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Employee”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Employee who is eligible to participate in the Plan in accordance with provisions of Articles IV and V.</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7"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Any person who, on an Offering Date, is a common law employee of the Company and whose customary employment is for more than twenty (20) hours per week and for more than five (5) months per calendar year, other than officers of the Company and all other highly compensated employees (within the meaning of section 414[q] of the Code or any successor provision thereto) of the Company who are excluded from participation hereunder by action of the Board of Directors. A person who is or has been on an Authorized Leave of Absence, and who in the absence of such Authorized Leave of Absence would have been classified as an Employee, shall in the discretion of the Plan Committee be considered to be an Employee, except to the extent that such determination is inconsistent with Section 423 of the Code. Such determination by the Plan Committee shall be final and conclusive.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“Offering”</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Offering in accordance with the provisions of Article V.</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Date”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date of an Offering as established by the Plan Committee pursuant to section 5.1 hereof.</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Eligible Employee who subscribes for Shares pursuant to Article VI.</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Photronics, Inc. Employee Stock Purchase Plan set forth herein, as amended from time to time in accordance with the provisions of Article XV.</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Committee”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provided for in Article XII to administer the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Date”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Purchase Date as provided in Sections 8.1 or 10.3, as appropriate.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of Common Stock offered under the Plan.</w:t>
      </w:r>
    </w:p>
    <w:p>
      <w:pPr>
        <w:spacing w:after="0" w:line="23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The masculine gender, whenever used in the Plan, shall be deemed to include the feminine gender, and whenever the plural is used it shall include the singular, if the context so requires.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 Shares Subject to the Plan</w:t>
      </w:r>
    </w:p>
    <w:p>
      <w:pPr>
        <w:spacing w:after="0" w:line="256"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the provisions of Article XIV hereof, the aggregate number of shares of Common Stock which may be issued under the Plan shall not exceed 200,000. The aggregate number of such shares which may be issued with respect to any Offering shall be determined by the Plan Committee with respect to such Offering. Such shares may be authorized but unissued shares of Common Stock or issued shares of Common Stock which are held by the Company. Any shares subscribed for under the Plan and not purchased as a result of the cancellation in whole or in part of such subscription shall (unless the Plan shall have terminated) be again available for issuance under the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 Eligibility</w:t>
      </w:r>
    </w:p>
    <w:p>
      <w:pPr>
        <w:spacing w:after="0" w:line="25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Each Employee who has been continuously employed by the Company for the six complete calendar months ending immediately prior to an Offering Date shall be eligible to participate in the Offering under the Plan made on such Offering Date.</w:t>
      </w:r>
    </w:p>
    <w:p>
      <w:pPr>
        <w:spacing w:after="0" w:line="197"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Notwithstanding the provisions of section 4.1, no Employee shall be offered Shares if, immediately after he would subscribe for such Shares, such Employee would own capital stock (including shares of Common Stock which may be purchased under such subscription and under any other outstanding subscriptions under the Plan or options to purchase shares of Common Stock of the Company held by such Employee, as computed in accordance with Section 423[b][3] of the Code or any successor provision thereto) possessing 5% or more of the total combined voting power or value of all classes of stock of the Company. For purposes of determining the stock ownership of any Employee, the provisions of section 424[d] of the Code shall apply.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340" w:type="dxa"/>
            <w:vAlign w:val="bottom"/>
          </w:tcPr>
          <w:p>
            <w:pPr>
              <w:jc w:val="right"/>
              <w:ind w:right="4111"/>
              <w:spacing w:after="0"/>
              <w:rPr>
                <w:sz w:val="20"/>
                <w:szCs w:val="20"/>
                <w:color w:val="auto"/>
              </w:rPr>
            </w:pPr>
            <w:r>
              <w:rPr>
                <w:rFonts w:ascii="Arial" w:cs="Arial" w:eastAsia="Arial" w:hAnsi="Arial"/>
                <w:sz w:val="18"/>
                <w:szCs w:val="18"/>
                <w:b w:val="1"/>
                <w:bCs w:val="1"/>
                <w:color w:val="auto"/>
              </w:rPr>
              <w:t>ARTICLE V - Offering Under the Plan</w:t>
            </w:r>
          </w:p>
        </w:tc>
      </w:tr>
      <w:tr>
        <w:trPr>
          <w:trHeight w:val="445"/>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5.1</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4"/>
              </w:rPr>
              <w:t>Offerings under the Plan shall be made on such Offering Dates as shall be determined by the Plan Committee. Notwithstanding anything to the</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2"/>
              </w:rPr>
              <w:t>contrary, no Offering shall be made on any date prior to the date that a required registration statement with respect to such Offering filed under the</w:t>
            </w:r>
          </w:p>
        </w:tc>
      </w:tr>
      <w:tr>
        <w:trPr>
          <w:trHeight w:val="230"/>
        </w:trPr>
        <w:tc>
          <w:tcPr>
            <w:tcW w:w="440" w:type="dxa"/>
            <w:vAlign w:val="bottom"/>
          </w:tcPr>
          <w:p>
            <w:pPr>
              <w:spacing w:after="0"/>
              <w:rPr>
                <w:sz w:val="20"/>
                <w:szCs w:val="20"/>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89"/>
              </w:rPr>
              <w:t>Securities Act of 1933, as amended, has become effective. Nothing contained herein shall be deemed to require that an Offering be made in any year.</w:t>
            </w:r>
          </w:p>
        </w:tc>
      </w:tr>
      <w:tr>
        <w:trPr>
          <w:trHeight w:val="445"/>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5.2</w:t>
            </w:r>
          </w:p>
        </w:tc>
        <w:tc>
          <w:tcPr>
            <w:tcW w:w="640" w:type="dxa"/>
            <w:vAlign w:val="bottom"/>
          </w:tcPr>
          <w:p>
            <w:pPr>
              <w:ind w:left="240"/>
              <w:spacing w:after="0"/>
              <w:rPr>
                <w:sz w:val="20"/>
                <w:szCs w:val="20"/>
                <w:color w:val="auto"/>
              </w:rPr>
            </w:pPr>
            <w:r>
              <w:rPr>
                <w:rFonts w:ascii="Arial" w:cs="Arial" w:eastAsia="Arial" w:hAnsi="Arial"/>
                <w:sz w:val="18"/>
                <w:szCs w:val="18"/>
                <w:color w:val="auto"/>
              </w:rPr>
              <w:t>[a]</w:t>
            </w:r>
          </w:p>
        </w:tc>
        <w:tc>
          <w:tcPr>
            <w:tcW w:w="10340" w:type="dxa"/>
            <w:vAlign w:val="bottom"/>
          </w:tcPr>
          <w:p>
            <w:pPr>
              <w:jc w:val="right"/>
              <w:spacing w:after="0"/>
              <w:rPr>
                <w:sz w:val="20"/>
                <w:szCs w:val="20"/>
                <w:color w:val="auto"/>
              </w:rPr>
            </w:pPr>
            <w:r>
              <w:rPr>
                <w:rFonts w:ascii="Arial" w:cs="Arial" w:eastAsia="Arial" w:hAnsi="Arial"/>
                <w:sz w:val="18"/>
                <w:szCs w:val="18"/>
                <w:color w:val="auto"/>
                <w:w w:val="95"/>
              </w:rPr>
              <w:t>Subject to the limitations set forth in Sections 5.2[b] and 6.3, and to the other terms and conditions of the Plan, in each offering under the</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40" w:type="dxa"/>
            <w:vAlign w:val="bottom"/>
          </w:tcPr>
          <w:p>
            <w:pPr>
              <w:jc w:val="right"/>
              <w:spacing w:after="0"/>
              <w:rPr>
                <w:sz w:val="20"/>
                <w:szCs w:val="20"/>
                <w:color w:val="auto"/>
              </w:rPr>
            </w:pPr>
            <w:r>
              <w:rPr>
                <w:rFonts w:ascii="Arial" w:cs="Arial" w:eastAsia="Arial" w:hAnsi="Arial"/>
                <w:sz w:val="18"/>
                <w:szCs w:val="18"/>
                <w:color w:val="auto"/>
                <w:w w:val="96"/>
              </w:rPr>
              <w:t>Plan, each Eligible Employee on an Offering Date shall be offered the right during the Subscription Period as provided in section 6.2, to</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40" w:type="dxa"/>
            <w:vAlign w:val="bottom"/>
          </w:tcPr>
          <w:p>
            <w:pPr>
              <w:jc w:val="right"/>
              <w:spacing w:after="0"/>
              <w:rPr>
                <w:sz w:val="20"/>
                <w:szCs w:val="20"/>
                <w:color w:val="auto"/>
              </w:rPr>
            </w:pPr>
            <w:r>
              <w:rPr>
                <w:rFonts w:ascii="Arial" w:cs="Arial" w:eastAsia="Arial" w:hAnsi="Arial"/>
                <w:sz w:val="18"/>
                <w:szCs w:val="18"/>
                <w:color w:val="auto"/>
                <w:w w:val="93"/>
              </w:rPr>
              <w:t>subscribe to purchase such number of Shares as the percentage designated by the Plan Committee for such offering (not to exceed 5%) of</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40" w:type="dxa"/>
            <w:vAlign w:val="bottom"/>
          </w:tcPr>
          <w:p>
            <w:pPr>
              <w:jc w:val="right"/>
              <w:spacing w:after="0"/>
              <w:rPr>
                <w:sz w:val="20"/>
                <w:szCs w:val="20"/>
                <w:color w:val="auto"/>
              </w:rPr>
            </w:pPr>
            <w:r>
              <w:rPr>
                <w:rFonts w:ascii="Arial" w:cs="Arial" w:eastAsia="Arial" w:hAnsi="Arial"/>
                <w:sz w:val="18"/>
                <w:szCs w:val="18"/>
                <w:color w:val="auto"/>
                <w:w w:val="95"/>
              </w:rPr>
              <w:t>his compensation would buy, at a price equal to the product of (i) the fair market value of a Share on the Offering Date, multiplied by (ii)</w:t>
            </w:r>
          </w:p>
        </w:tc>
      </w:tr>
      <w:tr>
        <w:trPr>
          <w:trHeight w:val="230"/>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340" w:type="dxa"/>
            <w:vAlign w:val="bottom"/>
          </w:tcPr>
          <w:p>
            <w:pPr>
              <w:jc w:val="right"/>
              <w:ind w:right="5391"/>
              <w:spacing w:after="0"/>
              <w:rPr>
                <w:sz w:val="20"/>
                <w:szCs w:val="20"/>
                <w:color w:val="auto"/>
              </w:rPr>
            </w:pPr>
            <w:r>
              <w:rPr>
                <w:rFonts w:ascii="Arial" w:cs="Arial" w:eastAsia="Arial" w:hAnsi="Arial"/>
                <w:sz w:val="18"/>
                <w:szCs w:val="18"/>
                <w:color w:val="auto"/>
                <w:w w:val="93"/>
              </w:rPr>
              <w:t>the Purchase Price percentage utilized under Section 5.3 hereof.</w:t>
            </w:r>
          </w:p>
        </w:tc>
      </w:tr>
      <w:tr>
        <w:trPr>
          <w:trHeight w:val="445"/>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[b]</w:t>
            </w:r>
          </w:p>
        </w:tc>
        <w:tc>
          <w:tcPr>
            <w:tcW w:w="10340" w:type="dxa"/>
            <w:vAlign w:val="bottom"/>
          </w:tcPr>
          <w:p>
            <w:pPr>
              <w:jc w:val="right"/>
              <w:spacing w:after="0"/>
              <w:rPr>
                <w:sz w:val="20"/>
                <w:szCs w:val="20"/>
                <w:color w:val="auto"/>
              </w:rPr>
            </w:pPr>
            <w:r>
              <w:rPr>
                <w:rFonts w:ascii="Arial" w:cs="Arial" w:eastAsia="Arial" w:hAnsi="Arial"/>
                <w:sz w:val="18"/>
                <w:szCs w:val="18"/>
                <w:color w:val="auto"/>
              </w:rPr>
              <w:t>Notwithstanding anything to the contrary contained in Sub-Section [a] of this section 5.2, no Eligible Employee shall be eligible to</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40" w:type="dxa"/>
            <w:vAlign w:val="bottom"/>
          </w:tcPr>
          <w:p>
            <w:pPr>
              <w:jc w:val="right"/>
              <w:spacing w:after="0"/>
              <w:rPr>
                <w:sz w:val="20"/>
                <w:szCs w:val="20"/>
                <w:color w:val="auto"/>
              </w:rPr>
            </w:pPr>
            <w:r>
              <w:rPr>
                <w:rFonts w:ascii="Arial" w:cs="Arial" w:eastAsia="Arial" w:hAnsi="Arial"/>
                <w:sz w:val="18"/>
                <w:szCs w:val="18"/>
                <w:color w:val="auto"/>
                <w:w w:val="95"/>
              </w:rPr>
              <w:t>subscribe for Shares in an offering if, immediately after he would subscribe for such Shares, such subscription would permit his rights to</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40" w:type="dxa"/>
            <w:vAlign w:val="bottom"/>
          </w:tcPr>
          <w:p>
            <w:pPr>
              <w:jc w:val="right"/>
              <w:spacing w:after="0"/>
              <w:rPr>
                <w:sz w:val="20"/>
                <w:szCs w:val="20"/>
                <w:color w:val="auto"/>
              </w:rPr>
            </w:pPr>
            <w:r>
              <w:rPr>
                <w:rFonts w:ascii="Arial" w:cs="Arial" w:eastAsia="Arial" w:hAnsi="Arial"/>
                <w:sz w:val="18"/>
                <w:szCs w:val="18"/>
                <w:color w:val="auto"/>
                <w:w w:val="92"/>
              </w:rPr>
              <w:t>purchase shares of Common Stock under all employee stock purchase plans of the Company to accrue at a rate which exceeds $25,000 (or</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40" w:type="dxa"/>
            <w:vAlign w:val="bottom"/>
          </w:tcPr>
          <w:p>
            <w:pPr>
              <w:jc w:val="right"/>
              <w:spacing w:after="0"/>
              <w:rPr>
                <w:sz w:val="20"/>
                <w:szCs w:val="20"/>
                <w:color w:val="auto"/>
              </w:rPr>
            </w:pPr>
            <w:r>
              <w:rPr>
                <w:rFonts w:ascii="Arial" w:cs="Arial" w:eastAsia="Arial" w:hAnsi="Arial"/>
                <w:sz w:val="18"/>
                <w:szCs w:val="18"/>
                <w:color w:val="auto"/>
                <w:w w:val="93"/>
              </w:rPr>
              <w:t>such other maximum amounts as may be prescribed from time to time under the Code) of the fair market value of such shares (determined</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40" w:type="dxa"/>
            <w:vAlign w:val="bottom"/>
          </w:tcPr>
          <w:p>
            <w:pPr>
              <w:jc w:val="right"/>
              <w:spacing w:after="0"/>
              <w:rPr>
                <w:sz w:val="20"/>
                <w:szCs w:val="20"/>
                <w:color w:val="auto"/>
              </w:rPr>
            </w:pPr>
            <w:r>
              <w:rPr>
                <w:rFonts w:ascii="Arial" w:cs="Arial" w:eastAsia="Arial" w:hAnsi="Arial"/>
                <w:sz w:val="18"/>
                <w:szCs w:val="18"/>
                <w:color w:val="auto"/>
                <w:w w:val="93"/>
              </w:rPr>
              <w:t>as of the Offering Date for such Offering) for each calendar year in which such subscription would be outstanding at any time. For purposes</w:t>
            </w:r>
          </w:p>
        </w:tc>
      </w:tr>
      <w:tr>
        <w:trPr>
          <w:trHeight w:val="230"/>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340" w:type="dxa"/>
            <w:vAlign w:val="bottom"/>
          </w:tcPr>
          <w:p>
            <w:pPr>
              <w:jc w:val="right"/>
              <w:ind w:right="3891"/>
              <w:spacing w:after="0"/>
              <w:rPr>
                <w:sz w:val="20"/>
                <w:szCs w:val="20"/>
                <w:color w:val="auto"/>
              </w:rPr>
            </w:pPr>
            <w:r>
              <w:rPr>
                <w:rFonts w:ascii="Arial" w:cs="Arial" w:eastAsia="Arial" w:hAnsi="Arial"/>
                <w:sz w:val="18"/>
                <w:szCs w:val="18"/>
                <w:color w:val="auto"/>
                <w:w w:val="95"/>
              </w:rPr>
              <w:t>of this limitation the provisions of section 423 [b] [8] of the Code shall be applicable.</w:t>
            </w:r>
          </w:p>
        </w:tc>
      </w:tr>
      <w:tr>
        <w:trPr>
          <w:trHeight w:val="445"/>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5.3</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0"/>
              </w:rPr>
              <w:t>The Purchase Price per share subscribed for all Shares in a particular Offering shall be an amount equal to such percentages, not greater than 100%</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3"/>
              </w:rPr>
              <w:t>nor less than 85%, as shall be determined by the Plan Committee on or prior to the Offering Date, of the fair market value of a share of Common</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2"/>
              </w:rPr>
              <w:t>Stock (determined in accordance with the provisions of Article XIII) on one of the following dates with respect to such Offering, with such date to be</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5"/>
              </w:rPr>
              <w:t>determined by the Plan Committee on or prior to the Offering Date: (i) the Offering Date, (ii) the Purchase Date, or (iii) the Offering Date or the</w:t>
            </w:r>
          </w:p>
        </w:tc>
      </w:tr>
      <w:tr>
        <w:trPr>
          <w:trHeight w:val="230"/>
        </w:trPr>
        <w:tc>
          <w:tcPr>
            <w:tcW w:w="440" w:type="dxa"/>
            <w:vAlign w:val="bottom"/>
          </w:tcPr>
          <w:p>
            <w:pPr>
              <w:spacing w:after="0"/>
              <w:rPr>
                <w:sz w:val="20"/>
                <w:szCs w:val="20"/>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rPr>
              <w:t>Purchase Date (whichever would result in a lower Purchase Price for the Common Stock).</w:t>
            </w:r>
          </w:p>
        </w:tc>
      </w:tr>
      <w:tr>
        <w:trPr>
          <w:trHeight w:val="445"/>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5.4</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5"/>
              </w:rPr>
              <w:t>In order to participate in any Offering, an Eligible Employee entitled to subscribe for Shares in such Offering shall comply with the subscription</w:t>
            </w:r>
          </w:p>
        </w:tc>
      </w:tr>
      <w:tr>
        <w:trPr>
          <w:trHeight w:val="230"/>
        </w:trPr>
        <w:tc>
          <w:tcPr>
            <w:tcW w:w="440" w:type="dxa"/>
            <w:vAlign w:val="bottom"/>
          </w:tcPr>
          <w:p>
            <w:pPr>
              <w:spacing w:after="0"/>
              <w:rPr>
                <w:sz w:val="20"/>
                <w:szCs w:val="20"/>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rPr>
              <w:t>procedures set forth in Article VI.</w:t>
            </w:r>
          </w:p>
        </w:tc>
      </w:tr>
      <w:tr>
        <w:trPr>
          <w:trHeight w:val="582"/>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340" w:type="dxa"/>
            <w:vAlign w:val="bottom"/>
          </w:tcPr>
          <w:p>
            <w:pPr>
              <w:jc w:val="right"/>
              <w:ind w:right="5591"/>
              <w:spacing w:after="0"/>
              <w:rPr>
                <w:sz w:val="20"/>
                <w:szCs w:val="20"/>
                <w:color w:val="auto"/>
              </w:rPr>
            </w:pPr>
            <w:r>
              <w:rPr>
                <w:rFonts w:ascii="Arial" w:cs="Arial" w:eastAsia="Arial" w:hAnsi="Arial"/>
                <w:sz w:val="14"/>
                <w:szCs w:val="14"/>
                <w:color w:val="auto"/>
              </w:rPr>
              <w:t>4</w:t>
            </w:r>
          </w:p>
        </w:tc>
      </w:tr>
      <w:tr>
        <w:trPr>
          <w:trHeight w:val="46"/>
        </w:trPr>
        <w:tc>
          <w:tcPr>
            <w:tcW w:w="4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3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ARTICLE VI - Subscriptions for Shares</w:t>
      </w:r>
    </w:p>
    <w:p>
      <w:pPr>
        <w:spacing w:after="0" w:line="25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As soon as practicable after an Offering Date, the Company shall furnish to each Eligible Employee a Subscription Agreement setting forth the maximum number of Shares to which such Eligible Employee may subscribe in such Offering, the fair market value per share of Common Stock on the Offering Date, the Purchase Price for Shares in such Offering and such other terms and conditions consistent with the Plan as shall be determined by the Plan Committee.</w:t>
      </w:r>
    </w:p>
    <w:p>
      <w:pPr>
        <w:spacing w:after="0" w:line="214"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Within fifteen (15) days after receipt of such Subscription Agreement, an Eligible Employee desiring to participate in the Offering shall notify the Plan Committee of the number of Shares for which he desires to subscribe. Such notification shall be effected by the Eligible Employee’s completing, executing and returning to the Secretary of the Company the Subscription Agreement. All such subscriptions shall be deemed to have been made as of the Offering Date. No subscription shall be accepted from any person who is not an Eligible Employee on the date his subscription is received by the Company.</w:t>
      </w:r>
    </w:p>
    <w:p>
      <w:pPr>
        <w:spacing w:after="0" w:line="21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The minimum number of Shares for which an Eligible Employee will be permitted to subscribe in any Offering is ten (10) (or the number of Shares offered to him if fewer than ten). If at any time the Shares available for an Offering are oversubscribed, the Number of Shares for which each Eligible Employee is entitled to subscribe pursuant to section 5.2 shall be reduced, pro rata, to such lower number as may be necessary to eliminate such over-subscription.</w:t>
      </w:r>
    </w:p>
    <w:p>
      <w:pPr>
        <w:spacing w:after="0" w:line="21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If an Eligible Employee fails to subscribe to the Shares within the period and in the manner prescribed in section 6.2, he shall waive all rights to purchase Shares in that Offering.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 Payment for Shares</w:t>
      </w:r>
    </w:p>
    <w:p>
      <w:pPr>
        <w:spacing w:after="0" w:line="256"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aggregate Purchase Price for the Shares for which a Participant subscribes in any Offering in accordance with the provisions of Article VI of the Plan shall be paid by means of payroll deductions.</w:t>
      </w:r>
    </w:p>
    <w:p>
      <w:pPr>
        <w:spacing w:after="0" w:line="197" w:lineRule="exact"/>
        <w:rPr>
          <w:sz w:val="20"/>
          <w:szCs w:val="20"/>
          <w:color w:val="auto"/>
        </w:rPr>
      </w:pPr>
    </w:p>
    <w:p>
      <w:pPr>
        <w:jc w:val="both"/>
        <w:ind w:left="680" w:hanging="1336"/>
        <w:spacing w:after="0" w:line="264" w:lineRule="auto"/>
        <w:tabs>
          <w:tab w:leader="none" w:pos="6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[a] The aggregate Purchase Price for Shares shall be paid by payroll deductions in equal amounts over a period of 24 months (or such shorter period as shall be determined by the Plan Committee in accordance with the Plan) from the Offering Date. The period over which such payroll deductions are to be made in hereinafter referred to as the “Payment Period” .</w:t>
      </w:r>
    </w:p>
    <w:p>
      <w:pPr>
        <w:spacing w:after="0" w:line="208" w:lineRule="exact"/>
        <w:rPr>
          <w:sz w:val="20"/>
          <w:szCs w:val="20"/>
          <w:color w:val="auto"/>
        </w:rPr>
      </w:pPr>
    </w:p>
    <w:p>
      <w:pPr>
        <w:jc w:val="both"/>
        <w:ind w:left="1300" w:hanging="644"/>
        <w:spacing w:after="0" w:line="269"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Such payroll deductions with respect to an Offering shall commence as soon as practicable after the receipt of the Company of the executed Subscription Agreement authorizing such payroll deductions, and shall cease upon the earlier of the termination of the Payment Period or payment in full of the Purchase Price for such Shares. A Participant may cancel his subscription to the extent provided for in Article X, but no other change in terms of his Subscription Agreement may be made during the Payment Period and, in particular, in no event may a Participant change the amount of his payroll deductions under such Subscription Agreement. All payroll deductions withheld from a Participant under a Subscription Agreement shall be credited to his account under the Plan. In the event that payroll deductions are simultaneously being made with respect to more than one Subscription Agreement, the aggregate amount of such payroll deductions at any payday shall be credited first toward the payment for Shares subscribed for in the earliest Offering. A Participant may not make any separate cash payment into his account, provided, however, that a Participant who has been deemed to be in the employ of the Company while on an Authorized Leave of Absence without pay during the Payment Period, may upon his return to the actual employ of the Company, make a cash payment into his account in an amount not exceeding the aggregate of the payroll deductions which would have been made during such Authorized Leave of Absence.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both"/>
        <w:ind w:left="1300" w:hanging="644"/>
        <w:spacing w:after="0" w:line="286"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funds representing payroll deductions for the accounts of Participants will, except as provided in section 7.3, be paid into the general funds of the Company. No interest will be paid or accrued under any circumstances on any funds withheld by the Company as payroll deductions pursuant to this Section 7.2 or on any other funds paid to the Company for purchases of Shares under the Plan.</w:t>
      </w:r>
    </w:p>
    <w:p>
      <w:pPr>
        <w:spacing w:after="0" w:line="193"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Notwithstanding anything in this Article VII to the contrary, with respect to any Offering which is made prior to the approval of the Plan by the stockholders of the Company, all payroll deductions withheld for the accounts of Participants shall, until the Plan is approved by the stockholders, be held by the Company in a special escrow account for the benefit of such Participants. No interest will be paid or accrued under any circumstances on such funds. No Shares will be issued to such Participants until after approval of the Plan by the stockholders. In the event that the Plan is not approved by the stockholders within the period specified in Article XVII, all such funds will thereupon be promptly refunded to the respective Participants.</w:t>
      </w:r>
    </w:p>
    <w:p>
      <w:pPr>
        <w:spacing w:after="0" w:line="22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Failure to pay for subscribed Shares as provided in this Article VII shall constitute the cancellation of such subscription to the extent that any such Shares shall not have been so paid for.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 Issuance of Shares</w:t>
      </w:r>
    </w:p>
    <w:p>
      <w:pPr>
        <w:spacing w:after="0" w:line="256"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At the end of the Payment Period for an Offering, (each of which dates is referred to as a “Purchase Date”), the balance of all amounts then held in the account of a Participant representing payroll deductions pursuant to a Subscription Agreement shall be applied to the purchase by the Participant from the Company of the number of Shares equal to the amount of such balance divided by the Purchase Price per share for such Shares applicable on such Purchase Date up to the number of Shares provided for in the respective Subscription Agreement. Any amount remaining in the Participant’s account in excess of the sum required to purchase whole Shares on a Purchase Date shall be promptly refunded to the Participant. As soon as practicable after a Purchase Date, the Company will issue and deliver to the Participant a certificate representing the Shares purchased by him from the Company on such Purchase Date. No fractional shares will be issued at any time.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1" w:name="page72"/>
    <w:bookmarkEnd w:id="71"/>
    <w:p>
      <w:pPr>
        <w:jc w:val="both"/>
        <w:ind w:left="660" w:right="200" w:hanging="647"/>
        <w:spacing w:after="0" w:line="264"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A Participant who disposes (whether by sale, exchange, gift or otherwise) of any of the Shares acquired by him pursuant to the Plan within two (2) years after the Offering Date for such Shares or within one (1) year after the issuance of Shares to him shall notify the Company in writing of such disposition within thirty (30) days after such disposition.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 Rights of Stockholders</w:t>
      </w:r>
    </w:p>
    <w:p>
      <w:pPr>
        <w:spacing w:after="0" w:line="256"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A Participant shall not have any rights to dividends or any other rights as a stockholder of the Company with respect to any Shares until such Shares shall have been issued to him as reflected by the books and records maintained by the Company’s transfer agent relating to stockholders of the Company.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 Voluntary Withdrawal/Termination of Employment</w:t>
      </w:r>
    </w:p>
    <w:p>
      <w:pPr>
        <w:spacing w:after="0" w:line="256"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A Participant may discontinue his payroll deductions under a Subscription Agreement at any time by giving written notice thereof to the Plan Committee, effective for all payroll periods commencing five (5) days after receipt of such notice by the Plan Committee. The balance in the account of such Participant following such discontinuance shall be promptly refunded to the Participant. withdrawal from an Offering pursuant to this Section 10.1 shall not affect an Eligible Employee’s eligibility to participate in any other Offering under the Plan.</w:t>
      </w:r>
    </w:p>
    <w:p>
      <w:pPr>
        <w:spacing w:after="0" w:line="198"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If the Participant’s employment with the Company is terminated for any reason other than death while still an Employee, such Participant’s rights to purchase Shares under any Subscription Agreement shall immediately terminate. Any balance remaining in his account as of the date of such termination of employment shall be promptly refunded to the Participant.</w:t>
      </w:r>
    </w:p>
    <w:p>
      <w:pPr>
        <w:spacing w:after="0" w:line="208"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In the event of the death of an Employee who was a Participant prior to the purchase of the Shares for which he subscribed pursuant to Article VI hereof, the person or persons who acquired by laws of descent and distribution (his “Estate”) his rights to purchase Shares under his Subscription Agreement(s), shall have the right within ninety (90) days after the death of the Participant (but in no event later than the termination of the Payment Period) to purchase from the Company that number of Shares subscribed for and not issued to the Participant prior to his death which the balance in the Participant’s payroll deduction account is sufficient to purchase. The failure of the person or persons so acquiring his rights to so give notice of intention to purchase shall constitute a forfeiture of all further rights of the Participant or other persons to purchase such Shares and in such event, the balance in the Participant’s payroll deduction account will be refunded, without interest. If the Participant dies more than fifty (50) days prior to the termination of the Payment Period and his Estate elects to purchase the Shares subscribed for, the Purchase Price for his Shares shall be the percentage, designated pursuant to section 5.3, of the fair market value on the Offering Date, irrespective of the Purchase Price for other Participants.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ARTICLE XI - Non-Transferability of Subscription Rights</w:t>
      </w:r>
    </w:p>
    <w:p>
      <w:pPr>
        <w:spacing w:after="0" w:line="256"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During the lifetime of a Participant, the Shares for which he subscribes may be purchased only by him. No Subscription Agreement of a Participant and no right under or interest in the Plan or any such Subscription Agreement (hereinafter collectively referred to as “Subscription Rights” ) may be assigned, transferred, pledged, hypothecated or disposed of in any way (whether by operation of law or otherwise), except by the Participant’s will or by the applicable laws of descent and distribution, or may be subject to execution, attachment or similar process. Any assignment, transfer, pledge, hypothecation or other disposition of Subscription Rights, or any levy of execution, attachment or other process attempted upon Subscription Rights, shall be null and void and without effect, and in any such event all Subscription Rights shall, in the sole discretion of the Plan Committee (exercised by written notice to the Participant or to the person then entitled to purchase the Shares under the provisions of sections 10.3 hereof), terminate as of the occurrence of any such event.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 - Administration of the Plan</w:t>
      </w:r>
    </w:p>
    <w:p>
      <w:pPr>
        <w:spacing w:after="0" w:line="25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Plan shall be administered by a Plan Committee which shall consist of two (2) or more members of the Board of Directors, none of whom shall be eligible to participate in the Plan. The members of the Plan Committee shall be appointed, and may be removed, by the Board of Directors. The Board of Directors shall have the power to remove and substitute for members of the Plan Committee and to fill any vacancy which may occur in the Plan Committee.</w:t>
      </w:r>
    </w:p>
    <w:p>
      <w:pPr>
        <w:spacing w:after="0" w:line="214"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Unless otherwise determined by the Board of Directors, the members of the Plan Committee shall serve without additional compensation for their services. All expenses in connection with the administration of the Plan, including, but not limited to, clerical, legal and accounting fees, and other costs of administration, shall be paid by the Company.</w:t>
      </w:r>
    </w:p>
    <w:p>
      <w:pPr>
        <w:spacing w:after="0" w:line="20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The Chairman of the Plan Committee shall be designated by the Board of Directors. The Plan Committee shall select a Secretary who need not be a member of the Plan Committee. The Secretary, or in his absence, any member of the Plan Committee designated by the Chairman, shall keep the minutes of the proceedings of the Plan Committee and all data, records and documents relating to the administration of the Plan by the Plan Committee.</w:t>
      </w:r>
    </w:p>
    <w:p>
      <w:pPr>
        <w:spacing w:after="0" w:line="214"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A quorum of the Plan Committee shall be such number as the Committee shall from time to time determine, but shall not be less than a majority of the entire Plan Committee. The acts of a majority of the members of the Plan Committee present at any meeting at which a quorum is present shall be the act of the Plan Committee. Members of the Plan Committee may participate in a meeting by means of telephone conference or similar communications procedure pursuant to which all persons participating in the meeting can hear each other. The Plan Committee may take action without a meeting if such action is evidenced by a writing signed by at least a majority of the entire Plan Committee.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color w:val="auto"/>
        </w:rPr>
        <w:t>The Plan Committee may, by an instrument in writing, delegate to one or more of its members or to an officer or officers of the Company any of its powers and its authority under the Plan, including the execution and delivery on its behalf of instruments, instructions and other documents.</w:t>
      </w:r>
    </w:p>
    <w:p>
      <w:pPr>
        <w:spacing w:after="0" w:line="174"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It shall be the sole and exclusive duty and authority of the Plan Committee to interpret and construe the provisions of the Plan, to decide any disputes which may arise with regard to the status, eligibility and rights of Employees under the terms of the Plan, and any other persons claiming an interest under the terms of the Plan, and, in general, to direct the administration of the Plan.</w:t>
      </w:r>
    </w:p>
    <w:p>
      <w:pPr>
        <w:spacing w:after="0" w:line="208"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The Plan Committee may adopt, and from time to time amend, such rules and regulations consistent with the purposes and provisions of the Plan, as it deems necessary or advisable to administer and effectuate the Plan.</w:t>
      </w:r>
    </w:p>
    <w:p>
      <w:pPr>
        <w:spacing w:after="0" w:line="19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The Plan Committee may shorten, lengthen (but not beyond thirty (30) days) or waive the time required by the Plan for the filing of any notice or other form under the Plan.</w:t>
      </w:r>
    </w:p>
    <w:p>
      <w:pPr>
        <w:spacing w:after="0" w:line="19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The discretionary powers granted hereunder to the Plan Committee shall in no event be exercised in any manner that will discriminate against individual employees or a class of employees or discriminate in favor of employees who are shareholders, officers, supervisors or highly compensated employees of the Company.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 - Valuation of Shares of Common Stock</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For purposes of the Plan, the “fair market value” of a share of Common Stock as of any date shall be determined as follows:</w:t>
      </w:r>
    </w:p>
    <w:p>
      <w:pPr>
        <w:spacing w:after="0" w:line="252" w:lineRule="exact"/>
        <w:rPr>
          <w:sz w:val="20"/>
          <w:szCs w:val="20"/>
          <w:color w:val="auto"/>
        </w:rPr>
      </w:pPr>
    </w:p>
    <w:p>
      <w:pPr>
        <w:jc w:val="both"/>
        <w:ind w:left="980" w:hanging="324"/>
        <w:spacing w:after="0" w:line="286"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Common Stock is then listed on a national securities exchange, the “fair market value” shall be the closing price of a share of Common Stock on such exchange on such date, or, if there has been no sale of shares of Common Stock on that date, the closing price of a share of Common Stock on such exchange on the last preceding business day on which shares of Common Stock were traded.</w:t>
      </w:r>
    </w:p>
    <w:p>
      <w:pPr>
        <w:spacing w:after="0" w:line="192"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Common Stock is then listed on the National Association of Securities Dealers Automatic Quotation System National Market system, the “fair market value” shall be the average of the high and low sales prices of a share of Common Stock on that date, or if there has been no sale of shares of Common Stock on that date, the average of the high and low sales prices of Common Stock on the last preceding business day on which shares of Common Stock were traded.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ARTICLE XIV - Adjustments in Certain Events</w:t>
      </w:r>
    </w:p>
    <w:p>
      <w:pPr>
        <w:spacing w:after="0" w:line="256"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If (i) the Company shall at any time be involved in a transaction to which sub-section [a] of Section 424 of the Code is applicable, (ii) the Company shall declare a dividend payable in, or shall sub-divide or combine, its Common Stock, or (iii) any other event shall occur which in the judgment of the Board of Directors necessitates action by way of adjusting the terms of the outstanding Subscription Agreements, the Board of Directors shall take any such action as in its judgment shall be appropriate to preserve Participant rights substantially proportionate to the rights existing prior to such event. To the extent that such action shall include an increase or decrease in the number of shares of Common Stock subject to outstanding Subscription Agreements, the aggregate number of shares available under Article III hereof for issuance under the Plan pursuant to outstanding Subscription Agreements and Subscription Agreements which may be entered into, and the aggregate number of shares available for issuance in any Offering and the number which may be subscribed for, shall be proportionately increased or decreased, as the case may be. No action shall be taken by the Board of Directors under the provisions of this Article XIV which, in its judgment, would constitute a modification, extension or renewal of the Subscription Agreement (within the meaning of section 424[h] of the Code), or would prevent the Plan from qualifying as an “employee stock purchase plan” (within the meaning of section 423 of the Code). The determination of the Board of Directors with respect to any matter referred to in this Article XIV shall be conclusive and binding upon each Participant.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 - Termination and Amendment of the Plan</w:t>
      </w:r>
    </w:p>
    <w:p>
      <w:pPr>
        <w:spacing w:after="0" w:line="25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The Board of Directors may, without further approval by the stockholders of the Company, at any time terminate or amend the Plan without notice, or make such modifications of the Plan as it shall deem advisable; provided that the Board of Directors may not, without prior approval by the holders of a majority of the outstanding shares of Common Stock of the Company, amend or modify the Plan so as to (i) increase the maximum number of shares of Common Stock which may be issued under the Plan (except as contemplated in Article XIV hereof), (ii) extend the term during which Offerings may be made under the Plan or (iii) increase the maximum number of Shares which an Eligible Employee is entitled to purchase (except as contemplated in Article XIV hereof); and provided further that the Board of Directors may not amend or modify the Plan in any manner which would prevent the Plan from qualifying as an “employee stock purchase plan” (within the meaning of section 423 of the Code). No termination, amendment or modification of the Plan may, without the consent of a Participant, adversely affect the rights of such Participant under an outstanding Subscription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 - Miscellaneous</w:t>
      </w:r>
    </w:p>
    <w:p>
      <w:pPr>
        <w:spacing w:after="0" w:line="256"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Unless otherwise expressly provided in the Plan, all notices or other communications by a Participant to the Company under or in connection with the Plan shall be deemed to have been duly given when received by the Secretary of the Company or when received in the form specified by the Company at the location and by the persons, designated by the Company for the receipt thereof.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jc w:val="both"/>
        <w:ind w:left="660" w:right="20" w:hanging="647"/>
        <w:spacing w:after="0" w:line="264"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Notwithstanding anything hereunder to the contrary, the offer, sale and delivery by the Company of Shares under the Plan to any Eligible Employee is subject to compliance with all applicable securities regulation and other federal and state laws. The terms of this Plan shall be construed under the laws of the State of Connecticut.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XVII - Effective Date</w:t>
      </w:r>
    </w:p>
    <w:p>
      <w:pPr>
        <w:spacing w:after="0" w:line="256"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The Plan shall become effective at such time as the Plan has been adopted by the Board of Directors or such later date as shall be designated by the Board of Directors upon its adoption of the Plan; provided, however, that the Plan and all Subscription Agreements entered into thereunder shall be, and be deemed to have been, null and void if the Plan is not approved by the holders of a majority of the outstanding shares of Common Stock of the Company within twelve (12) months after the date on which the Plan is adopted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today, August 4, 2017, to be effective as of September 5, 2017 by and between Photronics, Inc., a Connecticut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having a principal place of business at 15 Secor Road, Brookfield, CT 06804 and John P. Jordan (“</w:t>
      </w:r>
      <w:r>
        <w:rPr>
          <w:rFonts w:ascii="Arial" w:cs="Arial" w:eastAsia="Arial" w:hAnsi="Arial"/>
          <w:sz w:val="18"/>
          <w:szCs w:val="18"/>
          <w:u w:val="single" w:color="auto"/>
          <w:color w:val="auto"/>
        </w:rPr>
        <w:t>Executive</w:t>
      </w:r>
      <w:r>
        <w:rPr>
          <w:rFonts w:ascii="Arial" w:cs="Arial" w:eastAsia="Arial" w:hAnsi="Arial"/>
          <w:sz w:val="18"/>
          <w:szCs w:val="18"/>
          <w:color w:val="auto"/>
        </w:rPr>
        <w:t>”) residing at 5 Lake Wind Road, New Canaan, CT 06890.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and Executive desire to enter into this Agreement to assure the Company of the continuing service of Executive and to set forth the terms and conditions of Executive’s employment with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promises and covenants set forth herein, the parties agree as follows:</w:t>
      </w:r>
    </w:p>
    <w:p>
      <w:pPr>
        <w:spacing w:after="0" w:line="221" w:lineRule="exact"/>
        <w:rPr>
          <w:sz w:val="20"/>
          <w:szCs w:val="20"/>
          <w:color w:val="auto"/>
        </w:rPr>
      </w:pPr>
    </w:p>
    <w:p>
      <w:pPr>
        <w:ind w:right="40" w:firstLine="8"/>
        <w:spacing w:after="0" w:line="277" w:lineRule="auto"/>
        <w:tabs>
          <w:tab w:leader="none" w:pos="18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agrees to employ Executive and Executive hereby accepts such employment, in accordance with the terms of this Agreement.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the term of Executive’s employment shall cornmence as of September 5, 2017 and continue for three (3) years thereafter unless this Agreement is earlier terminated as provided herein (the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unless the Company gives written notice to Executive at least thirty (30) days prior to the end of the Term of this Agreement (as the Term may be extended pursuant to this </w:t>
      </w:r>
      <w:r>
        <w:rPr>
          <w:rFonts w:ascii="Arial" w:cs="Arial" w:eastAsia="Arial" w:hAnsi="Arial"/>
          <w:sz w:val="17"/>
          <w:szCs w:val="17"/>
          <w:u w:val="single" w:color="auto"/>
          <w:color w:val="auto"/>
        </w:rPr>
        <w:t>Section I</w:t>
      </w:r>
      <w:r>
        <w:rPr>
          <w:rFonts w:ascii="Arial" w:cs="Arial" w:eastAsia="Arial" w:hAnsi="Arial"/>
          <w:sz w:val="17"/>
          <w:szCs w:val="17"/>
          <w:color w:val="auto"/>
        </w:rPr>
        <w:t>), on each anniversary of the date hereof, the Term of this Agreement shall automatically be extended for an additional one (1) year period.</w:t>
      </w:r>
    </w:p>
    <w:p>
      <w:pPr>
        <w:spacing w:after="0" w:line="168" w:lineRule="exact"/>
        <w:rPr>
          <w:rFonts w:ascii="Arial" w:cs="Arial" w:eastAsia="Arial" w:hAnsi="Arial"/>
          <w:sz w:val="17"/>
          <w:szCs w:val="17"/>
          <w:b w:val="1"/>
          <w:bCs w:val="1"/>
          <w:color w:val="auto"/>
        </w:rPr>
      </w:pPr>
    </w:p>
    <w:p>
      <w:pPr>
        <w:ind w:right="240" w:firstLine="8"/>
        <w:spacing w:after="0" w:line="261" w:lineRule="auto"/>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So long as this Agreement shall continue in effect, Executive shall devote Executive’s full business time, energy and ability to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affairs and interests of the Company and its subsidiaries and matters related thereto. Executive shall use his best efforts and abilities to promote the Company’s interests and shall perform faithfully the services contemplated by this Agreement in accordance with the Company’s policies as established by the Board of Directors of the Company.</w:t>
      </w:r>
    </w:p>
    <w:p>
      <w:pPr>
        <w:spacing w:after="0" w:line="207" w:lineRule="exact"/>
        <w:rPr>
          <w:rFonts w:ascii="Arial" w:cs="Arial" w:eastAsia="Arial" w:hAnsi="Arial"/>
          <w:sz w:val="18"/>
          <w:szCs w:val="18"/>
          <w:b w:val="1"/>
          <w:bCs w:val="1"/>
          <w:color w:val="auto"/>
        </w:rPr>
      </w:pPr>
    </w:p>
    <w:p>
      <w:pPr>
        <w:ind w:left="180" w:hanging="172"/>
        <w:spacing w:after="0"/>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and Responsibilities.</w:t>
      </w:r>
    </w:p>
    <w:p>
      <w:pPr>
        <w:spacing w:after="0" w:line="249" w:lineRule="exact"/>
        <w:rPr>
          <w:sz w:val="20"/>
          <w:szCs w:val="20"/>
          <w:color w:val="auto"/>
        </w:rPr>
      </w:pPr>
    </w:p>
    <w:p>
      <w:pPr>
        <w:jc w:val="both"/>
        <w:ind w:right="200" w:firstLine="8"/>
        <w:spacing w:after="0" w:line="275" w:lineRule="auto"/>
        <w:tabs>
          <w:tab w:leader="none" w:pos="294"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Executive shall serve as the Senior Vice President, Chief Financial Officer of the Company and will have the authority, duties and responsibilities customarily associated with the position of Senior </w:t>
      </w:r>
      <w:r>
        <w:rPr>
          <w:rFonts w:ascii="Arial" w:cs="Arial" w:eastAsia="Arial" w:hAnsi="Arial"/>
          <w:sz w:val="16"/>
          <w:szCs w:val="16"/>
          <w:color w:val="auto"/>
        </w:rPr>
        <w:t>Vice</w:t>
      </w:r>
      <w:r>
        <w:rPr>
          <w:rFonts w:ascii="Arial" w:cs="Arial" w:eastAsia="Arial" w:hAnsi="Arial"/>
          <w:sz w:val="19"/>
          <w:szCs w:val="19"/>
          <w:color w:val="auto"/>
        </w:rPr>
        <w:t xml:space="preserve"> President, Chief </w:t>
      </w:r>
      <w:r>
        <w:rPr>
          <w:rFonts w:ascii="Arial" w:cs="Arial" w:eastAsia="Arial" w:hAnsi="Arial"/>
          <w:sz w:val="16"/>
          <w:szCs w:val="16"/>
          <w:color w:val="auto"/>
        </w:rPr>
        <w:t>Financial Officer consistent with</w:t>
      </w:r>
      <w:r>
        <w:rPr>
          <w:rFonts w:ascii="Arial" w:cs="Arial" w:eastAsia="Arial" w:hAnsi="Arial"/>
          <w:sz w:val="19"/>
          <w:szCs w:val="19"/>
          <w:color w:val="auto"/>
        </w:rPr>
        <w:t xml:space="preserve"> the </w:t>
      </w:r>
      <w:r>
        <w:rPr>
          <w:rFonts w:ascii="Arial" w:cs="Arial" w:eastAsia="Arial" w:hAnsi="Arial"/>
          <w:sz w:val="16"/>
          <w:szCs w:val="16"/>
          <w:color w:val="auto"/>
        </w:rPr>
        <w:t>policies</w:t>
      </w:r>
      <w:r>
        <w:rPr>
          <w:rFonts w:ascii="Arial" w:cs="Arial" w:eastAsia="Arial" w:hAnsi="Arial"/>
          <w:sz w:val="19"/>
          <w:szCs w:val="19"/>
          <w:color w:val="auto"/>
        </w:rPr>
        <w:t xml:space="preserve"> of </w:t>
      </w:r>
      <w:r>
        <w:rPr>
          <w:rFonts w:ascii="Arial" w:cs="Arial" w:eastAsia="Arial" w:hAnsi="Arial"/>
          <w:sz w:val="16"/>
          <w:szCs w:val="16"/>
          <w:color w:val="auto"/>
        </w:rPr>
        <w:t>the Company. Executive will become principle Financial officer on October 1, 2017. In the performance of Executive’s duties, Executive shall report</w:t>
      </w:r>
    </w:p>
    <w:p>
      <w:pPr>
        <w:spacing w:after="0" w:line="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directly to the CEO and shall have such additional duties, responsibilities and authority as may from time to time be assigned to the Executive by the CEO. As and if required and as appointed by the Company, Executive shall serve as an officer and/or director of any of the Company’s subsidiaries or affiliates without additional compensation.</w:t>
      </w:r>
    </w:p>
    <w:p>
      <w:pPr>
        <w:spacing w:after="0" w:line="211" w:lineRule="exact"/>
        <w:rPr>
          <w:sz w:val="20"/>
          <w:szCs w:val="20"/>
          <w:color w:val="auto"/>
        </w:rPr>
      </w:pPr>
    </w:p>
    <w:p>
      <w:pPr>
        <w:ind w:right="100" w:firstLine="8"/>
        <w:spacing w:after="0" w:line="252" w:lineRule="auto"/>
        <w:tabs>
          <w:tab w:leader="none" w:pos="306" w:val="left"/>
        </w:tabs>
        <w:numPr>
          <w:ilvl w:val="0"/>
          <w:numId w:val="21"/>
        </w:numPr>
        <w:rPr>
          <w:rFonts w:ascii="Arial" w:cs="Arial" w:eastAsia="Arial" w:hAnsi="Arial"/>
          <w:sz w:val="22"/>
          <w:szCs w:val="22"/>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xml:space="preserve">. </w:t>
      </w:r>
      <w:r>
        <w:rPr>
          <w:rFonts w:ascii="Arial" w:cs="Arial" w:eastAsia="Arial" w:hAnsi="Arial"/>
          <w:sz w:val="21"/>
          <w:szCs w:val="21"/>
          <w:color w:val="auto"/>
        </w:rPr>
        <w:t>Notwithstanding the language in 4. (c), below, in addition to Base Salary, Executive shall participate in</w:t>
      </w:r>
      <w:r>
        <w:rPr>
          <w:rFonts w:ascii="Arial" w:cs="Arial" w:eastAsia="Arial" w:hAnsi="Arial"/>
          <w:sz w:val="18"/>
          <w:szCs w:val="18"/>
          <w:color w:val="auto"/>
        </w:rPr>
        <w:t xml:space="preserve"> </w:t>
      </w:r>
      <w:r>
        <w:rPr>
          <w:rFonts w:ascii="Arial" w:cs="Arial" w:eastAsia="Arial" w:hAnsi="Arial"/>
          <w:sz w:val="21"/>
          <w:szCs w:val="21"/>
          <w:color w:val="auto"/>
        </w:rPr>
        <w:t>each of the incentive plans established f</w:t>
      </w:r>
      <w:r>
        <w:rPr>
          <w:rFonts w:ascii="Arial" w:cs="Arial" w:eastAsia="Arial" w:hAnsi="Arial"/>
          <w:sz w:val="18"/>
          <w:szCs w:val="18"/>
          <w:color w:val="auto"/>
        </w:rPr>
        <w:t>or</w:t>
      </w:r>
      <w:r>
        <w:rPr>
          <w:rFonts w:ascii="Arial" w:cs="Arial" w:eastAsia="Arial" w:hAnsi="Arial"/>
          <w:sz w:val="21"/>
          <w:szCs w:val="21"/>
          <w:color w:val="auto"/>
        </w:rPr>
        <w:t xml:space="preserve"> Executives similarly situated and shall be eligible to receive incentive compensation as a participant in such plans </w:t>
      </w:r>
      <w:r>
        <w:rPr>
          <w:rFonts w:ascii="Arial" w:cs="Arial" w:eastAsia="Arial" w:hAnsi="Arial"/>
          <w:sz w:val="18"/>
          <w:szCs w:val="18"/>
          <w:color w:val="auto"/>
        </w:rPr>
        <w:t>as</w:t>
      </w:r>
      <w:r>
        <w:rPr>
          <w:rFonts w:ascii="Arial" w:cs="Arial" w:eastAsia="Arial" w:hAnsi="Arial"/>
          <w:sz w:val="21"/>
          <w:szCs w:val="21"/>
          <w:color w:val="auto"/>
        </w:rPr>
        <w:t xml:space="preserve"> approved by the compensation committee of the Company.</w:t>
      </w:r>
    </w:p>
    <w:p>
      <w:pPr>
        <w:spacing w:after="0" w:line="207" w:lineRule="exact"/>
        <w:rPr>
          <w:sz w:val="20"/>
          <w:szCs w:val="20"/>
          <w:color w:val="auto"/>
        </w:rPr>
      </w:pPr>
    </w:p>
    <w:p>
      <w:pPr>
        <w:ind w:right="260" w:firstLine="8"/>
        <w:spacing w:after="0" w:line="286" w:lineRule="auto"/>
        <w:tabs>
          <w:tab w:leader="none" w:pos="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addition, Executive agrees to observe and comply with the policies, rules and regulations of the Company. The Company agrees that any additional duties which may be assigned to Executive shall be consistent with the customary duties of the office of Senior Vice President, Chief Financial Officer and shall not be inconsistent with the provisions of the charter documents of the Company or applicable law.</w:t>
      </w:r>
    </w:p>
    <w:p>
      <w:pPr>
        <w:spacing w:after="0" w:line="189"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256" w:lineRule="exact"/>
        <w:rPr>
          <w:sz w:val="20"/>
          <w:szCs w:val="20"/>
          <w:color w:val="auto"/>
        </w:rPr>
      </w:pPr>
    </w:p>
    <w:p>
      <w:pPr>
        <w:ind w:right="100" w:firstLine="8"/>
        <w:spacing w:after="0" w:line="257"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Base Compensation</w:t>
      </w:r>
      <w:r>
        <w:rPr>
          <w:rFonts w:ascii="Arial" w:cs="Arial" w:eastAsia="Arial" w:hAnsi="Arial"/>
          <w:sz w:val="18"/>
          <w:szCs w:val="18"/>
          <w:color w:val="auto"/>
        </w:rPr>
        <w:t>. During the Term, the Company agrees to pay Executive a base salary at the rate of $345,000 per year payable in accordance with the Company’s customary payroll practices generally applicable to similarly situated employees as may be in effect from time to time (the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xml:space="preserve">”). All payments required hereunder, including the payments required by this </w:t>
      </w:r>
      <w:r>
        <w:rPr>
          <w:rFonts w:ascii="Arial" w:cs="Arial" w:eastAsia="Arial" w:hAnsi="Arial"/>
          <w:sz w:val="18"/>
          <w:szCs w:val="18"/>
          <w:u w:val="single" w:color="auto"/>
          <w:color w:val="auto"/>
        </w:rPr>
        <w:t>Section 4(a)</w:t>
      </w:r>
      <w:r>
        <w:rPr>
          <w:rFonts w:ascii="Arial" w:cs="Arial" w:eastAsia="Arial" w:hAnsi="Arial"/>
          <w:sz w:val="18"/>
          <w:szCs w:val="18"/>
          <w:color w:val="auto"/>
        </w:rPr>
        <w:t>, may be allocated by the Company to one or more of its subsidiaries to which Executive renders services but the Company shall remain responsible for all payments hereunder and Executive shall have no obligation to seek payment from such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7" w:name="page78"/>
    <w:bookmarkEnd w:id="77"/>
    <w:p>
      <w:pPr>
        <w:ind w:right="100"/>
        <w:spacing w:after="0" w:line="255" w:lineRule="auto"/>
        <w:rPr>
          <w:sz w:val="20"/>
          <w:szCs w:val="20"/>
          <w:color w:val="auto"/>
        </w:rPr>
      </w:pPr>
      <w:r>
        <w:rPr>
          <w:rFonts w:ascii="Arial" w:cs="Arial" w:eastAsia="Arial" w:hAnsi="Arial"/>
          <w:sz w:val="18"/>
          <w:szCs w:val="18"/>
          <w:color w:val="auto"/>
        </w:rPr>
        <w:t>The Compensation Committee has also approved a grant of thirty thousand (30,000) shares of the Company’s common stock, par value $0.01 per share conditioned upon the terms and conditions of the restricted stock award agreement reflecting such grant and the condition set forth below. The vesting of the stock award shall the following: one quarter of the shares shall vest annually from the date of grant so long as Executive is still an employee of the Company on the vesting date. The grant will fully vest over a four (4) year period. Notwithstanding the above, however, no more than fifty percent of the grant (fifteen thousand (15,000) shares) will vest unless and until the occurrence of certain events. It is expected that such events will occur within the first six (6) months of the date of this Agreement.</w:t>
      </w:r>
    </w:p>
    <w:p>
      <w:pPr>
        <w:spacing w:after="0" w:line="216" w:lineRule="exact"/>
        <w:rPr>
          <w:sz w:val="20"/>
          <w:szCs w:val="20"/>
          <w:color w:val="auto"/>
        </w:rPr>
      </w:pPr>
    </w:p>
    <w:p>
      <w:pPr>
        <w:jc w:val="both"/>
        <w:ind w:firstLine="8"/>
        <w:spacing w:after="0" w:line="261" w:lineRule="auto"/>
        <w:tabs>
          <w:tab w:leader="none" w:pos="26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Periodic Review</w:t>
      </w:r>
      <w:r>
        <w:rPr>
          <w:rFonts w:ascii="Arial" w:cs="Arial" w:eastAsia="Arial" w:hAnsi="Arial"/>
          <w:sz w:val="18"/>
          <w:szCs w:val="18"/>
          <w:color w:val="auto"/>
        </w:rPr>
        <w:t>. The Compensation Committee or the Board of Directors of the Company shall review Executive’s Base Salary and Benefits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from time to time in accordance with the normal business practices of the Company. The Company may in its sole discretion increase the Base Salary during the Term. The amount of any increase combined with the previous year’s Base Salary shall then constitute Executive’s Base Salary for purposes of this Agreement.</w:t>
      </w:r>
    </w:p>
    <w:p>
      <w:pPr>
        <w:spacing w:after="0" w:line="207" w:lineRule="exact"/>
        <w:rPr>
          <w:rFonts w:ascii="Arial" w:cs="Arial" w:eastAsia="Arial" w:hAnsi="Arial"/>
          <w:sz w:val="18"/>
          <w:szCs w:val="18"/>
          <w:b w:val="1"/>
          <w:bCs w:val="1"/>
          <w:color w:val="auto"/>
        </w:rPr>
      </w:pPr>
    </w:p>
    <w:p>
      <w:pPr>
        <w:jc w:val="both"/>
        <w:ind w:right="140" w:firstLine="8"/>
        <w:spacing w:after="0" w:line="277" w:lineRule="auto"/>
        <w:tabs>
          <w:tab w:leader="none" w:pos="245"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Benefits</w:t>
      </w:r>
      <w:r>
        <w:rPr>
          <w:rFonts w:ascii="Arial" w:cs="Arial" w:eastAsia="Arial" w:hAnsi="Arial"/>
          <w:sz w:val="17"/>
          <w:szCs w:val="17"/>
          <w:color w:val="auto"/>
        </w:rPr>
        <w:t>. During the Term, the Executive shall be entitled to participate in the employee benefit plans and compensation arrangements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establish from time to time in which other employees similarly situated are entitled to participate (which may include, without limitation, the 2011 Executive Incentive Plan or any similar or subsequent plan, medical plan, dental plan, disability plan, basic life insurance and business travel accident insurance plan, 401(k) plan, stock option or stock purchase plans or any successor plans thereto (collectively referred to as the “</w:t>
      </w:r>
      <w:r>
        <w:rPr>
          <w:rFonts w:ascii="Arial" w:cs="Arial" w:eastAsia="Arial" w:hAnsi="Arial"/>
          <w:sz w:val="17"/>
          <w:szCs w:val="17"/>
          <w:b w:val="1"/>
          <w:bCs w:val="1"/>
          <w:u w:val="single" w:color="auto"/>
          <w:color w:val="auto"/>
        </w:rPr>
        <w:t>Benefits</w:t>
      </w:r>
      <w:r>
        <w:rPr>
          <w:rFonts w:ascii="Arial" w:cs="Arial" w:eastAsia="Arial" w:hAnsi="Arial"/>
          <w:sz w:val="17"/>
          <w:szCs w:val="17"/>
          <w:color w:val="auto"/>
        </w:rPr>
        <w:t>”)). The Company shall have the right to terminate or change any such plans or programs at any time.</w:t>
      </w:r>
    </w:p>
    <w:p>
      <w:pPr>
        <w:spacing w:after="0" w:line="195" w:lineRule="exact"/>
        <w:rPr>
          <w:rFonts w:ascii="Arial" w:cs="Arial" w:eastAsia="Arial" w:hAnsi="Arial"/>
          <w:sz w:val="17"/>
          <w:szCs w:val="17"/>
          <w:b w:val="1"/>
          <w:bCs w:val="1"/>
          <w:color w:val="auto"/>
        </w:rPr>
      </w:pPr>
    </w:p>
    <w:p>
      <w:pPr>
        <w:ind w:right="240" w:firstLine="8"/>
        <w:spacing w:after="0" w:line="313" w:lineRule="auto"/>
        <w:tabs>
          <w:tab w:leader="none" w:pos="265"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Automobile Allowance</w:t>
      </w:r>
      <w:r>
        <w:rPr>
          <w:rFonts w:ascii="Arial" w:cs="Arial" w:eastAsia="Arial" w:hAnsi="Arial"/>
          <w:sz w:val="17"/>
          <w:szCs w:val="17"/>
          <w:color w:val="auto"/>
        </w:rPr>
        <w:t>. During the Term of this Agreement, the Company shall provide the Executive with an automobile allowance of $1,000.00 per</w:t>
      </w:r>
      <w:r>
        <w:rPr>
          <w:rFonts w:ascii="Arial" w:cs="Arial" w:eastAsia="Arial" w:hAnsi="Arial"/>
          <w:sz w:val="17"/>
          <w:szCs w:val="17"/>
          <w:b w:val="1"/>
          <w:bCs w:val="1"/>
          <w:color w:val="auto"/>
        </w:rPr>
        <w:t xml:space="preserve"> </w:t>
      </w:r>
      <w:r>
        <w:rPr>
          <w:rFonts w:ascii="Arial" w:cs="Arial" w:eastAsia="Arial" w:hAnsi="Arial"/>
          <w:sz w:val="17"/>
          <w:szCs w:val="17"/>
          <w:color w:val="auto"/>
        </w:rPr>
        <w:t>month within the guidelines of the Company’s policies and provisions applicable to other similarly situated executives of the Company.</w:t>
      </w:r>
    </w:p>
    <w:p>
      <w:pPr>
        <w:spacing w:after="0" w:line="165" w:lineRule="exact"/>
        <w:rPr>
          <w:rFonts w:ascii="Arial" w:cs="Arial" w:eastAsia="Arial" w:hAnsi="Arial"/>
          <w:sz w:val="17"/>
          <w:szCs w:val="17"/>
          <w:b w:val="1"/>
          <w:bCs w:val="1"/>
          <w:color w:val="auto"/>
        </w:rPr>
      </w:pPr>
    </w:p>
    <w:p>
      <w:pPr>
        <w:ind w:right="820" w:firstLine="8"/>
        <w:spacing w:after="0" w:line="282" w:lineRule="auto"/>
        <w:tabs>
          <w:tab w:leader="none" w:pos="24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Vacation</w:t>
      </w:r>
      <w:r>
        <w:rPr>
          <w:rFonts w:ascii="Arial" w:cs="Arial" w:eastAsia="Arial" w:hAnsi="Arial"/>
          <w:sz w:val="18"/>
          <w:szCs w:val="18"/>
          <w:color w:val="auto"/>
        </w:rPr>
        <w:t>. During the Term of this Agreement, Executive shall be entitled to four (4) weeks’ paid vacation per calendar year, which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transferable to any subsequent year.</w:t>
      </w:r>
    </w:p>
    <w:p>
      <w:pPr>
        <w:spacing w:after="0" w:line="189" w:lineRule="exact"/>
        <w:rPr>
          <w:sz w:val="20"/>
          <w:szCs w:val="20"/>
          <w:color w:val="auto"/>
        </w:rPr>
      </w:pPr>
    </w:p>
    <w:p>
      <w:pPr>
        <w:ind w:right="200" w:firstLine="8"/>
        <w:spacing w:after="0" w:line="266" w:lineRule="auto"/>
        <w:tabs>
          <w:tab w:leader="none" w:pos="1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all rights and obligations hereunder, except the rights and obligations contained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(Confidential Information),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(Non-Competition),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(Intellectual Property) and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(Remedies), which shall survive any termination hereunder, shall terminate upon the earliest to occur of any of the following:</w:t>
      </w:r>
    </w:p>
    <w:p>
      <w:pPr>
        <w:spacing w:after="0" w:line="203" w:lineRule="exact"/>
        <w:rPr>
          <w:sz w:val="20"/>
          <w:szCs w:val="20"/>
          <w:color w:val="auto"/>
        </w:rPr>
      </w:pPr>
    </w:p>
    <w:p>
      <w:pPr>
        <w:ind w:right="100" w:firstLine="8"/>
        <w:spacing w:after="0" w:line="289" w:lineRule="auto"/>
        <w:tabs>
          <w:tab w:leader="none" w:pos="255"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Resignation without Good Reason: Retirement</w:t>
      </w:r>
      <w:r>
        <w:rPr>
          <w:rFonts w:ascii="Arial" w:cs="Arial" w:eastAsia="Arial" w:hAnsi="Arial"/>
          <w:sz w:val="16"/>
          <w:szCs w:val="16"/>
          <w:color w:val="auto"/>
        </w:rPr>
        <w:t>. Upon the resignation by Executive without Good Reason (as defined below) following at least thirty</w:t>
      </w:r>
      <w:r>
        <w:rPr>
          <w:rFonts w:ascii="Arial" w:cs="Arial" w:eastAsia="Arial" w:hAnsi="Arial"/>
          <w:sz w:val="16"/>
          <w:szCs w:val="16"/>
          <w:b w:val="1"/>
          <w:bCs w:val="1"/>
          <w:color w:val="auto"/>
        </w:rPr>
        <w:t xml:space="preserve"> </w:t>
      </w:r>
      <w:r>
        <w:rPr>
          <w:rFonts w:ascii="Arial" w:cs="Arial" w:eastAsia="Arial" w:hAnsi="Arial"/>
          <w:sz w:val="16"/>
          <w:szCs w:val="16"/>
          <w:color w:val="auto"/>
        </w:rPr>
        <w:t>(30) days written notice to the Company or retirement from the Company in accordance with the normal retirement policies of the Company, Executive shall be entitled to receive a payment in the amount of the sum of (A) Executive’s Base Salary through the date of termination to the extent not theretofore paid,</w:t>
      </w:r>
    </w:p>
    <w:p>
      <w:pPr>
        <w:spacing w:after="0" w:line="1" w:lineRule="exact"/>
        <w:rPr>
          <w:rFonts w:ascii="Arial" w:cs="Arial" w:eastAsia="Arial" w:hAnsi="Arial"/>
          <w:sz w:val="16"/>
          <w:szCs w:val="16"/>
          <w:b w:val="1"/>
          <w:bCs w:val="1"/>
          <w:color w:val="auto"/>
        </w:rPr>
      </w:pPr>
    </w:p>
    <w:p>
      <w:pPr>
        <w:ind w:right="22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(B) any compensation previously deferred by Executive (together with any accrued interest or earnings thereon), and (C) any accrued vacation pay, in each case to the extent not theretofore paid (the sum of the amounts described in clauses (A), (B) and (C) shall be hereinafter referred to as the “</w:t>
      </w:r>
      <w:r>
        <w:rPr>
          <w:rFonts w:ascii="Arial" w:cs="Arial" w:eastAsia="Arial" w:hAnsi="Arial"/>
          <w:sz w:val="18"/>
          <w:szCs w:val="18"/>
          <w:b w:val="1"/>
          <w:bCs w:val="1"/>
          <w:u w:val="single" w:color="auto"/>
          <w:color w:val="auto"/>
        </w:rPr>
        <w:t>Accrued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Obligations</w:t>
      </w:r>
      <w:r>
        <w:rPr>
          <w:rFonts w:ascii="Arial" w:cs="Arial" w:eastAsia="Arial" w:hAnsi="Arial"/>
          <w:sz w:val="18"/>
          <w:szCs w:val="18"/>
          <w:color w:val="auto"/>
        </w:rPr>
        <w:t>”), in a lump sum, subject to statutory deductions and withholdings, in cash within ten (10) business days after the date of termination or any</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time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8" w:name="page79"/>
    <w:bookmarkEnd w:id="78"/>
    <w:p>
      <w:pPr>
        <w:ind w:left="272" w:hanging="272"/>
        <w:spacing w:after="0"/>
        <w:tabs>
          <w:tab w:leader="none" w:pos="27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Death or Disability of Executive</w:t>
      </w:r>
      <w:r>
        <w:rPr>
          <w:rFonts w:ascii="Arial" w:cs="Arial" w:eastAsia="Arial" w:hAnsi="Arial"/>
          <w:sz w:val="18"/>
          <w:szCs w:val="18"/>
          <w:color w:val="auto"/>
        </w:rPr>
        <w:t>.</w:t>
      </w:r>
    </w:p>
    <w:p>
      <w:pPr>
        <w:spacing w:after="0" w:line="256" w:lineRule="exact"/>
        <w:rPr>
          <w:sz w:val="20"/>
          <w:szCs w:val="20"/>
          <w:color w:val="auto"/>
        </w:rPr>
      </w:pPr>
    </w:p>
    <w:p>
      <w:pPr>
        <w:ind w:left="-8" w:right="660" w:firstLine="8"/>
        <w:spacing w:after="0" w:line="277" w:lineRule="auto"/>
        <w:tabs>
          <w:tab w:leader="none" w:pos="2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Executive’s employment is terminated by reason of Executive’s death or disability, this Agreement shall terminate without further obligations to Executive (or Executive’s heirs or legal representatives) under this Agreement, other than for:</w:t>
      </w:r>
    </w:p>
    <w:p>
      <w:pPr>
        <w:spacing w:after="0" w:line="197" w:lineRule="exact"/>
        <w:rPr>
          <w:sz w:val="20"/>
          <w:szCs w:val="20"/>
          <w:color w:val="auto"/>
        </w:rPr>
      </w:pPr>
    </w:p>
    <w:p>
      <w:pPr>
        <w:ind w:left="-8" w:firstLine="8"/>
        <w:spacing w:after="0" w:line="308" w:lineRule="auto"/>
        <w:tabs>
          <w:tab w:leader="none" w:pos="27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Payment of any Accrued Obligations, which shall be paid to Executive or Executive’s estate or beneficiary, as applicable, in a lump sum, subject to statutory deductions and withholdings, in cash within ten (10) business days after the date of termination or any earlier time required by applicable law.</w:t>
      </w:r>
    </w:p>
    <w:p>
      <w:pPr>
        <w:spacing w:after="0" w:line="173" w:lineRule="exact"/>
        <w:rPr>
          <w:rFonts w:ascii="Arial" w:cs="Arial" w:eastAsia="Arial" w:hAnsi="Arial"/>
          <w:sz w:val="17"/>
          <w:szCs w:val="17"/>
          <w:color w:val="auto"/>
        </w:rPr>
      </w:pPr>
    </w:p>
    <w:p>
      <w:pPr>
        <w:ind w:left="-8" w:right="40" w:firstLine="8"/>
        <w:spacing w:after="0" w:line="561" w:lineRule="auto"/>
        <w:tabs>
          <w:tab w:leader="none" w:pos="247"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Payment to Executive or Executive’s estate or beneficiary, as applicable, of any amount accrued pursuant to the terms of any other applicable benefit plan. (ii) If Executive shall become disabled, Executive’s employment may be terminated only by written notice from the Company to Executive.</w:t>
      </w:r>
    </w:p>
    <w:p>
      <w:pPr>
        <w:spacing w:after="0" w:line="1" w:lineRule="exact"/>
        <w:rPr>
          <w:sz w:val="20"/>
          <w:szCs w:val="20"/>
          <w:color w:val="auto"/>
        </w:rPr>
      </w:pPr>
    </w:p>
    <w:p>
      <w:pPr>
        <w:jc w:val="both"/>
        <w:ind w:left="-8" w:firstLine="8"/>
        <w:spacing w:after="0" w:line="261" w:lineRule="auto"/>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purposes of this Agreement, “</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disabled</w:t>
      </w:r>
      <w:r>
        <w:rPr>
          <w:rFonts w:ascii="Arial" w:cs="Arial" w:eastAsia="Arial" w:hAnsi="Arial"/>
          <w:sz w:val="18"/>
          <w:szCs w:val="18"/>
          <w:color w:val="auto"/>
        </w:rPr>
        <w:t>” shall mean a mental or physical incapacity which prevents Executive from performing Executive’s duties with the Company for a period of three hundred sixty (360) consecutive calendar days, as certified by a physician selected by the Company or its insurers. The selection of the physician by the Company or its insurers will be subject to Executive’s approval, which approval shall not be unreasonably withheld.</w:t>
      </w:r>
    </w:p>
    <w:p>
      <w:pPr>
        <w:spacing w:after="0" w:line="207" w:lineRule="exact"/>
        <w:rPr>
          <w:sz w:val="20"/>
          <w:szCs w:val="20"/>
          <w:color w:val="auto"/>
        </w:rPr>
      </w:pPr>
    </w:p>
    <w:p>
      <w:pPr>
        <w:ind w:left="252" w:hanging="252"/>
        <w:spacing w:after="0"/>
        <w:tabs>
          <w:tab w:leader="none" w:pos="2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for Cause</w:t>
      </w:r>
      <w:r>
        <w:rPr>
          <w:rFonts w:ascii="Arial" w:cs="Arial" w:eastAsia="Arial" w:hAnsi="Arial"/>
          <w:sz w:val="18"/>
          <w:szCs w:val="18"/>
          <w:color w:val="auto"/>
        </w:rPr>
        <w:t>.</w:t>
      </w:r>
    </w:p>
    <w:p>
      <w:pPr>
        <w:spacing w:after="0" w:line="256" w:lineRule="exact"/>
        <w:rPr>
          <w:sz w:val="20"/>
          <w:szCs w:val="20"/>
          <w:color w:val="auto"/>
        </w:rPr>
      </w:pPr>
    </w:p>
    <w:p>
      <w:pPr>
        <w:ind w:left="212" w:hanging="212"/>
        <w:spacing w:after="0"/>
        <w:tabs>
          <w:tab w:leader="none" w:pos="212"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Company may terminate Executive’s employment and all of Executive’s rights to receive Base Salary, and any Benefits hereunder for Cause.</w:t>
      </w:r>
    </w:p>
    <w:p>
      <w:pPr>
        <w:spacing w:after="0" w:line="263" w:lineRule="exact"/>
        <w:rPr>
          <w:rFonts w:ascii="Arial" w:cs="Arial" w:eastAsia="Arial" w:hAnsi="Arial"/>
          <w:sz w:val="17"/>
          <w:szCs w:val="17"/>
          <w:color w:val="auto"/>
        </w:rPr>
      </w:pPr>
    </w:p>
    <w:p>
      <w:pPr>
        <w:ind w:left="-8" w:right="20" w:firstLine="8"/>
        <w:spacing w:after="0" w:line="342" w:lineRule="auto"/>
        <w:tabs>
          <w:tab w:leader="none" w:pos="259" w:val="left"/>
        </w:tabs>
        <w:numPr>
          <w:ilvl w:val="0"/>
          <w:numId w:val="33"/>
        </w:numPr>
        <w:rPr>
          <w:rFonts w:ascii="Arial" w:cs="Arial" w:eastAsia="Arial" w:hAnsi="Arial"/>
          <w:sz w:val="16"/>
          <w:szCs w:val="16"/>
          <w:color w:val="auto"/>
        </w:rPr>
      </w:pPr>
      <w:r>
        <w:rPr>
          <w:rFonts w:ascii="Arial" w:cs="Arial" w:eastAsia="Arial" w:hAnsi="Arial"/>
          <w:sz w:val="16"/>
          <w:szCs w:val="16"/>
          <w:color w:val="auto"/>
        </w:rPr>
        <w:t>Upon such termination for Cause, Executive shall be entitled to receive any Accrued Obligations, which shall be paid to Executive in a lump sum, subject to statutory deductions and withholdings, in cash within ten (10) business days after the date of termination or any earlier time required by applicable law.</w:t>
      </w:r>
    </w:p>
    <w:p>
      <w:pPr>
        <w:spacing w:after="0" w:line="146" w:lineRule="exact"/>
        <w:rPr>
          <w:rFonts w:ascii="Arial" w:cs="Arial" w:eastAsia="Arial" w:hAnsi="Arial"/>
          <w:sz w:val="16"/>
          <w:szCs w:val="16"/>
          <w:color w:val="auto"/>
        </w:rPr>
      </w:pPr>
    </w:p>
    <w:p>
      <w:pPr>
        <w:ind w:left="312" w:hanging="312"/>
        <w:spacing w:after="0"/>
        <w:tabs>
          <w:tab w:leader="none" w:pos="312"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shall be defined as any of the following</w:t>
      </w:r>
    </w:p>
    <w:p>
      <w:pPr>
        <w:spacing w:after="0" w:line="256" w:lineRule="exact"/>
        <w:rPr>
          <w:sz w:val="20"/>
          <w:szCs w:val="20"/>
          <w:color w:val="auto"/>
        </w:rPr>
      </w:pPr>
    </w:p>
    <w:p>
      <w:pPr>
        <w:ind w:left="252" w:hanging="252"/>
        <w:spacing w:after="0"/>
        <w:tabs>
          <w:tab w:leader="none" w:pos="2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Executive’s material breach of any of any obligations under this Agreement (other than by reason of physical or mental illness, injury, or condition);</w:t>
      </w:r>
    </w:p>
    <w:p>
      <w:pPr>
        <w:spacing w:after="0" w:line="263" w:lineRule="exact"/>
        <w:rPr>
          <w:rFonts w:ascii="Arial" w:cs="Arial" w:eastAsia="Arial" w:hAnsi="Arial"/>
          <w:sz w:val="17"/>
          <w:szCs w:val="17"/>
          <w:color w:val="auto"/>
        </w:rPr>
      </w:pPr>
    </w:p>
    <w:p>
      <w:pPr>
        <w:ind w:left="-8" w:right="120" w:firstLine="8"/>
        <w:spacing w:after="0" w:line="277" w:lineRule="auto"/>
        <w:tabs>
          <w:tab w:leader="none" w:pos="2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Executive’s conviction by, or entry of a plea of “guilty” or “nolo contendere” in a court of competent and final jurisdiction for any felony that impairs his ability to perform his duties to the Company or any crime of moral turpitude;</w:t>
      </w:r>
    </w:p>
    <w:p>
      <w:pPr>
        <w:spacing w:after="0" w:line="197" w:lineRule="exact"/>
        <w:rPr>
          <w:rFonts w:ascii="Arial" w:cs="Arial" w:eastAsia="Arial" w:hAnsi="Arial"/>
          <w:sz w:val="18"/>
          <w:szCs w:val="18"/>
          <w:color w:val="auto"/>
        </w:rPr>
      </w:pPr>
    </w:p>
    <w:p>
      <w:pPr>
        <w:ind w:left="252" w:hanging="252"/>
        <w:spacing w:after="0"/>
        <w:tabs>
          <w:tab w:leader="none" w:pos="2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Executive’s commission of an act of fraud upon the Company;</w:t>
      </w:r>
    </w:p>
    <w:p>
      <w:pPr>
        <w:spacing w:after="0" w:line="252" w:lineRule="exact"/>
        <w:rPr>
          <w:rFonts w:ascii="Arial" w:cs="Arial" w:eastAsia="Arial" w:hAnsi="Arial"/>
          <w:sz w:val="18"/>
          <w:szCs w:val="18"/>
          <w:color w:val="auto"/>
        </w:rPr>
      </w:pPr>
    </w:p>
    <w:p>
      <w:pPr>
        <w:ind w:left="252" w:hanging="252"/>
        <w:spacing w:after="0"/>
        <w:tabs>
          <w:tab w:leader="none" w:pos="2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Executive’s engaging in willful or reckless misconduct or gross negligence in connection with any property or activity of the Company or its Affiliates;</w:t>
      </w:r>
    </w:p>
    <w:p>
      <w:pPr>
        <w:spacing w:after="0" w:line="263" w:lineRule="exact"/>
        <w:rPr>
          <w:rFonts w:ascii="Arial" w:cs="Arial" w:eastAsia="Arial" w:hAnsi="Arial"/>
          <w:sz w:val="17"/>
          <w:szCs w:val="17"/>
          <w:color w:val="auto"/>
        </w:rPr>
      </w:pPr>
    </w:p>
    <w:p>
      <w:pPr>
        <w:ind w:left="252" w:hanging="252"/>
        <w:spacing w:after="0"/>
        <w:tabs>
          <w:tab w:leader="none" w:pos="2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Executive’s repeated and intemperate use of alcohol or illegal drugs after written notice from the CEO or the Board of Directors:</w:t>
      </w:r>
    </w:p>
    <w:p>
      <w:pPr>
        <w:spacing w:after="0" w:line="252" w:lineRule="exact"/>
        <w:rPr>
          <w:rFonts w:ascii="Arial" w:cs="Arial" w:eastAsia="Arial" w:hAnsi="Arial"/>
          <w:sz w:val="18"/>
          <w:szCs w:val="18"/>
          <w:color w:val="auto"/>
        </w:rPr>
      </w:pPr>
    </w:p>
    <w:p>
      <w:pPr>
        <w:ind w:left="-8" w:right="20" w:firstLine="8"/>
        <w:spacing w:after="0" w:line="277" w:lineRule="auto"/>
        <w:tabs>
          <w:tab w:leader="none" w:pos="2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Executive’s material breach of any other material obligation to the Company (other than by reason of physical or mental illness, injury, or condition) that is or could reasonably be expected to result in material harm to the Company;</w:t>
      </w:r>
    </w:p>
    <w:p>
      <w:pPr>
        <w:spacing w:after="0" w:line="197" w:lineRule="exact"/>
        <w:rPr>
          <w:rFonts w:ascii="Arial" w:cs="Arial" w:eastAsia="Arial" w:hAnsi="Arial"/>
          <w:sz w:val="18"/>
          <w:szCs w:val="18"/>
          <w:color w:val="auto"/>
        </w:rPr>
      </w:pPr>
    </w:p>
    <w:p>
      <w:pPr>
        <w:ind w:left="252" w:hanging="252"/>
        <w:spacing w:after="0"/>
        <w:tabs>
          <w:tab w:leader="none" w:pos="2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Executive’s becoming insolvent or filing for bankruptcy;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bookmarkStart w:id="79" w:name="page80"/>
    <w:bookmarkEnd w:id="79"/>
    <w:p>
      <w:pPr>
        <w:ind w:left="252" w:hanging="252"/>
        <w:spacing w:after="0"/>
        <w:tabs>
          <w:tab w:leader="none" w:pos="2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Executive’s becoming barred or prohibited by the SEC from holding any position with the Company; or</w:t>
      </w:r>
    </w:p>
    <w:p>
      <w:pPr>
        <w:spacing w:after="0" w:line="252" w:lineRule="exact"/>
        <w:rPr>
          <w:rFonts w:ascii="Arial" w:cs="Arial" w:eastAsia="Arial" w:hAnsi="Arial"/>
          <w:sz w:val="18"/>
          <w:szCs w:val="18"/>
          <w:color w:val="auto"/>
        </w:rPr>
      </w:pPr>
    </w:p>
    <w:p>
      <w:pPr>
        <w:ind w:left="-8" w:right="20" w:firstLine="8"/>
        <w:spacing w:after="0" w:line="277" w:lineRule="auto"/>
        <w:tabs>
          <w:tab w:leader="none" w:pos="2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Executive’s violation of any duty of loyalty (i.e., engaging in self-interested transactions, misappropriation of business opportunities that belong to the Company, or a breach of Executive’s fiduciary duties to the Company).</w:t>
      </w:r>
    </w:p>
    <w:p>
      <w:pPr>
        <w:spacing w:after="0" w:line="193" w:lineRule="exact"/>
        <w:rPr>
          <w:sz w:val="20"/>
          <w:szCs w:val="20"/>
          <w:color w:val="auto"/>
        </w:rPr>
      </w:pPr>
    </w:p>
    <w:p>
      <w:pPr>
        <w:ind w:left="272" w:hanging="272"/>
        <w:spacing w:after="0"/>
        <w:tabs>
          <w:tab w:leader="none" w:pos="27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Without Cause; Resignation For Good Reason</w:t>
      </w:r>
      <w:r>
        <w:rPr>
          <w:rFonts w:ascii="Arial" w:cs="Arial" w:eastAsia="Arial" w:hAnsi="Arial"/>
          <w:sz w:val="18"/>
          <w:szCs w:val="18"/>
          <w:b w:val="1"/>
          <w:bCs w:val="1"/>
          <w:color w:val="auto"/>
        </w:rPr>
        <w:t>.</w:t>
      </w:r>
    </w:p>
    <w:p>
      <w:pPr>
        <w:spacing w:after="0" w:line="256" w:lineRule="exact"/>
        <w:rPr>
          <w:sz w:val="20"/>
          <w:szCs w:val="20"/>
          <w:color w:val="auto"/>
        </w:rPr>
      </w:pPr>
    </w:p>
    <w:p>
      <w:pPr>
        <w:ind w:left="-8" w:right="20" w:firstLine="8"/>
        <w:spacing w:after="0" w:line="264" w:lineRule="auto"/>
        <w:tabs>
          <w:tab w:leader="none" w:pos="2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5</w:t>
      </w:r>
      <w:r>
        <w:rPr>
          <w:rFonts w:ascii="Arial" w:cs="Arial" w:eastAsia="Arial" w:hAnsi="Arial"/>
          <w:sz w:val="18"/>
          <w:szCs w:val="18"/>
          <w:color w:val="auto"/>
        </w:rPr>
        <w:t>, (i) the Company, upon thirty (30) days advance notice to Executive, shall have the right to terminate Executive’s employment with the Company without Cause at any time, including, without limitation, in connection with the expiration of the Term, and (ii) Executive, upon thirty (30) days advance notice to the Company, shall have the right to resign for Good Reason.</w:t>
      </w:r>
    </w:p>
    <w:p>
      <w:pPr>
        <w:spacing w:after="0" w:line="208" w:lineRule="exact"/>
        <w:rPr>
          <w:rFonts w:ascii="Arial" w:cs="Arial" w:eastAsia="Arial" w:hAnsi="Arial"/>
          <w:sz w:val="18"/>
          <w:szCs w:val="18"/>
          <w:color w:val="auto"/>
        </w:rPr>
      </w:pPr>
    </w:p>
    <w:p>
      <w:pPr>
        <w:ind w:left="272" w:hanging="272"/>
        <w:spacing w:after="0"/>
        <w:tabs>
          <w:tab w:leader="none" w:pos="2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Executive is so terminated without Cause or resigns for Good Reason, Executive shall receive from the Company:</w:t>
      </w:r>
    </w:p>
    <w:p>
      <w:pPr>
        <w:spacing w:after="0" w:line="252" w:lineRule="exact"/>
        <w:rPr>
          <w:sz w:val="20"/>
          <w:szCs w:val="20"/>
          <w:color w:val="auto"/>
        </w:rPr>
      </w:pPr>
    </w:p>
    <w:p>
      <w:pPr>
        <w:ind w:left="-8" w:right="920" w:firstLine="8"/>
        <w:spacing w:after="0" w:line="308" w:lineRule="auto"/>
        <w:tabs>
          <w:tab w:leader="none" w:pos="247"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Accrued Obligations through the date of termination, which shall be paid to Executive in a lump sum, subject to statutory deductions and withholdings, in cash within ten (10) business days after the date of termination or any earlier time required by applicable law.</w:t>
      </w:r>
    </w:p>
    <w:p>
      <w:pPr>
        <w:spacing w:after="0" w:line="169" w:lineRule="exact"/>
        <w:rPr>
          <w:rFonts w:ascii="Arial" w:cs="Arial" w:eastAsia="Arial" w:hAnsi="Arial"/>
          <w:sz w:val="17"/>
          <w:szCs w:val="17"/>
          <w:color w:val="auto"/>
        </w:rPr>
      </w:pPr>
    </w:p>
    <w:p>
      <w:pPr>
        <w:jc w:val="both"/>
        <w:ind w:left="-8" w:right="680" w:firstLine="8"/>
        <w:spacing w:after="0" w:line="289" w:lineRule="auto"/>
        <w:tabs>
          <w:tab w:leader="none" w:pos="247"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payment (“</w:t>
      </w:r>
      <w:r>
        <w:rPr>
          <w:rFonts w:ascii="Arial" w:cs="Arial" w:eastAsia="Arial" w:hAnsi="Arial"/>
          <w:sz w:val="17"/>
          <w:szCs w:val="17"/>
          <w:b w:val="1"/>
          <w:bCs w:val="1"/>
          <w:u w:val="single" w:color="auto"/>
          <w:color w:val="auto"/>
        </w:rPr>
        <w:t>Severance Payment</w:t>
      </w:r>
      <w:r>
        <w:rPr>
          <w:rFonts w:ascii="Arial" w:cs="Arial" w:eastAsia="Arial" w:hAnsi="Arial"/>
          <w:sz w:val="17"/>
          <w:szCs w:val="17"/>
          <w:color w:val="auto"/>
        </w:rPr>
        <w:t>”) equal to twelve (12) months of Executive’s current Base Salary. The Severance Payment shall be paid by the Company to Executive in equal installments in accordance with the Company’s customary payroll practices generally applicable to similarly situated employees as may be in effect from time to time and shall be subject to statutory deductions and withholdings.</w:t>
      </w:r>
    </w:p>
    <w:p>
      <w:pPr>
        <w:spacing w:after="0" w:line="189" w:lineRule="exact"/>
        <w:rPr>
          <w:rFonts w:ascii="Arial" w:cs="Arial" w:eastAsia="Arial" w:hAnsi="Arial"/>
          <w:sz w:val="17"/>
          <w:szCs w:val="17"/>
          <w:color w:val="auto"/>
        </w:rPr>
      </w:pPr>
    </w:p>
    <w:p>
      <w:pPr>
        <w:jc w:val="both"/>
        <w:ind w:left="-8" w:firstLine="8"/>
        <w:spacing w:after="0" w:line="259" w:lineRule="auto"/>
        <w:tabs>
          <w:tab w:leader="none" w:pos="25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the extent permitted by applicable law and the terms of the plans, the continuation of medical and dental plan benefits for a period of three hundred sixty (360) days (“</w:t>
      </w:r>
      <w:r>
        <w:rPr>
          <w:rFonts w:ascii="Arial" w:cs="Arial" w:eastAsia="Arial" w:hAnsi="Arial"/>
          <w:sz w:val="18"/>
          <w:szCs w:val="18"/>
          <w:b w:val="1"/>
          <w:bCs w:val="1"/>
          <w:u w:val="single" w:color="auto"/>
          <w:color w:val="auto"/>
        </w:rPr>
        <w:t>Benefit Period</w:t>
      </w:r>
      <w:r>
        <w:rPr>
          <w:rFonts w:ascii="Arial" w:cs="Arial" w:eastAsia="Arial" w:hAnsi="Arial"/>
          <w:sz w:val="18"/>
          <w:szCs w:val="18"/>
          <w:u w:val="single" w:color="auto"/>
          <w:color w:val="auto"/>
        </w:rPr>
        <w:t>”</w:t>
      </w:r>
      <w:r>
        <w:rPr>
          <w:rFonts w:ascii="Arial" w:cs="Arial" w:eastAsia="Arial" w:hAnsi="Arial"/>
          <w:sz w:val="18"/>
          <w:szCs w:val="18"/>
          <w:color w:val="auto"/>
        </w:rPr>
        <w:t>), provided that Executive shall be required to make all required contributions to such plans as Executive did prior to the date of termination. Subsequent to the Benefit Period, Executive will be eligible to continue medical insurance coverage for any remaining period required under COBRA.</w:t>
      </w:r>
    </w:p>
    <w:p>
      <w:pPr>
        <w:spacing w:after="0" w:line="214" w:lineRule="exact"/>
        <w:rPr>
          <w:sz w:val="20"/>
          <w:szCs w:val="20"/>
          <w:color w:val="auto"/>
        </w:rPr>
      </w:pPr>
    </w:p>
    <w:p>
      <w:pPr>
        <w:ind w:left="-8" w:right="120" w:firstLine="8"/>
        <w:spacing w:after="0" w:line="284" w:lineRule="auto"/>
        <w:tabs>
          <w:tab w:leader="none" w:pos="307"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As used in this Agreement, the term “Good Reason” shall mean (i) (except as set forth in </w:t>
      </w:r>
      <w:r>
        <w:rPr>
          <w:rFonts w:ascii="Arial" w:cs="Arial" w:eastAsia="Arial" w:hAnsi="Arial"/>
          <w:sz w:val="16"/>
          <w:szCs w:val="16"/>
          <w:u w:val="single" w:color="auto"/>
          <w:color w:val="auto"/>
        </w:rPr>
        <w:t>Section 5(e)</w:t>
      </w:r>
      <w:r>
        <w:rPr>
          <w:rFonts w:ascii="Arial" w:cs="Arial" w:eastAsia="Arial" w:hAnsi="Arial"/>
          <w:sz w:val="16"/>
          <w:szCs w:val="16"/>
          <w:color w:val="auto"/>
        </w:rPr>
        <w:t>) the relocation of the Company’s principal executive offices to a location that increases the Executive’s commute to the Executive’s normal work location by more than 50 miles, (ii) a material adverse change by Company of Executive’s status or position as the Senior Vice President and Chief Financial Officer, including, without limitation, a material diminution of his position, duties, responsibilities or authority or the assignment to him of duties or responsibilities that are materially inconsistent with his status or position; (iii) a reduction by the Company of Executive’s annual Base Salary or failure to pay same in violation of Section 4 (a), other than if such reduction is made as part of and consistent with an across-the-board temporary salary reduction instituted in conjuction with cost cutting measures and applicable to the Company’s senior executive officers generally or, (iv) a breach by the Company of any of its material obligations under this Agreement; or</w:t>
      </w:r>
    </w:p>
    <w:p>
      <w:pPr>
        <w:spacing w:after="0" w:line="2" w:lineRule="exact"/>
        <w:rPr>
          <w:rFonts w:ascii="Arial" w:cs="Arial" w:eastAsia="Arial" w:hAnsi="Arial"/>
          <w:sz w:val="16"/>
          <w:szCs w:val="16"/>
          <w:color w:val="auto"/>
        </w:rPr>
      </w:pPr>
    </w:p>
    <w:p>
      <w:pPr>
        <w:ind w:left="-8" w:firstLine="8"/>
        <w:spacing w:after="0" w:line="288" w:lineRule="auto"/>
        <w:tabs>
          <w:tab w:leader="none" w:pos="247"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connection with a Change in Control, the failure or refusal by the successor or acquiring company to expressly assume the obligations of Company under this Agreement. Executive will not have “Good Reason” to terminate his employment pursuant to (ii) above merely because he is no longer the chief financial officer of a public company, provided that his operational duties, responsibilities and authority are not otherwise materially diminished. As a condition to terminating his employment for Good Reason, Executive must specify in writing to the Company (or the successor or acquiring company) the nature of the act or omission that Executive deems to constitute Good Reason and provide the Company (or the successor or acquiring company) 30 days after receipt of such notice to review and, if required, correct the situation (and thus prevent Executive’s termination for Good Reason). Notice of termination for Good Reason must be provided, if at all, within 90 days after the occurrence of the event or condition giving rise to such termination.</w:t>
      </w:r>
    </w:p>
    <w:p>
      <w:pPr>
        <w:spacing w:after="0" w:line="195" w:lineRule="exact"/>
        <w:rPr>
          <w:rFonts w:ascii="Arial" w:cs="Arial" w:eastAsia="Arial" w:hAnsi="Arial"/>
          <w:sz w:val="16"/>
          <w:szCs w:val="16"/>
          <w:color w:val="auto"/>
        </w:rPr>
      </w:pPr>
    </w:p>
    <w:p>
      <w:pPr>
        <w:ind w:left="-8" w:firstLine="8"/>
        <w:spacing w:after="0" w:line="277" w:lineRule="auto"/>
        <w:tabs>
          <w:tab w:leader="none" w:pos="327"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As a condition to receiving the payment and benefits extension contemplated by this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Executive agrees to execute and deliver to the Company the Release substantially in the form attached to this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80" w:name="page81"/>
    <w:bookmarkEnd w:id="80"/>
    <w:p>
      <w:pPr>
        <w:ind w:left="260" w:hanging="252"/>
        <w:spacing w:after="0"/>
        <w:tabs>
          <w:tab w:leader="none" w:pos="2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For purposes of the Agreement, a “change of control” means, and shall be deemed to have taken place, if;</w:t>
      </w:r>
    </w:p>
    <w:p>
      <w:pPr>
        <w:spacing w:after="0" w:line="252" w:lineRule="exact"/>
        <w:rPr>
          <w:sz w:val="20"/>
          <w:szCs w:val="20"/>
          <w:color w:val="auto"/>
        </w:rPr>
      </w:pPr>
    </w:p>
    <w:p>
      <w:pPr>
        <w:ind w:right="160" w:firstLine="8"/>
        <w:spacing w:after="0" w:line="259"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individual, partnership, firm, corporation, association, trust, unincorporated organization or other entity or person, or any syndicate or group deemed to be a person under Section 14 (d) (2) of the Exchange Act, is or becomes the “beneficial owner” (as defined in Rule 13d-3 of the General Rules and Regulations under the Exchange Act), directly or indirectly, of securities of the Company representing 50% or more of the combined voting power of the Company’s then outstanding securities entitled to vote in the election of directors of the Company;</w:t>
      </w:r>
    </w:p>
    <w:p>
      <w:pPr>
        <w:spacing w:after="0" w:line="213" w:lineRule="exact"/>
        <w:rPr>
          <w:rFonts w:ascii="Arial" w:cs="Arial" w:eastAsia="Arial" w:hAnsi="Arial"/>
          <w:sz w:val="18"/>
          <w:szCs w:val="18"/>
          <w:color w:val="auto"/>
        </w:rPr>
      </w:pPr>
    </w:p>
    <w:p>
      <w:pPr>
        <w:ind w:right="260" w:firstLine="8"/>
        <w:spacing w:after="0" w:line="279" w:lineRule="auto"/>
        <w:tabs>
          <w:tab w:leader="none" w:pos="2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during any period of two (2) consecutive years (not including any period prior to the execution of (this Agreement) individuals who at the beginning of such period constituted the Board and any new directors, whose election by the Board or nomination for election by the Company’s shareholders was approved by a vote of at least three-fourths (3/4ths) of the directors then still in office who either were directors at the beginning of the period or whose election or nomination for election was previously so approved, cease for any reason to constitute a majority of the Board;</w:t>
      </w:r>
    </w:p>
    <w:p>
      <w:pPr>
        <w:spacing w:after="0" w:line="194" w:lineRule="exact"/>
        <w:rPr>
          <w:rFonts w:ascii="Arial" w:cs="Arial" w:eastAsia="Arial" w:hAnsi="Arial"/>
          <w:sz w:val="17"/>
          <w:szCs w:val="17"/>
          <w:color w:val="auto"/>
        </w:rPr>
      </w:pPr>
    </w:p>
    <w:p>
      <w:pPr>
        <w:jc w:val="both"/>
        <w:ind w:firstLine="8"/>
        <w:spacing w:after="0" w:line="266" w:lineRule="auto"/>
        <w:tabs>
          <w:tab w:leader="none" w:pos="27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occurs a reorganization, merger, consolidation or other corporate transaction involving the Company (a"</w:t>
      </w:r>
      <w:r>
        <w:rPr>
          <w:rFonts w:ascii="Arial" w:cs="Arial" w:eastAsia="Arial" w:hAnsi="Arial"/>
          <w:sz w:val="18"/>
          <w:szCs w:val="18"/>
          <w:b w:val="1"/>
          <w:bCs w:val="1"/>
          <w:u w:val="single" w:color="auto"/>
          <w:color w:val="auto"/>
        </w:rPr>
        <w:t>Transaction</w:t>
      </w:r>
      <w:r>
        <w:rPr>
          <w:rFonts w:ascii="Arial" w:cs="Arial" w:eastAsia="Arial" w:hAnsi="Arial"/>
          <w:sz w:val="18"/>
          <w:szCs w:val="18"/>
          <w:color w:val="auto"/>
        </w:rPr>
        <w:t>"), and shareholders of the Company immediately prior to such Transaction do not, immediately after the Transaction, own more than 50% of the combined voting power of the Company or other corporation resulting from such Transaction; or</w:t>
      </w:r>
    </w:p>
    <w:p>
      <w:pPr>
        <w:spacing w:after="0" w:line="20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is a "change in control" of the Company within the meaning of Section 280G of the U.S. Federal internal revenue code of 1986.</w:t>
      </w:r>
    </w:p>
    <w:p>
      <w:pPr>
        <w:spacing w:after="0" w:line="252"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5(e)</w:t>
      </w:r>
      <w:r>
        <w:rPr>
          <w:rFonts w:ascii="Arial" w:cs="Arial" w:eastAsia="Arial" w:hAnsi="Arial"/>
          <w:sz w:val="18"/>
          <w:szCs w:val="18"/>
          <w:color w:val="auto"/>
        </w:rPr>
        <w:t>, the term "Good Reason" shall have the meaning set forth in Section 5(d) (iii) above.</w:t>
      </w:r>
    </w:p>
    <w:p>
      <w:pPr>
        <w:spacing w:after="0" w:line="252" w:lineRule="exact"/>
        <w:rPr>
          <w:rFonts w:ascii="Arial" w:cs="Arial" w:eastAsia="Arial" w:hAnsi="Arial"/>
          <w:sz w:val="18"/>
          <w:szCs w:val="18"/>
          <w:color w:val="auto"/>
        </w:rPr>
      </w:pPr>
    </w:p>
    <w:p>
      <w:pPr>
        <w:jc w:val="both"/>
        <w:ind w:firstLine="8"/>
        <w:spacing w:after="0" w:line="255" w:lineRule="auto"/>
        <w:tabs>
          <w:tab w:leader="none" w:pos="321"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In the event Executive is terminated by the Company for any reason (other than for Cause as defined in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thereof, but including a resignation for Good Reason as defined in </w:t>
      </w:r>
      <w:r>
        <w:rPr>
          <w:rFonts w:ascii="Arial" w:cs="Arial" w:eastAsia="Arial" w:hAnsi="Arial"/>
          <w:sz w:val="18"/>
          <w:szCs w:val="18"/>
          <w:u w:val="single" w:color="auto"/>
          <w:color w:val="auto"/>
        </w:rPr>
        <w:t>Section 5(e)(ii)</w:t>
      </w:r>
      <w:r>
        <w:rPr>
          <w:rFonts w:ascii="Arial" w:cs="Arial" w:eastAsia="Arial" w:hAnsi="Arial"/>
          <w:sz w:val="18"/>
          <w:szCs w:val="18"/>
          <w:color w:val="auto"/>
        </w:rPr>
        <w:t xml:space="preserve">), during the period three (3) months before or two (2) years following a "change in control" of the Company (or any successor), Executive shall be entitled to receive a cash payment equal to eighteen (18) months of Executive's current Base Salary and the benefits described in </w:t>
      </w:r>
      <w:r>
        <w:rPr>
          <w:rFonts w:ascii="Arial" w:cs="Arial" w:eastAsia="Arial" w:hAnsi="Arial"/>
          <w:sz w:val="18"/>
          <w:szCs w:val="18"/>
          <w:u w:val="single" w:color="auto"/>
          <w:color w:val="auto"/>
        </w:rPr>
        <w:t>Section 5(d)(3)</w:t>
      </w:r>
      <w:r>
        <w:rPr>
          <w:rFonts w:ascii="Arial" w:cs="Arial" w:eastAsia="Arial" w:hAnsi="Arial"/>
          <w:sz w:val="18"/>
          <w:szCs w:val="18"/>
          <w:color w:val="auto"/>
        </w:rPr>
        <w:t xml:space="preserve"> of the Agreement. Upon such "change of control" during the Term, the Term of this Agreement shall automatically be the period equal to the longer of (i) two (2) years from the date of the "change of control" or (ii) the remaining period of the initial three (3) year Term after the "change of control". In no event shall Executive be entitled to receive both the Severance Payment described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hereof and the "change of control" payment described in this </w:t>
      </w:r>
      <w:r>
        <w:rPr>
          <w:rFonts w:ascii="Arial" w:cs="Arial" w:eastAsia="Arial" w:hAnsi="Arial"/>
          <w:sz w:val="18"/>
          <w:szCs w:val="18"/>
          <w:u w:val="single" w:color="auto"/>
          <w:color w:val="auto"/>
        </w:rPr>
        <w:t>Section 5(e)</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right="980" w:firstLine="8"/>
        <w:spacing w:after="0" w:line="342" w:lineRule="auto"/>
        <w:tabs>
          <w:tab w:leader="none" w:pos="30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Any payments to be made to Executive in connection with this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shall be made in a lump sum, subject to statutory deductions and withholdings, in cash within ten (10) business days after the date of termination or any earlier time required by applicable law.</w:t>
      </w:r>
    </w:p>
    <w:p>
      <w:pPr>
        <w:spacing w:after="0" w:line="147" w:lineRule="exact"/>
        <w:rPr>
          <w:sz w:val="20"/>
          <w:szCs w:val="20"/>
          <w:color w:val="auto"/>
        </w:rPr>
      </w:pPr>
    </w:p>
    <w:p>
      <w:pPr>
        <w:ind w:left="240" w:hanging="232"/>
        <w:spacing w:after="0"/>
        <w:tabs>
          <w:tab w:leader="none" w:pos="2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Treatment of Stock Options and Other Equity Awards Upon a Termination</w:t>
      </w:r>
      <w:r>
        <w:rPr>
          <w:rFonts w:ascii="Arial" w:cs="Arial" w:eastAsia="Arial" w:hAnsi="Arial"/>
          <w:sz w:val="18"/>
          <w:szCs w:val="18"/>
          <w:b w:val="1"/>
          <w:bCs w:val="1"/>
          <w:color w:val="auto"/>
        </w:rPr>
        <w:t>.</w:t>
      </w:r>
    </w:p>
    <w:p>
      <w:pPr>
        <w:spacing w:after="0" w:line="256" w:lineRule="exact"/>
        <w:rPr>
          <w:sz w:val="20"/>
          <w:szCs w:val="20"/>
          <w:color w:val="auto"/>
        </w:rPr>
      </w:pPr>
    </w:p>
    <w:p>
      <w:pPr>
        <w:ind w:right="180" w:firstLine="8"/>
        <w:spacing w:after="0" w:line="264" w:lineRule="auto"/>
        <w:tabs>
          <w:tab w:leader="none" w:pos="2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this Agreement is terminated pursuant to clause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w:t>
      </w:r>
      <w:r>
        <w:rPr>
          <w:rFonts w:ascii="Arial" w:cs="Arial" w:eastAsia="Arial" w:hAnsi="Arial"/>
          <w:sz w:val="18"/>
          <w:szCs w:val="18"/>
          <w:color w:val="auto"/>
        </w:rPr>
        <w:t>, all stock options or similar rights granted to Executive pursuant to the Company's stock option plans shall immediately vest as of the date of termination and Executive may exercise any such vested stock options for a period of 390 days following such termination, but in no event later than ten (10) years after grant.</w:t>
      </w:r>
    </w:p>
    <w:p>
      <w:pPr>
        <w:spacing w:after="0" w:line="208" w:lineRule="exact"/>
        <w:rPr>
          <w:rFonts w:ascii="Arial" w:cs="Arial" w:eastAsia="Arial" w:hAnsi="Arial"/>
          <w:sz w:val="18"/>
          <w:szCs w:val="18"/>
          <w:color w:val="auto"/>
        </w:rPr>
      </w:pPr>
    </w:p>
    <w:p>
      <w:pPr>
        <w:ind w:firstLine="8"/>
        <w:spacing w:after="0" w:line="277" w:lineRule="auto"/>
        <w:tabs>
          <w:tab w:leader="none" w:pos="2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this Agreement is terminated pursuant to clause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w:t>
      </w:r>
      <w:r>
        <w:rPr>
          <w:rFonts w:ascii="Arial" w:cs="Arial" w:eastAsia="Arial" w:hAnsi="Arial"/>
          <w:sz w:val="18"/>
          <w:szCs w:val="18"/>
          <w:color w:val="auto"/>
        </w:rPr>
        <w:t>, all stock options granted to Executive pursuant to the Company's stock plans shall terminate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ind w:right="180"/>
        <w:spacing w:after="0" w:line="252" w:lineRule="auto"/>
        <w:rPr>
          <w:sz w:val="20"/>
          <w:szCs w:val="20"/>
          <w:color w:val="auto"/>
        </w:rPr>
      </w:pPr>
      <w:r>
        <w:rPr>
          <w:rFonts w:ascii="Arial" w:cs="Arial" w:eastAsia="Arial" w:hAnsi="Arial"/>
          <w:sz w:val="21"/>
          <w:szCs w:val="21"/>
          <w:color w:val="auto"/>
        </w:rPr>
        <w:t>To the extent that the Executive has been granted stock options intended to be incentive stock options under Section 422 of the Internal Revenue Code, such stock options shall cease to be incentive stock options and shall be treated as nonqualified stock options if the options are exercised by the Employee more than three (3) months (one year in case of death or disability as defined in Section 422 of the Internal Revenue Code) following termination of employment.</w:t>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expressly modified by this clause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w:t>
      </w:r>
      <w:r>
        <w:rPr>
          <w:rFonts w:ascii="Arial" w:cs="Arial" w:eastAsia="Arial" w:hAnsi="Arial"/>
          <w:sz w:val="18"/>
          <w:szCs w:val="18"/>
          <w:color w:val="auto"/>
        </w:rPr>
        <w:t>, all stock options and similar rights granted under the Company's stock plans shall remain subject to all of the terms and conditions of the applicable stock plans and agreements evidencing the grants thereof.</w:t>
      </w:r>
    </w:p>
    <w:p>
      <w:pPr>
        <w:spacing w:after="0" w:line="193" w:lineRule="exact"/>
        <w:rPr>
          <w:sz w:val="20"/>
          <w:szCs w:val="20"/>
          <w:color w:val="auto"/>
        </w:rPr>
      </w:pPr>
    </w:p>
    <w:p>
      <w:pPr>
        <w:jc w:val="both"/>
        <w:ind w:firstLine="8"/>
        <w:spacing w:after="0" w:line="266" w:lineRule="auto"/>
        <w:tabs>
          <w:tab w:leader="none" w:pos="26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Status of Executive During Exclusivity Period</w:t>
      </w:r>
      <w:r>
        <w:rPr>
          <w:rFonts w:ascii="Arial" w:cs="Arial" w:eastAsia="Arial" w:hAnsi="Arial"/>
          <w:sz w:val="18"/>
          <w:szCs w:val="18"/>
          <w:color w:val="auto"/>
        </w:rPr>
        <w:t>. If this Agreement is terminated pursuant to clauses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 (b), or (d)</w:t>
      </w:r>
      <w:r>
        <w:rPr>
          <w:rFonts w:ascii="Arial" w:cs="Arial" w:eastAsia="Arial" w:hAnsi="Arial"/>
          <w:sz w:val="18"/>
          <w:szCs w:val="18"/>
          <w:b w:val="1"/>
          <w:bCs w:val="1"/>
          <w:color w:val="auto"/>
        </w:rPr>
        <w:t xml:space="preserve">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 during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Exclusivity Period the Executive shall be deemed and treated as an employee of the Company for the purposes of all payroll, benefits, welfare and stock option plans.</w:t>
      </w:r>
    </w:p>
    <w:p>
      <w:pPr>
        <w:spacing w:after="0" w:line="203" w:lineRule="exact"/>
        <w:rPr>
          <w:rFonts w:ascii="Arial" w:cs="Arial" w:eastAsia="Arial" w:hAnsi="Arial"/>
          <w:sz w:val="18"/>
          <w:szCs w:val="18"/>
          <w:b w:val="1"/>
          <w:bCs w:val="1"/>
          <w:color w:val="auto"/>
        </w:rPr>
      </w:pPr>
    </w:p>
    <w:p>
      <w:pPr>
        <w:ind w:right="240" w:firstLine="8"/>
        <w:spacing w:after="0" w:line="261" w:lineRule="auto"/>
        <w:tabs>
          <w:tab w:leader="none" w:pos="21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Exclusive Remedy</w:t>
      </w:r>
      <w:r>
        <w:rPr>
          <w:rFonts w:ascii="Arial" w:cs="Arial" w:eastAsia="Arial" w:hAnsi="Arial"/>
          <w:sz w:val="18"/>
          <w:szCs w:val="18"/>
          <w:color w:val="auto"/>
        </w:rPr>
        <w:t>. Executive agrees that the payments and other benefits provided and contemplated by this Agreement shall constitute the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obligation of the Company in respect of Executive's employment with and relationship to the Company and that the full payment thereof shall be the sole and exclusive remedy for any termination of Executive's employment. Executive covenants not to assert or pursue any other remedies, at law or in equity, with respect to any termination of employment.</w:t>
      </w:r>
    </w:p>
    <w:p>
      <w:pPr>
        <w:spacing w:after="0" w:line="207" w:lineRule="exact"/>
        <w:rPr>
          <w:sz w:val="20"/>
          <w:szCs w:val="20"/>
          <w:color w:val="auto"/>
        </w:rPr>
      </w:pPr>
    </w:p>
    <w:p>
      <w:pPr>
        <w:ind w:firstLine="8"/>
        <w:spacing w:after="0" w:line="303" w:lineRule="auto"/>
        <w:tabs>
          <w:tab w:leader="none" w:pos="18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Business Expenses</w:t>
      </w:r>
      <w:r>
        <w:rPr>
          <w:rFonts w:ascii="Arial" w:cs="Arial" w:eastAsia="Arial" w:hAnsi="Arial"/>
          <w:sz w:val="16"/>
          <w:szCs w:val="16"/>
          <w:color w:val="auto"/>
        </w:rPr>
        <w:t>. During the Term of this Agreement, to the extent that such expenditures satisfy the criteria under the Internal Revenue Code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laws for deductibility by the Company (whether or not fully deductible by the Company) for federal income tax purposes as ordinary and necessary business expenses, the Company shall provide the Executive with reimbursement of reasonable business expenses incurred by the Executive while conducting Company business in a manner consistent with the Company's policies and provisions applicable to the Executives of the Company.</w:t>
      </w:r>
    </w:p>
    <w:p>
      <w:pPr>
        <w:spacing w:after="0" w:line="178" w:lineRule="exact"/>
        <w:rPr>
          <w:rFonts w:ascii="Arial" w:cs="Arial" w:eastAsia="Arial" w:hAnsi="Arial"/>
          <w:sz w:val="16"/>
          <w:szCs w:val="16"/>
          <w:b w:val="1"/>
          <w:bCs w:val="1"/>
          <w:color w:val="auto"/>
        </w:rPr>
      </w:pPr>
    </w:p>
    <w:p>
      <w:pPr>
        <w:ind w:left="180" w:hanging="172"/>
        <w:spacing w:after="0"/>
        <w:tabs>
          <w:tab w:leader="none" w:pos="1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b w:val="1"/>
          <w:bCs w:val="1"/>
          <w:color w:val="auto"/>
        </w:rPr>
        <w:t>.</w:t>
      </w:r>
    </w:p>
    <w:p>
      <w:pPr>
        <w:spacing w:after="0" w:line="256" w:lineRule="exact"/>
        <w:rPr>
          <w:sz w:val="20"/>
          <w:szCs w:val="20"/>
          <w:color w:val="auto"/>
        </w:rPr>
      </w:pPr>
    </w:p>
    <w:p>
      <w:pPr>
        <w:ind w:right="240" w:firstLine="8"/>
        <w:spacing w:after="0" w:line="253" w:lineRule="auto"/>
        <w:tabs>
          <w:tab w:leader="none" w:pos="2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Executive acknowledges that the nature of Executive's employment by the Company is such that Executive shall have access to information of a confidential and/or trade secret nature which has great value to the Company and which constitutes a substantial basis and foundation upon which the business of the Company is based. Such information includes (A) trade secrets, inventions, mask works, ideas, processes, manufacturing, formulas, source and object codes, data, programs, other works of authorship, know-how, improvements, discoveries, developments or experimental work, designs, and techniques; (B) information regarding plans for research, development, new products, marketing and selling, business plans, budgets and unpublished financial statements, licenses, prices and costs, suppliers and customers; (C) information regarding the skills and compensation of other employees the Company or its affiliates, including but not limited to, their respective business plans or clients (including, without limitation, customer lists and lists of customer sources), or information relating to the products, services, customers, sales or business affairs of the Company or its Affiliates (the "</w:t>
      </w:r>
      <w:r>
        <w:rPr>
          <w:rFonts w:ascii="Arial" w:cs="Arial" w:eastAsia="Arial" w:hAnsi="Arial"/>
          <w:sz w:val="18"/>
          <w:szCs w:val="18"/>
          <w:b w:val="1"/>
          <w:bCs w:val="1"/>
          <w:u w:val="single" w:color="auto"/>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Information</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jc w:val="both"/>
        <w:ind w:firstLine="8"/>
        <w:spacing w:after="0" w:line="297" w:lineRule="auto"/>
        <w:tabs>
          <w:tab w:leader="none" w:pos="262"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Executive shall keep all such Confidential Information in confidence during the Term of this Agreement and at any time thereafter and shall not disclose any of such Confidential Information to any other person, except to the extent such disclosure is (i) necessary to the performance of this Agreement and in furtherance of the Company's best interests, (ii) required by applicable law, (iii) lawfully obtainable from other sources, or (iv) authorized in writing by the Board. Upon termination of Executive's employment with the Company, Executive shall deliver to the Company all documents, records, notebooks, work papers, and all similar material containing any of the foregoing information, whether prepared by Executive, the Company or anyone else.</w:t>
      </w:r>
    </w:p>
    <w:p>
      <w:pPr>
        <w:spacing w:after="0" w:line="181" w:lineRule="exact"/>
        <w:rPr>
          <w:sz w:val="20"/>
          <w:szCs w:val="20"/>
          <w:color w:val="auto"/>
        </w:rPr>
      </w:pPr>
    </w:p>
    <w:p>
      <w:pPr>
        <w:ind w:right="60" w:firstLine="8"/>
        <w:spacing w:after="0" w:line="347" w:lineRule="auto"/>
        <w:tabs>
          <w:tab w:leader="none" w:pos="18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Non-Competition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covenants and agrees that commencing on the date hereof and continuing for the entire Term of Executive's employment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for a period of twelve (12) months thereafter (the "</w:t>
      </w:r>
      <w:r>
        <w:rPr>
          <w:rFonts w:ascii="Arial" w:cs="Arial" w:eastAsia="Arial" w:hAnsi="Arial"/>
          <w:sz w:val="16"/>
          <w:szCs w:val="16"/>
          <w:b w:val="1"/>
          <w:bCs w:val="1"/>
          <w:u w:val="single" w:color="auto"/>
          <w:color w:val="auto"/>
        </w:rPr>
        <w:t>Exclusivity Period</w:t>
      </w:r>
      <w:r>
        <w:rPr>
          <w:rFonts w:ascii="Arial" w:cs="Arial" w:eastAsia="Arial" w:hAnsi="Arial"/>
          <w:sz w:val="16"/>
          <w:szCs w:val="16"/>
          <w:color w:val="auto"/>
        </w:rPr>
        <w:t>"), Executive shall not, and shall cause each of its affiliates (if applicable) not to :</w:t>
      </w:r>
    </w:p>
    <w:p>
      <w:pPr>
        <w:spacing w:after="0" w:line="120" w:lineRule="exact"/>
        <w:rPr>
          <w:sz w:val="20"/>
          <w:szCs w:val="20"/>
          <w:color w:val="auto"/>
        </w:rPr>
      </w:pPr>
    </w:p>
    <w:p>
      <w:pPr>
        <w:ind w:right="220" w:firstLine="8"/>
        <w:spacing w:after="0" w:line="264" w:lineRule="auto"/>
        <w:tabs>
          <w:tab w:leader="none" w:pos="2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Acquire any controlling ownership interest in or engage, directly or indirectly, for themselves or as agent, consultant, employee or otherwise, in any business which is competitive with or damaging to the business of the Company or any subsidiary of the Company, whether such business is now owned or hereafter organized or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ind w:right="460" w:firstLine="8"/>
        <w:spacing w:after="0" w:line="277"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Undertake the planning for or organization of, directly or indirectly, alone or in combination with any person or entity any business activity which is competitive with or damaging to the business of the Company or any subsidiary of the Company;</w:t>
      </w:r>
    </w:p>
    <w:p>
      <w:pPr>
        <w:spacing w:after="0" w:line="166" w:lineRule="exact"/>
        <w:rPr>
          <w:rFonts w:ascii="Arial" w:cs="Arial" w:eastAsia="Arial" w:hAnsi="Arial"/>
          <w:sz w:val="18"/>
          <w:szCs w:val="18"/>
          <w:color w:val="auto"/>
        </w:rPr>
      </w:pPr>
    </w:p>
    <w:p>
      <w:pPr>
        <w:ind w:firstLine="8"/>
        <w:spacing w:after="0" w:line="277" w:lineRule="auto"/>
        <w:tabs>
          <w:tab w:leader="none" w:pos="245"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Solicit, attempt to solicit, </w:t>
      </w:r>
      <w:r>
        <w:rPr>
          <w:rFonts w:ascii="Arial" w:cs="Arial" w:eastAsia="Arial" w:hAnsi="Arial"/>
          <w:sz w:val="17"/>
          <w:szCs w:val="17"/>
          <w:b w:val="1"/>
          <w:bCs w:val="1"/>
          <w:color w:val="auto"/>
        </w:rPr>
        <w:t>or assist others in soliciting or attempting to solicit</w:t>
      </w:r>
      <w:r>
        <w:rPr>
          <w:rFonts w:ascii="Arial" w:cs="Arial" w:eastAsia="Arial" w:hAnsi="Arial"/>
          <w:sz w:val="17"/>
          <w:szCs w:val="17"/>
          <w:color w:val="auto"/>
        </w:rPr>
        <w:t xml:space="preserve">, directly or indirectly, any business related to the business of the Company from any customers or prospective customers of the Company; for the purposes of this </w:t>
      </w:r>
      <w:r>
        <w:rPr>
          <w:rFonts w:ascii="Arial" w:cs="Arial" w:eastAsia="Arial" w:hAnsi="Arial"/>
          <w:sz w:val="17"/>
          <w:szCs w:val="17"/>
          <w:u w:val="single" w:color="auto"/>
          <w:color w:val="auto"/>
        </w:rPr>
        <w:t>Section 8</w:t>
      </w:r>
      <w:r>
        <w:rPr>
          <w:rFonts w:ascii="Arial" w:cs="Arial" w:eastAsia="Arial" w:hAnsi="Arial"/>
          <w:sz w:val="17"/>
          <w:szCs w:val="17"/>
          <w:color w:val="auto"/>
        </w:rPr>
        <w:t>, the term "</w:t>
      </w:r>
      <w:r>
        <w:rPr>
          <w:rFonts w:ascii="Arial" w:cs="Arial" w:eastAsia="Arial" w:hAnsi="Arial"/>
          <w:sz w:val="17"/>
          <w:szCs w:val="17"/>
          <w:b w:val="1"/>
          <w:bCs w:val="1"/>
          <w:u w:val="single" w:color="auto"/>
          <w:color w:val="auto"/>
        </w:rPr>
        <w:t>customer</w:t>
      </w:r>
      <w:r>
        <w:rPr>
          <w:rFonts w:ascii="Arial" w:cs="Arial" w:eastAsia="Arial" w:hAnsi="Arial"/>
          <w:sz w:val="17"/>
          <w:szCs w:val="17"/>
          <w:color w:val="auto"/>
        </w:rPr>
        <w:t>" means any entity or person who is or has been a client or customer of the Company during the time which Executive was employed with the Company, and the term "</w:t>
      </w:r>
      <w:r>
        <w:rPr>
          <w:rFonts w:ascii="Arial" w:cs="Arial" w:eastAsia="Arial" w:hAnsi="Arial"/>
          <w:sz w:val="17"/>
          <w:szCs w:val="17"/>
          <w:b w:val="1"/>
          <w:bCs w:val="1"/>
          <w:u w:val="single" w:color="auto"/>
          <w:color w:val="auto"/>
        </w:rPr>
        <w:t>prospective customer</w:t>
      </w:r>
      <w:r>
        <w:rPr>
          <w:rFonts w:ascii="Arial" w:cs="Arial" w:eastAsia="Arial" w:hAnsi="Arial"/>
          <w:sz w:val="17"/>
          <w:szCs w:val="17"/>
          <w:color w:val="auto"/>
        </w:rPr>
        <w:t>" means a person or entity who became known to the Company during the time which Executive was employed with the Company as a result of that person's or entity's interest in obtaining the services or products of the Company; and</w:t>
      </w:r>
    </w:p>
    <w:p>
      <w:pPr>
        <w:spacing w:after="0" w:line="168" w:lineRule="exact"/>
        <w:rPr>
          <w:rFonts w:ascii="Arial" w:cs="Arial" w:eastAsia="Arial" w:hAnsi="Arial"/>
          <w:sz w:val="17"/>
          <w:szCs w:val="17"/>
          <w:color w:val="auto"/>
        </w:rPr>
      </w:pPr>
    </w:p>
    <w:p>
      <w:pPr>
        <w:jc w:val="both"/>
        <w:ind w:right="240" w:firstLine="8"/>
        <w:spacing w:after="0" w:line="266"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Solicit, attempt to solicit, </w:t>
      </w:r>
      <w:r>
        <w:rPr>
          <w:rFonts w:ascii="Arial" w:cs="Arial" w:eastAsia="Arial" w:hAnsi="Arial"/>
          <w:sz w:val="18"/>
          <w:szCs w:val="18"/>
          <w:b w:val="1"/>
          <w:bCs w:val="1"/>
          <w:color w:val="auto"/>
        </w:rPr>
        <w:t>or assist others in soliciting or attempting to solicit, directly or indirectly, for employment or any similar capacity</w:t>
      </w:r>
      <w:r>
        <w:rPr>
          <w:rFonts w:ascii="Arial" w:cs="Arial" w:eastAsia="Arial" w:hAnsi="Arial"/>
          <w:sz w:val="18"/>
          <w:szCs w:val="18"/>
          <w:color w:val="auto"/>
        </w:rPr>
        <w:t>, any person who is an employee of, or an independent contractor for, the Company or its direct or indirect subsidiaries, parents or Affiliates or who was such an employee within twelve (12) months prior to the date of such solicitation or attempted solicitation.</w:t>
      </w:r>
    </w:p>
    <w:p>
      <w:pPr>
        <w:spacing w:after="0" w:line="180" w:lineRule="exact"/>
        <w:rPr>
          <w:rFonts w:ascii="Arial" w:cs="Arial" w:eastAsia="Arial" w:hAnsi="Arial"/>
          <w:sz w:val="18"/>
          <w:szCs w:val="18"/>
          <w:color w:val="auto"/>
        </w:rPr>
      </w:pPr>
    </w:p>
    <w:p>
      <w:pPr>
        <w:ind w:right="400" w:firstLine="8"/>
        <w:spacing w:after="0" w:line="277" w:lineRule="auto"/>
        <w:tabs>
          <w:tab w:leader="none" w:pos="2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Executive acknowledges that in the event of his employment with the Company terminates for any reason, Executive will be able to earn a livelihood without violating the foregoing restrictions.</w:t>
      </w:r>
    </w:p>
    <w:p>
      <w:pPr>
        <w:spacing w:after="0" w:line="170" w:lineRule="exact"/>
        <w:rPr>
          <w:rFonts w:ascii="Arial" w:cs="Arial" w:eastAsia="Arial" w:hAnsi="Arial"/>
          <w:sz w:val="18"/>
          <w:szCs w:val="18"/>
          <w:color w:val="auto"/>
        </w:rPr>
      </w:pPr>
    </w:p>
    <w:p>
      <w:pPr>
        <w:ind w:right="20" w:firstLine="8"/>
        <w:spacing w:after="0" w:line="276" w:lineRule="auto"/>
        <w:tabs>
          <w:tab w:leader="none" w:pos="225"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If any provision or clause, or portion thereof, within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be held by any court or other tribunal of competent jurisdiction to be illegal, invalid, or unenforceable in such jurisdiction, the remainder of such provision shall not be thereby affected and shall be given full effect, without regard to the invalid portion. It is the intention of the parties that, if any court construes any provision or clause within this </w:t>
      </w:r>
      <w:r>
        <w:rPr>
          <w:rFonts w:ascii="Arial" w:cs="Arial" w:eastAsia="Arial" w:hAnsi="Arial"/>
          <w:sz w:val="17"/>
          <w:szCs w:val="17"/>
          <w:u w:val="single" w:color="auto"/>
          <w:color w:val="auto"/>
        </w:rPr>
        <w:t>Section 8</w:t>
      </w:r>
      <w:r>
        <w:rPr>
          <w:rFonts w:ascii="Arial" w:cs="Arial" w:eastAsia="Arial" w:hAnsi="Arial"/>
          <w:sz w:val="17"/>
          <w:szCs w:val="17"/>
          <w:color w:val="auto"/>
        </w:rPr>
        <w:t>, or any portion thereof: to be illegal, void or unenforceable because of the duration of such provision or the geographic area or matter covered thereby, such court shall reduce the duration, area, or matter of such provision, and, in its reduced form, such provision shall then be enforceable and shall be enforced.</w:t>
      </w:r>
    </w:p>
    <w:p>
      <w:pPr>
        <w:spacing w:after="0" w:line="169"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b w:val="1"/>
          <w:bCs w:val="1"/>
          <w:color w:val="auto"/>
        </w:rPr>
        <w:t xml:space="preserve"> .</w:t>
      </w:r>
    </w:p>
    <w:p>
      <w:pPr>
        <w:spacing w:after="0" w:line="229" w:lineRule="exact"/>
        <w:rPr>
          <w:sz w:val="20"/>
          <w:szCs w:val="20"/>
          <w:color w:val="auto"/>
        </w:rPr>
      </w:pPr>
    </w:p>
    <w:p>
      <w:pPr>
        <w:ind w:firstLine="8"/>
        <w:spacing w:after="0" w:line="272" w:lineRule="auto"/>
        <w:tabs>
          <w:tab w:leader="none" w:pos="245"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Executive has no interest (except as disclosed to the Company) in any inventions, designs, improvements, patents, copyrights and discoveries which are useful in or directly or indirectly related to the business of the Company or to any experimental work carried on by the Company. Except as may be limited by applicable law, all inventions, designs, improvements, patents, copyrights and discoveries conceived by Executive during the Term of this Agreement which are useful in or directly or indirectly related to the business of the Company or to any experimental work carried on by the Company, shall be the property of the Company. Executive will promptly and fully disclose to the Company all such inventions, designs, improvements, patents, copyrights and discoveries (whether developed individually or with other persons) and will take all steps necessary and reasonably required to assure the Company's ownership thereof and to assist the Company in protecting or defending the Company's proprietary rights therein.</w:t>
      </w:r>
    </w:p>
    <w:p>
      <w:pPr>
        <w:spacing w:after="0" w:line="177" w:lineRule="exact"/>
        <w:rPr>
          <w:rFonts w:ascii="Arial" w:cs="Arial" w:eastAsia="Arial" w:hAnsi="Arial"/>
          <w:sz w:val="17"/>
          <w:szCs w:val="17"/>
          <w:color w:val="auto"/>
        </w:rPr>
      </w:pPr>
    </w:p>
    <w:p>
      <w:pPr>
        <w:ind w:firstLine="8"/>
        <w:spacing w:after="0" w:line="285" w:lineRule="auto"/>
        <w:tabs>
          <w:tab w:leader="none" w:pos="2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Executive also agrees to assist the Company in obtaining United States or foreign letters patent and copyright registrations covering inventions assigned hereunder to the Company and that Executive's obligation to assist the Company shall continue beyond the termination of Executive's employment but the Company shall compensate Executive at a reasonable rate for time actually spent by Executive at the Company's request with respect to such assistance. If the Company is unable because of Executive's mental or physical incapacity or for any other reason to secure Executive's signature to apply for or to pursue any application for any United States or foreign letters patent or copyright registrations covering inventions assigned to the Company, then Executive</w:t>
      </w:r>
    </w:p>
    <w:p>
      <w:pPr>
        <w:spacing w:after="0" w:line="2" w:lineRule="exact"/>
        <w:rPr>
          <w:rFonts w:ascii="Arial" w:cs="Arial" w:eastAsia="Arial" w:hAnsi="Arial"/>
          <w:sz w:val="16"/>
          <w:szCs w:val="16"/>
          <w:color w:val="auto"/>
        </w:rPr>
      </w:pPr>
    </w:p>
    <w:p>
      <w:pPr>
        <w:ind w:right="20"/>
        <w:spacing w:after="0" w:line="269" w:lineRule="auto"/>
        <w:rPr>
          <w:rFonts w:ascii="Arial" w:cs="Arial" w:eastAsia="Arial" w:hAnsi="Arial"/>
          <w:sz w:val="16"/>
          <w:szCs w:val="16"/>
          <w:color w:val="auto"/>
        </w:rPr>
      </w:pPr>
      <w:r>
        <w:rPr>
          <w:rFonts w:ascii="Arial" w:cs="Arial" w:eastAsia="Arial" w:hAnsi="Arial"/>
          <w:sz w:val="17"/>
          <w:szCs w:val="17"/>
          <w:color w:val="auto"/>
        </w:rPr>
        <w:t>hereby irrevocably designates and appoints the Company, each of its duly authorized officers and agents as Executive's agent and attorney-in-fact to act for and in Executive's behalf and stead to execute and file any such applications and to do all other lawfully permitted acts to further the prosecution and issuance of letters patent or copyright registrations thereon with the same legal force and effect as if executed by Executive. Executive will further assist the Company in every way to enforce any copyrights or patents obtained including, without limitation, testifying in any suit or proceeding involving any of the copyrights or patents or executing any documents deemed necessary by the Company, all without further consideration but at the expense of the Company. If Executive is called upon to render such assistance after the termination of Executive's employment, then Executive shall be entitled to a fair and reasonable per diem fee in addition to reimbursement of any expenses incurred at the request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3" w:name="page84"/>
    <w:bookmarkEnd w:id="83"/>
    <w:p>
      <w:pPr>
        <w:ind w:right="100"/>
        <w:spacing w:after="0" w:line="274" w:lineRule="auto"/>
        <w:rPr>
          <w:sz w:val="20"/>
          <w:szCs w:val="20"/>
          <w:color w:val="auto"/>
        </w:rPr>
      </w:pPr>
      <w:r>
        <w:rPr>
          <w:rFonts w:ascii="Arial" w:cs="Arial" w:eastAsia="Arial" w:hAnsi="Arial"/>
          <w:sz w:val="17"/>
          <w:szCs w:val="17"/>
          <w:b w:val="1"/>
          <w:bCs w:val="1"/>
          <w:color w:val="auto"/>
        </w:rPr>
        <w:t xml:space="preserve">10 . </w:t>
      </w:r>
      <w:r>
        <w:rPr>
          <w:rFonts w:ascii="Arial" w:cs="Arial" w:eastAsia="Arial" w:hAnsi="Arial"/>
          <w:sz w:val="17"/>
          <w:szCs w:val="17"/>
          <w:b w:val="1"/>
          <w:bCs w:val="1"/>
          <w:u w:val="single" w:color="auto"/>
          <w:color w:val="auto"/>
        </w:rPr>
        <w:t>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agree that the services to be rendered by Executive pursuant to this Agreement, and the rights and privileges granted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pursuant to this Agreement, are of a special, unique, extraordinary and intellectual character, which gives them a peculiar value, the loss of which cannot be reasonably or adequately compensated in damages in any action at law, and that a breach by Executive of any of the terms of this Agreement will cause the Company great and irreparable injury and damage. Executive hereby expressly agrees that the Company shall be entitled to the remedies of injunction, specific performance and other equitable relief to prevent a breach of this Agreement by Executive. This </w:t>
      </w:r>
      <w:r>
        <w:rPr>
          <w:rFonts w:ascii="Arial" w:cs="Arial" w:eastAsia="Arial" w:hAnsi="Arial"/>
          <w:sz w:val="17"/>
          <w:szCs w:val="17"/>
          <w:b w:val="1"/>
          <w:bCs w:val="1"/>
          <w:u w:val="single" w:color="auto"/>
          <w:color w:val="auto"/>
        </w:rPr>
        <w:t>Section 10</w:t>
      </w:r>
      <w:r>
        <w:rPr>
          <w:rFonts w:ascii="Arial" w:cs="Arial" w:eastAsia="Arial" w:hAnsi="Arial"/>
          <w:sz w:val="17"/>
          <w:szCs w:val="17"/>
          <w:color w:val="auto"/>
        </w:rPr>
        <w:t xml:space="preserve"> shall not be construed as a waiver of any other rights or remedies which the Company may have for damages or otherwise.</w:t>
      </w:r>
    </w:p>
    <w:p>
      <w:pPr>
        <w:spacing w:after="0" w:line="201" w:lineRule="exact"/>
        <w:rPr>
          <w:sz w:val="20"/>
          <w:szCs w:val="20"/>
          <w:color w:val="auto"/>
        </w:rPr>
      </w:pPr>
    </w:p>
    <w:p>
      <w:pPr>
        <w:ind w:right="320" w:firstLine="8"/>
        <w:spacing w:after="0" w:line="282" w:lineRule="auto"/>
        <w:tabs>
          <w:tab w:leader="none" w:pos="2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Return of Property</w:t>
      </w:r>
      <w:r>
        <w:rPr>
          <w:rFonts w:ascii="Arial" w:cs="Arial" w:eastAsia="Arial" w:hAnsi="Arial"/>
          <w:sz w:val="18"/>
          <w:szCs w:val="18"/>
          <w:color w:val="auto"/>
        </w:rPr>
        <w:t>. Executive agrees to return, on or before the termination date, all property belonging to the Company,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computers, PDA, telephone and other credit cards, Company business records, Company automobile (if applicable), etc.</w:t>
      </w:r>
    </w:p>
    <w:p>
      <w:pPr>
        <w:spacing w:after="0" w:line="188" w:lineRule="exact"/>
        <w:rPr>
          <w:rFonts w:ascii="Arial" w:cs="Arial" w:eastAsia="Arial" w:hAnsi="Arial"/>
          <w:sz w:val="18"/>
          <w:szCs w:val="18"/>
          <w:b w:val="1"/>
          <w:bCs w:val="1"/>
          <w:color w:val="auto"/>
        </w:rPr>
      </w:pPr>
    </w:p>
    <w:p>
      <w:pPr>
        <w:jc w:val="both"/>
        <w:ind w:firstLine="8"/>
        <w:spacing w:after="0" w:line="266" w:lineRule="auto"/>
        <w:tabs>
          <w:tab w:leader="none" w:pos="27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is held to be unenforceable for any reason, it shall be adjusted rather than voided, if possible, to achieve</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intent of the parties to the extent possible. In any event, all other provisions of this Agreement shall be deemed valid and enforceable to the extent possible.</w:t>
      </w:r>
    </w:p>
    <w:p>
      <w:pPr>
        <w:spacing w:after="0" w:line="203" w:lineRule="exact"/>
        <w:rPr>
          <w:rFonts w:ascii="Arial" w:cs="Arial" w:eastAsia="Arial" w:hAnsi="Arial"/>
          <w:sz w:val="18"/>
          <w:szCs w:val="18"/>
          <w:b w:val="1"/>
          <w:bCs w:val="1"/>
          <w:color w:val="auto"/>
        </w:rPr>
      </w:pPr>
    </w:p>
    <w:p>
      <w:pPr>
        <w:ind w:right="80" w:firstLine="8"/>
        <w:spacing w:after="0" w:line="256" w:lineRule="auto"/>
        <w:tabs>
          <w:tab w:leader="none" w:pos="27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Succession</w:t>
      </w:r>
      <w:r>
        <w:rPr>
          <w:rFonts w:ascii="Arial" w:cs="Arial" w:eastAsia="Arial" w:hAnsi="Arial"/>
          <w:sz w:val="18"/>
          <w:szCs w:val="18"/>
          <w:color w:val="auto"/>
        </w:rPr>
        <w:t>. This Agreement shall inure to the benefit of and be binding upon the Company and its Successors and assigns and any such successor or</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 shall be deemed substituted for the Company under the terms of this Agreement for alI purposes. As used herein, "successor" and "assignee" shall include any person, firm, corporation or other business entity which at any time, whether by purchase, merger or otherwise, directly or indirectly acquires the stock of the Company or to which the Company assigns this Agreement by operation of law or otherwise. The obligations and duties of Executive hereunder are personal and otherwise not assignable. Executive's obligations and representations under this Agreement will survive the termination of Executive's employment, regardless of the manner of such termination.</w:t>
      </w:r>
    </w:p>
    <w:p>
      <w:pPr>
        <w:spacing w:after="0" w:line="214" w:lineRule="exact"/>
        <w:rPr>
          <w:rFonts w:ascii="Arial" w:cs="Arial" w:eastAsia="Arial" w:hAnsi="Arial"/>
          <w:sz w:val="18"/>
          <w:szCs w:val="18"/>
          <w:b w:val="1"/>
          <w:bCs w:val="1"/>
          <w:color w:val="auto"/>
        </w:rPr>
      </w:pPr>
    </w:p>
    <w:p>
      <w:pPr>
        <w:ind w:left="280" w:hanging="272"/>
        <w:spacing w:after="0"/>
        <w:tabs>
          <w:tab w:leader="none" w:pos="28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or other communication provided for in this Agreement shall be in writing and sent if to the Company to its principal office at: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 Secor Road, PO Box 5226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Brookfield, Connecticut 06804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or at such other address as the Company may from time to time in writing designate, and if to Executive at the address set forth above or at such address as Executive may from time to time in writing designate. Each such notice or other communication shall be effective (I) if given by written telecommunication, three (3) days after its transmission to the applicable number so specified in (or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and a verification of receipt is received, (ii) if given by certified mail, once verification of receipt is received, or (iii) if given by any other means, when actually delivered to the addressee at such address and verification of receipt is received.</w:t>
      </w:r>
    </w:p>
    <w:p>
      <w:pPr>
        <w:spacing w:after="0" w:line="211" w:lineRule="exact"/>
        <w:rPr>
          <w:sz w:val="20"/>
          <w:szCs w:val="20"/>
          <w:color w:val="auto"/>
        </w:rPr>
      </w:pPr>
    </w:p>
    <w:p>
      <w:pPr>
        <w:ind w:right="260" w:firstLine="8"/>
        <w:spacing w:after="0" w:line="261" w:lineRule="auto"/>
        <w:tabs>
          <w:tab w:leader="none" w:pos="27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Adequate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acknowledges that the cash severance and other benefits to be provided by the Company to Executive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under any current plan or policies of the Company. Accordingly, Executive further acknowledges that the payments and benefits under this Agreement provide adequate consideration for Executive's obligations to the Company contained in </w:t>
      </w:r>
      <w:r>
        <w:rPr>
          <w:rFonts w:ascii="Arial" w:cs="Arial" w:eastAsia="Arial" w:hAnsi="Arial"/>
          <w:sz w:val="18"/>
          <w:szCs w:val="18"/>
          <w:b w:val="1"/>
          <w:bCs w:val="1"/>
          <w:u w:val="single" w:color="auto"/>
          <w:color w:val="auto"/>
        </w:rPr>
        <w:t>Section 7</w:t>
      </w:r>
      <w:r>
        <w:rPr>
          <w:rFonts w:ascii="Arial" w:cs="Arial" w:eastAsia="Arial" w:hAnsi="Arial"/>
          <w:sz w:val="18"/>
          <w:szCs w:val="18"/>
          <w:color w:val="auto"/>
        </w:rPr>
        <w:t xml:space="preserve"> (Confidential Information),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(Non-Competition), </w:t>
      </w:r>
      <w:r>
        <w:rPr>
          <w:rFonts w:ascii="Arial" w:cs="Arial" w:eastAsia="Arial" w:hAnsi="Arial"/>
          <w:sz w:val="18"/>
          <w:szCs w:val="18"/>
          <w:b w:val="1"/>
          <w:bCs w:val="1"/>
          <w:u w:val="single" w:color="auto"/>
          <w:color w:val="auto"/>
        </w:rPr>
        <w:t>Section 10</w:t>
      </w:r>
      <w:r>
        <w:rPr>
          <w:rFonts w:ascii="Arial" w:cs="Arial" w:eastAsia="Arial" w:hAnsi="Arial"/>
          <w:sz w:val="18"/>
          <w:szCs w:val="18"/>
          <w:color w:val="auto"/>
        </w:rPr>
        <w:t xml:space="preserve"> (Remedies) and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ind w:firstLine="8"/>
        <w:spacing w:after="0" w:line="282" w:lineRule="auto"/>
        <w:tabs>
          <w:tab w:leader="none" w:pos="27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contains the entire agreement of the parties relating to the subject matter hereof and supersedes any 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undertakings, commitments and practices relating to Executive's employment by the Company.</w:t>
      </w:r>
    </w:p>
    <w:p>
      <w:pPr>
        <w:spacing w:after="0" w:line="188" w:lineRule="exact"/>
        <w:rPr>
          <w:rFonts w:ascii="Arial" w:cs="Arial" w:eastAsia="Arial" w:hAnsi="Arial"/>
          <w:sz w:val="18"/>
          <w:szCs w:val="18"/>
          <w:b w:val="1"/>
          <w:bCs w:val="1"/>
          <w:color w:val="auto"/>
        </w:rPr>
      </w:pPr>
    </w:p>
    <w:p>
      <w:pPr>
        <w:ind w:left="280" w:hanging="272"/>
        <w:spacing w:after="0"/>
        <w:tabs>
          <w:tab w:leader="none" w:pos="28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Amendments</w:t>
      </w:r>
      <w:r>
        <w:rPr>
          <w:rFonts w:ascii="Arial" w:cs="Arial" w:eastAsia="Arial" w:hAnsi="Arial"/>
          <w:sz w:val="17"/>
          <w:szCs w:val="17"/>
          <w:b w:val="1"/>
          <w:bCs w:val="1"/>
          <w:color w:val="auto"/>
        </w:rPr>
        <w:t xml:space="preserve">. </w:t>
      </w:r>
      <w:r>
        <w:rPr>
          <w:rFonts w:ascii="Arial" w:cs="Arial" w:eastAsia="Arial" w:hAnsi="Arial"/>
          <w:sz w:val="17"/>
          <w:szCs w:val="17"/>
          <w:color w:val="auto"/>
        </w:rPr>
        <w:t>No amendment or modification of the terms of this Agreement shall be valid unless made in writing, duly executed by both patties.</w:t>
      </w:r>
    </w:p>
    <w:p>
      <w:pPr>
        <w:spacing w:after="0" w:line="263" w:lineRule="exact"/>
        <w:rPr>
          <w:rFonts w:ascii="Arial" w:cs="Arial" w:eastAsia="Arial" w:hAnsi="Arial"/>
          <w:sz w:val="17"/>
          <w:szCs w:val="17"/>
          <w:b w:val="1"/>
          <w:bCs w:val="1"/>
          <w:color w:val="auto"/>
        </w:rPr>
      </w:pPr>
    </w:p>
    <w:p>
      <w:pPr>
        <w:ind w:firstLine="8"/>
        <w:spacing w:after="0" w:line="282" w:lineRule="auto"/>
        <w:tabs>
          <w:tab w:leader="none" w:pos="27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failure on the part of any party to exercise or delay in exercising any right hereunder shall be deemed a waiver thereof or of any other right,</w:t>
      </w:r>
      <w:r>
        <w:rPr>
          <w:rFonts w:ascii="Arial" w:cs="Arial" w:eastAsia="Arial" w:hAnsi="Arial"/>
          <w:sz w:val="18"/>
          <w:szCs w:val="18"/>
          <w:b w:val="1"/>
          <w:bCs w:val="1"/>
          <w:color w:val="auto"/>
        </w:rPr>
        <w:t xml:space="preserve"> </w:t>
      </w:r>
      <w:r>
        <w:rPr>
          <w:rFonts w:ascii="Arial" w:cs="Arial" w:eastAsia="Arial" w:hAnsi="Arial"/>
          <w:sz w:val="18"/>
          <w:szCs w:val="18"/>
          <w:color w:val="auto"/>
        </w:rPr>
        <w:t>nor shall any single or partial exercise preclude any further or other exercise of such right or any other right.</w:t>
      </w:r>
    </w:p>
    <w:p>
      <w:pPr>
        <w:spacing w:after="0" w:line="188" w:lineRule="exact"/>
        <w:rPr>
          <w:rFonts w:ascii="Arial" w:cs="Arial" w:eastAsia="Arial" w:hAnsi="Arial"/>
          <w:sz w:val="18"/>
          <w:szCs w:val="18"/>
          <w:b w:val="1"/>
          <w:bCs w:val="1"/>
          <w:color w:val="auto"/>
        </w:rPr>
      </w:pPr>
    </w:p>
    <w:p>
      <w:pPr>
        <w:ind w:right="40" w:firstLine="8"/>
        <w:spacing w:after="0" w:line="266" w:lineRule="auto"/>
        <w:tabs>
          <w:tab w:leader="none" w:pos="27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legal relations between the patties, shall be governed by and construed in accordance with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Connecticut without regard to conflicts of law doctrines and any court action arising out of this Agreement shall be brought in any court of competent jurisdiction within the State of Connecticut.</w:t>
      </w:r>
    </w:p>
    <w:p>
      <w:pPr>
        <w:spacing w:after="0" w:line="203" w:lineRule="exact"/>
        <w:rPr>
          <w:rFonts w:ascii="Arial" w:cs="Arial" w:eastAsia="Arial" w:hAnsi="Arial"/>
          <w:sz w:val="18"/>
          <w:szCs w:val="18"/>
          <w:b w:val="1"/>
          <w:bCs w:val="1"/>
          <w:color w:val="auto"/>
        </w:rPr>
      </w:pPr>
    </w:p>
    <w:p>
      <w:pPr>
        <w:ind w:right="240" w:firstLine="8"/>
        <w:spacing w:after="0" w:line="266" w:lineRule="auto"/>
        <w:tabs>
          <w:tab w:leader="none" w:pos="27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If any litigation shall occur between Executive and the Company which litigation arises out of or as a result of this Agreement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acts of the parties hereto pursuant to this Agreement, or which seeks an interpretation of this Agreement, the prevailing party shall be entitled to recover all costs and expenses of such litigation, including reasonable attorneys' fees and costs.</w:t>
      </w:r>
    </w:p>
    <w:p>
      <w:pPr>
        <w:spacing w:after="0" w:line="203" w:lineRule="exact"/>
        <w:rPr>
          <w:rFonts w:ascii="Arial" w:cs="Arial" w:eastAsia="Arial" w:hAnsi="Arial"/>
          <w:sz w:val="18"/>
          <w:szCs w:val="18"/>
          <w:b w:val="1"/>
          <w:bCs w:val="1"/>
          <w:color w:val="auto"/>
        </w:rPr>
      </w:pPr>
    </w:p>
    <w:p>
      <w:pPr>
        <w:ind w:right="20" w:firstLine="8"/>
        <w:spacing w:after="0" w:line="282" w:lineRule="auto"/>
        <w:tabs>
          <w:tab w:leader="none" w:pos="297"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All compensation payable hereunder, including salary and other benefits, shall be subject to applicable taxes, withholding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normal or elected employee deductions.</w:t>
      </w:r>
    </w:p>
    <w:p>
      <w:pPr>
        <w:spacing w:after="0" w:line="188" w:lineRule="exact"/>
        <w:rPr>
          <w:rFonts w:ascii="Arial" w:cs="Arial" w:eastAsia="Arial" w:hAnsi="Arial"/>
          <w:sz w:val="18"/>
          <w:szCs w:val="18"/>
          <w:b w:val="1"/>
          <w:bCs w:val="1"/>
          <w:color w:val="auto"/>
        </w:rPr>
      </w:pPr>
    </w:p>
    <w:p>
      <w:pPr>
        <w:ind w:firstLine="8"/>
        <w:spacing w:after="0" w:line="282" w:lineRule="auto"/>
        <w:tabs>
          <w:tab w:leader="none" w:pos="27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any amendment hereto may be executed in one or more counterparts. All of such counterparts shall constitute one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agreement and shall become effective when a copy signed by each party has been delivered to the other party.</w:t>
      </w:r>
    </w:p>
    <w:p>
      <w:pPr>
        <w:spacing w:after="0" w:line="188" w:lineRule="exact"/>
        <w:rPr>
          <w:rFonts w:ascii="Arial" w:cs="Arial" w:eastAsia="Arial" w:hAnsi="Arial"/>
          <w:sz w:val="18"/>
          <w:szCs w:val="18"/>
          <w:b w:val="1"/>
          <w:bCs w:val="1"/>
          <w:color w:val="auto"/>
        </w:rPr>
      </w:pPr>
    </w:p>
    <w:p>
      <w:pPr>
        <w:ind w:firstLine="8"/>
        <w:spacing w:after="0" w:line="282" w:lineRule="auto"/>
        <w:tabs>
          <w:tab w:leader="none" w:pos="27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and other headings contained in this Agreement are for convenience of reference only and shall not affect in any way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as of the date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 ;</w:t>
      </w:r>
      <w:r>
        <w:rPr>
          <w:sz w:val="20"/>
          <w:szCs w:val="20"/>
          <w:color w:val="auto"/>
        </w:rPr>
        <w:tab/>
      </w:r>
      <w:r>
        <w:rPr>
          <w:rFonts w:ascii="Arial" w:cs="Arial" w:eastAsia="Arial" w:hAnsi="Arial"/>
          <w:sz w:val="17"/>
          <w:szCs w:val="17"/>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144907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Peter S Kirlin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John P .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907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John P .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jc w:val="center"/>
        <w:ind w:right="-79"/>
        <w:spacing w:after="0"/>
        <w:rPr>
          <w:sz w:val="20"/>
          <w:szCs w:val="20"/>
          <w:color w:val="auto"/>
        </w:rPr>
      </w:pPr>
      <w:r>
        <w:rPr>
          <w:rFonts w:ascii="Arial" w:cs="Arial" w:eastAsia="Arial" w:hAnsi="Arial"/>
          <w:sz w:val="18"/>
          <w:szCs w:val="18"/>
          <w:b w:val="1"/>
          <w:bCs w:val="1"/>
          <w:u w:val="single" w:color="auto"/>
          <w:color w:val="auto"/>
        </w:rPr>
        <w:t>EXHIBIT A</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RELEASE</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1. I signed an Employment Agreement with Photronics, Inc. (the "Company"), dated September , 2017 (the "Agreement"), wherein I agreed to the terms applicable to certain terminations of employment with the Company. Pursuant to the terms of the Agreement, I am entitled to certain severance payments and benefits, described in the Agreement, provided that I sign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4418330</wp:posOffset>
            </wp:positionH>
            <wp:positionV relativeFrom="paragraph">
              <wp:posOffset>-312420</wp:posOffset>
            </wp:positionV>
            <wp:extent cx="1143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88" w:lineRule="exact"/>
        <w:rPr>
          <w:sz w:val="20"/>
          <w:szCs w:val="20"/>
          <w:color w:val="auto"/>
        </w:rPr>
      </w:pPr>
    </w:p>
    <w:p>
      <w:pPr>
        <w:ind w:firstLine="8"/>
        <w:spacing w:after="0" w:line="286" w:lineRule="auto"/>
        <w:tabs>
          <w:tab w:leader="none" w:pos="1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ln consideration of the severance payments described in the Agreement, I, on behalf of myself, my heirs, agents, representatives, predecessors, successors and assigns, hereby irrevocably release, acquit and forever discharge the Company and each of its respective agents, employees, representatives, parents, subsidiaries, divisions, affiliates, officers, directors, shareholders, investors, employees, attorneys, transferors, transferees, predecessors, successors and assigns, jointly and severally (the "</w:t>
      </w:r>
      <w:r>
        <w:rPr>
          <w:rFonts w:ascii="Arial" w:cs="Arial" w:eastAsia="Arial" w:hAnsi="Arial"/>
          <w:sz w:val="16"/>
          <w:szCs w:val="16"/>
          <w:b w:val="1"/>
          <w:bCs w:val="1"/>
          <w:u w:val="single" w:color="auto"/>
          <w:color w:val="auto"/>
        </w:rPr>
        <w:t>Released Parties</w:t>
      </w:r>
      <w:r>
        <w:rPr>
          <w:rFonts w:ascii="Arial" w:cs="Arial" w:eastAsia="Arial" w:hAnsi="Arial"/>
          <w:sz w:val="16"/>
          <w:szCs w:val="16"/>
          <w:color w:val="auto"/>
        </w:rPr>
        <w:t>") of and from any and all debts, suits, claims, actions, causes of action, controversies, demands, rights, damages, losses, expenses, costs, attorneys' fees, compensation, liabilities and obligations whatsoever, suspected or unsuspected, known or unknown, foreseen or unforeseen, arising at any time up to and including the date of this Release, save and except for the parties' obligations and rights under the Agreement. In recognition of the consideration set forth in the Agreement, I hereby release and forever discharge the Released Parties from any and all claims, actions and causes of action, I have or may have as of the date of this Release arising under any state or federal civil rights or human rights law, or under the Federal Age Discrimination in Employment Act of 1967, as amended, and the applicable rules and regulations promulgated thereunder ("ADEA"). By signing this Release, I hereby acknowledge and confirm the following: (a) I was advised in writing by the Company in connection with my termination to consult with an attorney of my choice prior to signing this Agreement, including without limitation, the terms relating to my release of claims arising under ADEA and any other law, rule or regulation referred to above; (b) I was given a period of not fewer than 21 days to consider the terms of this Agreement and to consult with an attorney of my choosing with respect hereto; and (c) I am providing the release and discharge set forth in this paragraph only in exchange for consideration in addition to anything of value to which 1 was already entitled.</w:t>
      </w:r>
    </w:p>
    <w:p>
      <w:pPr>
        <w:spacing w:after="0" w:line="198" w:lineRule="exact"/>
        <w:rPr>
          <w:rFonts w:ascii="Arial" w:cs="Arial" w:eastAsia="Arial" w:hAnsi="Arial"/>
          <w:sz w:val="16"/>
          <w:szCs w:val="16"/>
          <w:color w:val="auto"/>
        </w:rPr>
      </w:pPr>
    </w:p>
    <w:p>
      <w:pPr>
        <w:ind w:right="60" w:firstLine="8"/>
        <w:spacing w:after="0" w:line="257" w:lineRule="auto"/>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Agreement and this Release may be revoked by me within the 7-day period commencing on the date I sign this Release (the "Revocation Period"). In the event of any such revocation, all obligations of the Company under the Agreement will terminate and be of no further force and effect as of the date of such revocation and both the Company and I will have and be entitled to exercise all rights that would have existed had the Agreement and Release not been entered into. No such revocation will be effective unless it is in writing and signed by me and received by the Company prior to the expiration of the Revocation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144907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4490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Witness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10.42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Cooperation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of Development and Production of Photronics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FPD Mask Facility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Party A: Hefei [***] [***] [***]</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Party B: Photronics UK, Ltd.</w:t>
      </w:r>
    </w:p>
    <w:p>
      <w:pPr>
        <w:spacing w:after="0" w:line="25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This Agreement, concerning the support of Party B’s investment in (construction of) the Project of Development and Production of Photronics FPD Mask Facility (the “Project”) in Hefei [***] (“[***] Zone”), is made between Party A and Party B through full consultation and agreement.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Project Overview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7" w:name="page88"/>
    <w:bookmarkEnd w:id="87"/>
    <w:p>
      <w:pPr>
        <w:ind w:left="340"/>
        <w:spacing w:after="0"/>
        <w:rPr>
          <w:sz w:val="20"/>
          <w:szCs w:val="20"/>
          <w:color w:val="auto"/>
        </w:rPr>
      </w:pPr>
      <w:r>
        <w:rPr>
          <w:rFonts w:ascii="Arial" w:cs="Arial" w:eastAsia="Arial" w:hAnsi="Arial"/>
          <w:sz w:val="18"/>
          <w:szCs w:val="18"/>
          <w:color w:val="auto"/>
        </w:rPr>
        <w:t>Name of the project: Project of Development and Production of Photronics FPD facility in Hefei, China</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Amount of investment: minimum of [***] million US dollar in total.</w:t>
      </w:r>
    </w:p>
    <w:p>
      <w:pPr>
        <w:spacing w:after="0" w:line="24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Project contents: Photronics will form a subsidiary in Hefei [***]. Photronics will build a G10.5 plus FPD photomask manufacturing facility together with office space, utility area and warehouse and guard shack area. The facility will be approximately [***] square feet.</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ind w:left="340"/>
        <w:spacing w:after="0"/>
        <w:rPr>
          <w:sz w:val="20"/>
          <w:szCs w:val="20"/>
          <w:color w:val="auto"/>
        </w:rPr>
      </w:pPr>
      <w:r>
        <w:rPr>
          <w:rFonts w:ascii="Arial" w:cs="Arial" w:eastAsia="Arial" w:hAnsi="Arial"/>
          <w:sz w:val="18"/>
          <w:szCs w:val="18"/>
          <w:color w:val="auto"/>
        </w:rPr>
        <w:t xml:space="preserve">Party B anticipates, but is not bound by, [***] of approximately USD [***] to </w:t>
      </w:r>
      <w:r>
        <w:rPr>
          <w:rFonts w:ascii="Arial" w:cs="Arial" w:eastAsia="Arial" w:hAnsi="Arial"/>
          <w:sz w:val="21"/>
          <w:szCs w:val="21"/>
          <w:color w:val="auto"/>
        </w:rPr>
        <w:t>[***]</w:t>
      </w:r>
      <w:r>
        <w:rPr>
          <w:rFonts w:ascii="Arial" w:cs="Arial" w:eastAsia="Arial" w:hAnsi="Arial"/>
          <w:sz w:val="18"/>
          <w:szCs w:val="18"/>
          <w:color w:val="auto"/>
        </w:rPr>
        <w:t xml:space="preserve"> per year,which is stated on yearly bases as follows: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sales revenue capacity in [***] is anticipated to be [***] and tax contribution is anticipated to be [***] from corporate income tax and [***] from net input VAT;</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sales revenue capacity in [***] is anticipated to be [***] and tax contribution is anticipated to be [***] from corporate income tax and [***] from net output VAT;</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sales revenue capacity in [***] is anticipated to be [***] and tax contribution is anticipated to be [***] from corporate income tax and [***] from net output VAT;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9" w:name="page90"/>
    <w:bookmarkEnd w:id="89"/>
    <w:p>
      <w:pPr>
        <w:jc w:val="both"/>
        <w:ind w:right="20" w:firstLine="324"/>
        <w:spacing w:after="0" w:line="277" w:lineRule="auto"/>
        <w:rPr>
          <w:sz w:val="20"/>
          <w:szCs w:val="20"/>
          <w:color w:val="auto"/>
        </w:rPr>
      </w:pPr>
      <w:r>
        <w:rPr>
          <w:rFonts w:ascii="Arial" w:cs="Arial" w:eastAsia="Arial" w:hAnsi="Arial"/>
          <w:sz w:val="18"/>
          <w:szCs w:val="18"/>
          <w:color w:val="auto"/>
        </w:rPr>
        <w:t>The sales revenue capacity in [***] is anticipated to be [***] and tax contribution is anticipated to be [***] from corporate income tax and [***] from net output VAT;</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sales revenue capacity in [***] is anticipated to be [***] and tax contribution is anticipated to be [***] from corporate income tax and [***] from net output VAT.</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Project company: Party B shall complete the establishment and registration of project company within [***] months after the Agreement takes effect. The equity structure shall be a wholly foreign-owned entity with the registered capital no less than US [***] provided however that Party B has [***] years to reach such registered capital.</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Project Land Site, Environment Protection and Construction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Project Land Site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ind w:right="20" w:firstLine="324"/>
        <w:spacing w:after="0" w:line="259" w:lineRule="auto"/>
        <w:rPr>
          <w:sz w:val="20"/>
          <w:szCs w:val="20"/>
          <w:color w:val="auto"/>
        </w:rPr>
      </w:pPr>
      <w:r>
        <w:rPr>
          <w:rFonts w:ascii="Arial" w:cs="Arial" w:eastAsia="Arial" w:hAnsi="Arial"/>
          <w:sz w:val="18"/>
          <w:szCs w:val="18"/>
          <w:color w:val="auto"/>
        </w:rPr>
        <w:t>The project land to be provided is located at the northwest comer of the intersection between [***] and [***] (a map setting forth the description of the land is attached hereto) with the area of around [***] Chinese acre and the term of land is [***]. The final size is subject to the preliminary review opinion on land use scale and will be set forth in the land grant agreement. Further, the same size of the land [***] will be [***] for Party B for a period of [***] years from the date of this Agreement.</w:t>
      </w:r>
    </w:p>
    <w:p>
      <w:pPr>
        <w:spacing w:after="0" w:line="2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Indicators of project planning: construction indicators including floor area ratio, building density, green coverage shall conform to the applicable regulations of Hefei and [***]. Any special requirement shall be submitted to the relevant departments of Hefei for approval.</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1" w:name="page92"/>
    <w:bookmarkEnd w:id="91"/>
    <w:p>
      <w:pPr>
        <w:ind w:right="180" w:firstLine="324"/>
        <w:spacing w:after="0" w:line="277" w:lineRule="auto"/>
        <w:rPr>
          <w:sz w:val="20"/>
          <w:szCs w:val="20"/>
          <w:color w:val="auto"/>
        </w:rPr>
      </w:pPr>
      <w:r>
        <w:rPr>
          <w:rFonts w:ascii="Arial" w:cs="Arial" w:eastAsia="Arial" w:hAnsi="Arial"/>
          <w:sz w:val="18"/>
          <w:szCs w:val="18"/>
          <w:color w:val="auto"/>
        </w:rPr>
        <w:t>The project land and ground buildings shall be utilized only for the project approved in written by economic and trade departments of [***], but not for the production and operation of the projects without approval.</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Environment Protection</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project land to be provided by Party A will conform to relevant laws and regulations regarding planning and environmental protection of Hefei municipality, the conditions of land shall satisfy the demands of project construction. The contents of the project construction shall conform to relevant laws and regulations of state, province and city and environment protection requirements of [***]. After execution of this. Agreement, Party B will perform a Phase 1 or Phase 2 assessment on the land. Party A will assist Party B with all necessary preparation procedures including but not limited to environmental impact assessment.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Project Construction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ind w:right="280" w:firstLine="324"/>
        <w:spacing w:after="0" w:line="277" w:lineRule="auto"/>
        <w:rPr>
          <w:sz w:val="20"/>
          <w:szCs w:val="20"/>
          <w:color w:val="auto"/>
        </w:rPr>
      </w:pPr>
      <w:r>
        <w:rPr>
          <w:rFonts w:ascii="Arial" w:cs="Arial" w:eastAsia="Arial" w:hAnsi="Arial"/>
          <w:sz w:val="18"/>
          <w:szCs w:val="18"/>
          <w:color w:val="auto"/>
        </w:rPr>
        <w:t>Basic infrastructure for project: Party A shall accomplish the work of "[***]" for project land use in accordance with provisions of Document He Gao Guan [2012] No.25, to satisfy the demands for the starting of construction and production and operation of Party B.</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Construction Commencement Date: Party A shall assist actively Party B with the [***] and obtaining for the [***] of [***] after the Agreement takes effect. The substantive [***] of the Project shall be started within [***] days after execution of the Granting Contract of the Rights to Use Sate-owned Construction Land (the “Granting Contract”) by Party B as well as the execution of all necessary construction agreements and the receipt by Party B of all required construction permits and governmental approvals. The Agreement shall become automatically null and void if the Party A has identified that the</w:t>
      </w:r>
    </w:p>
    <w:p>
      <w:pPr>
        <w:spacing w:after="0" w:line="2" w:lineRule="exact"/>
        <w:rPr>
          <w:sz w:val="20"/>
          <w:szCs w:val="20"/>
          <w:color w:val="auto"/>
        </w:rPr>
      </w:pPr>
    </w:p>
    <w:p>
      <w:pPr>
        <w:jc w:val="both"/>
        <w:ind w:firstLine="8"/>
        <w:spacing w:after="0" w:line="254" w:lineRule="auto"/>
        <w:tabs>
          <w:tab w:leader="none" w:pos="4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of this project has not been started substantially due to the reason not attributable to the Party A and within the control of Party B and consequently Party B shall return the land unconditionally in accordance with the Granting Contract and pursuant to the relevant laws and regulations; If the project is suspended due to the reason attributable to the Party A, Party A will fully reimburse Party B for all monies paid for the land and expenses and losses incurred by Party B according to laws and regulations.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ind w:left="340"/>
        <w:spacing w:after="0"/>
        <w:rPr>
          <w:sz w:val="20"/>
          <w:szCs w:val="20"/>
          <w:color w:val="auto"/>
        </w:rPr>
      </w:pPr>
      <w:r>
        <w:rPr>
          <w:rFonts w:ascii="Arial" w:cs="Arial" w:eastAsia="Arial" w:hAnsi="Arial"/>
          <w:sz w:val="18"/>
          <w:szCs w:val="18"/>
          <w:b w:val="1"/>
          <w:bCs w:val="1"/>
          <w:color w:val="auto"/>
        </w:rPr>
        <w:t>Project Support Policy</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Based on the agreement as to the project economic indicators herein, if Party B meets the conditions of related policies and agreement herein. Party A shall provide supporting policies as follows: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Party A shall assist actively Party B in application for the [***] ("[***]") identity and the project will enjoy [***] for [***] upon approval.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ind w:left="340"/>
        <w:spacing w:after="0"/>
        <w:rPr>
          <w:sz w:val="20"/>
          <w:szCs w:val="20"/>
          <w:color w:val="auto"/>
        </w:rPr>
      </w:pPr>
      <w:r>
        <w:rPr>
          <w:rFonts w:ascii="Arial" w:cs="Arial" w:eastAsia="Arial" w:hAnsi="Arial"/>
          <w:sz w:val="18"/>
          <w:szCs w:val="18"/>
          <w:color w:val="auto"/>
        </w:rPr>
        <w:t>Party A shall assist Party B in solving the [***] for the [***] of high-level talents and senior management personnel.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Party A shall assist actively Party B in knowing the [***] and expanding [***]</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Party A is a national [***] and the dispatching organization for the municipal government and is authorized and empowered to provide Party B with the incentives set forth herein and Party B may enjoy all the newly-introduced policies of the state, province and city under the premise of Party B meeting relevant requirements attached to those pilicies. If any national or local policies change during the term of this Agreement that would prevent Party B from receiving any incentives provided herein, from the perspective of supporting the Project of Party B, Party A will try its best to provide Party B with an [***] amount of [***] an alternative to what is prohibited as a result of the new policy change.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ind w:firstLine="324"/>
        <w:spacing w:after="0" w:line="277" w:lineRule="auto"/>
        <w:rPr>
          <w:sz w:val="20"/>
          <w:szCs w:val="20"/>
          <w:color w:val="auto"/>
        </w:rPr>
      </w:pPr>
      <w:r>
        <w:rPr>
          <w:rFonts w:ascii="Arial" w:cs="Arial" w:eastAsia="Arial" w:hAnsi="Arial"/>
          <w:sz w:val="18"/>
          <w:szCs w:val="18"/>
          <w:color w:val="auto"/>
        </w:rPr>
        <w:t>Where the aforesaid supporting policies are overlapping with each other. Party B may choose to enjoy the policies based on the principle of [***] of [***] and may not enjoy the repeating policies.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Rights and Obligations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Party A’s Rights and Obligations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Party A undertakes to provide full support to Party B with respect to the[***], [***], [***] and [***], [***] and all other required [***].</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6" w:name="page97"/>
    <w:bookmarkEnd w:id="96"/>
    <w:p>
      <w:pPr>
        <w:jc w:val="both"/>
        <w:ind w:right="20" w:firstLine="324"/>
        <w:spacing w:after="0" w:line="277" w:lineRule="auto"/>
        <w:rPr>
          <w:sz w:val="20"/>
          <w:szCs w:val="20"/>
          <w:color w:val="auto"/>
        </w:rPr>
      </w:pPr>
      <w:r>
        <w:rPr>
          <w:rFonts w:ascii="Arial" w:cs="Arial" w:eastAsia="Arial" w:hAnsi="Arial"/>
          <w:sz w:val="18"/>
          <w:szCs w:val="18"/>
          <w:color w:val="auto"/>
        </w:rPr>
        <w:t>Party A shall designate a special contact person to serve Party B’s project, who will contact Party B actively and regularly, coordinate to solve the problems during process of entering of the Project into the Zone and provide good service.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Party B’s Rights and Obligations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Party B is obliged to strive for starting projects at the agreed upon timeline, constructing quickly, and commencing operation soon as agreed herein.</w:t>
      </w:r>
    </w:p>
    <w:p>
      <w:pPr>
        <w:spacing w:after="0" w:line="23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Party B shall appoint an in-charge person of the project who will contact Party A timely and actively, report the process of the construction and contribution status of investment capital, and timely raise problems that need to be solved through negotiation.</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Party B shall carry out the construction in accordance with the planning requirements including industry development of High-tech Zone, utilization of land, environment protection and etc. The final layout plan, planning and design of the project shall be subject to relevant approval by authorities of Hefei and [***].</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jc w:val="both"/>
        <w:ind w:firstLine="324"/>
        <w:spacing w:after="0" w:line="257" w:lineRule="auto"/>
        <w:rPr>
          <w:sz w:val="20"/>
          <w:szCs w:val="20"/>
          <w:color w:val="auto"/>
        </w:rPr>
      </w:pPr>
      <w:r>
        <w:rPr>
          <w:rFonts w:ascii="Arial" w:cs="Arial" w:eastAsia="Arial" w:hAnsi="Arial"/>
          <w:sz w:val="18"/>
          <w:szCs w:val="18"/>
          <w:color w:val="auto"/>
        </w:rPr>
        <w:t>If the registered address of the construction entity is registered outside the [***] Party B shall procure the construction entity to conduct the filing of "Certificate of Tax Administration for Outgoing Operation Activities" with the State Administration of Taxation of the [***] prior to starting construction, and prepay the VAT, city maintenance and construction tax, educational surcharge, withhold and remit individual income tax in accordance with laws of the state tax in competent tax authority of construction place. Party B shall inform the construction entity that tax payment voucher shall be provided when applying for the construction completion inspection and acceptation.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ind w:left="340"/>
        <w:spacing w:after="0"/>
        <w:rPr>
          <w:sz w:val="20"/>
          <w:szCs w:val="20"/>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Both parties shall undertake confidentiality obligations for the trade secrets or other information of the other party known due to the signing or performance of this Agreement. Without consent by both parties, neither party shall disclose to any third party unless for the performance of this Agreement or in accordance with the relevant laws and regulations or to such Party’s consultants and advisors and others whom either Party A or Party B as the case may be feel needs to know but who are bound by confidentiality as set forth herein. Either party who is obliged to disclose the information pursuant to the laws shall inform the other party in advance in order to maintain the consistency of information disclosure.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Dispute Resolution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Both parties shall cooperate sincerely, communicate and negotiate regularly to solve the problems and disputes during cooperation. Where the dispute is complex and hard to solve through negotiation, either party may submit the dispute to the [***] for [***]</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ind w:left="340"/>
        <w:spacing w:after="0"/>
        <w:rPr>
          <w:sz w:val="20"/>
          <w:szCs w:val="20"/>
          <w:color w:val="auto"/>
        </w:rPr>
      </w:pPr>
      <w:r>
        <w:rPr>
          <w:rFonts w:ascii="Arial" w:cs="Arial" w:eastAsia="Arial" w:hAnsi="Arial"/>
          <w:sz w:val="18"/>
          <w:szCs w:val="18"/>
          <w:b w:val="1"/>
          <w:bCs w:val="1"/>
          <w:color w:val="auto"/>
        </w:rPr>
        <w:t>Effectiveness of Agreement and Miscellaneous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agreement shall take effect and become binding upon execution and stamped by the Parties. Party A or Party B may terminate this agreement if Party B has not obtained Land Use Permit within [***] after this agreement come into force. Party B will establish a project company (WFOE), and the project company will continue to implement the rights and obligations agreed upon herein this agreement after its establishment.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agreement shall be executed in four original copies of equal legal validity, with each of the Parties holding two originals.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(No Content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Party A: Hefei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(Stamp)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or Authorized Representative) (Signature)</w:t>
      </w:r>
    </w:p>
    <w:p>
      <w:pPr>
        <w:spacing w:after="0" w:line="214" w:lineRule="exact"/>
        <w:rPr>
          <w:sz w:val="20"/>
          <w:szCs w:val="20"/>
          <w:color w:val="auto"/>
        </w:rPr>
      </w:pPr>
    </w:p>
    <w:p>
      <w:pPr>
        <w:jc w:val="right"/>
        <w:ind w:right="4159"/>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Party B: Photronics UK, Ltd.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or Authorized Representative) (Signature)</w:t>
      </w:r>
    </w:p>
    <w:p>
      <w:pPr>
        <w:spacing w:after="0" w:line="214" w:lineRule="exact"/>
        <w:rPr>
          <w:sz w:val="20"/>
          <w:szCs w:val="20"/>
          <w:color w:val="auto"/>
        </w:rPr>
      </w:pPr>
    </w:p>
    <w:p>
      <w:pPr>
        <w:jc w:val="right"/>
        <w:ind w:right="4159"/>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01" w:name="page102"/>
    <w:bookmarkEnd w:id="101"/>
    <w:p>
      <w:pPr>
        <w:jc w:val="center"/>
        <w:ind w:right="-99"/>
        <w:spacing w:after="0"/>
        <w:rPr>
          <w:sz w:val="20"/>
          <w:szCs w:val="20"/>
          <w:color w:val="auto"/>
        </w:rPr>
      </w:pPr>
      <w:r>
        <w:rPr>
          <w:rFonts w:ascii="Arial" w:cs="Arial" w:eastAsia="Arial" w:hAnsi="Arial"/>
          <w:sz w:val="18"/>
          <w:szCs w:val="18"/>
          <w:b w:val="1"/>
          <w:bCs w:val="1"/>
          <w:color w:val="auto"/>
        </w:rPr>
        <w:t>Supplemental Agreement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Investment Cooperation Agreement for Project 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Development and Production of Photronics FPD Mask</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Facility</w:t>
      </w:r>
    </w:p>
    <w:p>
      <w:pPr>
        <w:spacing w:after="0" w:line="3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Party A: Hefei [***] Zone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Party B: Photronics UK, Ltd.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Party A and Party B, through amicable negotiation, and based on the “Investment Cooperation Agreement for Project of Development and Production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Photronics FPD Mask Facility”, agreed to reach the following supplementary agreement: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 to the relevant provisions of the [***] Policies of [***] Zone on supporting industry</w:t>
      </w: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02" w:name="page103"/>
    <w:bookmarkEnd w:id="102"/>
    <w:p>
      <w:pPr>
        <w:ind w:left="340"/>
        <w:spacing w:after="0"/>
        <w:rPr>
          <w:sz w:val="20"/>
          <w:szCs w:val="20"/>
          <w:color w:val="auto"/>
        </w:rPr>
      </w:pPr>
      <w:r>
        <w:rPr>
          <w:rFonts w:ascii="Arial" w:cs="Arial" w:eastAsia="Arial" w:hAnsi="Arial"/>
          <w:sz w:val="18"/>
          <w:szCs w:val="18"/>
          <w:color w:val="auto"/>
        </w:rPr>
        <w:t>In [***], the sum of the reward will be [***];</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 the sum of the reward will be [***];</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 the sum of the reward will be [***];</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 the sum of the reward will be [***];</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 the sum of the reward will be [***];</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sum of the reward will be [***] on the same ratio if the business is [***] than anticipation; and the sum of the reward will be [***] on the same ratio if the business is [***] than anticipation.</w:t>
      </w:r>
    </w:p>
    <w:p>
      <w:pPr>
        <w:spacing w:after="0" w:line="170" w:lineRule="exact"/>
        <w:rPr>
          <w:sz w:val="20"/>
          <w:szCs w:val="20"/>
          <w:color w:val="auto"/>
        </w:rPr>
      </w:pPr>
    </w:p>
    <w:p>
      <w:pPr>
        <w:ind w:left="520" w:hanging="188"/>
        <w:spacing w:after="0"/>
        <w:tabs>
          <w:tab w:leader="none" w:pos="5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Support Enterprise to [***]. Based on the principle of [***], within [***] years after establishment of Party B’s project company, Party A will provide</w:t>
      </w:r>
    </w:p>
    <w:p>
      <w:pPr>
        <w:spacing w:after="0" w:line="34" w:lineRule="exact"/>
        <w:rPr>
          <w:rFonts w:ascii="Arial" w:cs="Arial" w:eastAsia="Arial" w:hAnsi="Arial"/>
          <w:sz w:val="17"/>
          <w:szCs w:val="17"/>
          <w:color w:val="auto"/>
        </w:rPr>
      </w:pPr>
    </w:p>
    <w:p>
      <w:pPr>
        <w:ind w:left="440" w:hanging="432"/>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subsidy which equals to [***] of Party’s [***] the [***] subsidy shall be capped at [***]. The subsidy will be provided [***].</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jc w:val="both"/>
        <w:ind w:firstLine="332"/>
        <w:spacing w:after="0" w:line="259" w:lineRule="auto"/>
        <w:tabs>
          <w:tab w:leader="none" w:pos="512"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Reward for [***] of Project Company. (1) Encouraging party B to introduce [***]. Party A will provide [***] per year for a period of [***] years to each of the [***] [***] of the project, quota for such reward for [***] [***] and (2) a Party B’s [***] who has not [***] [***] in Hefei can enjoy the [***], which is [***], to purchase up to [***] meter; Party A will provide up to [***] for company employees with [***] period according to the actual need of party B.</w:t>
      </w:r>
    </w:p>
    <w:p>
      <w:pPr>
        <w:spacing w:after="0" w:line="186" w:lineRule="exact"/>
        <w:rPr>
          <w:rFonts w:ascii="Arial" w:cs="Arial" w:eastAsia="Arial" w:hAnsi="Arial"/>
          <w:sz w:val="18"/>
          <w:szCs w:val="18"/>
          <w:color w:val="auto"/>
        </w:rPr>
      </w:pPr>
    </w:p>
    <w:p>
      <w:pPr>
        <w:jc w:val="both"/>
        <w:ind w:firstLine="332"/>
        <w:spacing w:after="0" w:line="259" w:lineRule="auto"/>
        <w:tabs>
          <w:tab w:leader="none" w:pos="519" w:val="left"/>
        </w:tabs>
        <w:numPr>
          <w:ilvl w:val="0"/>
          <w:numId w:val="61"/>
        </w:numPr>
        <w:rPr>
          <w:rFonts w:ascii="Arial" w:cs="Arial" w:eastAsia="Arial" w:hAnsi="Arial"/>
          <w:sz w:val="18"/>
          <w:szCs w:val="18"/>
          <w:color w:val="auto"/>
        </w:rPr>
      </w:pPr>
      <w:r>
        <w:rPr>
          <w:rFonts w:ascii="Arial" w:cs="Arial" w:eastAsia="Arial" w:hAnsi="Arial"/>
          <w:sz w:val="18"/>
          <w:szCs w:val="18"/>
          <w:color w:val="auto"/>
        </w:rPr>
        <w:t>[***] subsidy. PHOTRONICS is the largest photo mask manufacturer in the world. As the 1 st manufacturing base for the company in China, it is possible to establish the operation company in Hefei. So, Party A will provide Party B this[***], with the total amount of [***] will be paid within [***] months after signing the Land Granting Contract; [***] paid within [***] after the start of [***], [***] paid within [***] months after the completion of the [***].</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jc w:val="both"/>
        <w:ind w:firstLine="324"/>
        <w:spacing w:after="0" w:line="286" w:lineRule="auto"/>
        <w:rPr>
          <w:sz w:val="20"/>
          <w:szCs w:val="20"/>
          <w:color w:val="auto"/>
        </w:rPr>
      </w:pPr>
      <w:r>
        <w:rPr>
          <w:rFonts w:ascii="Arial" w:cs="Arial" w:eastAsia="Arial" w:hAnsi="Arial"/>
          <w:sz w:val="17"/>
          <w:szCs w:val="17"/>
          <w:color w:val="auto"/>
        </w:rPr>
        <w:t>Support during [***] phase: for the [***] year since the signing of this agreement, it is the [***] for the project. During this period of time, [***] will provide the [***] ([***]) in [***] for the temporary use of project team, the construction area of which is about [***] and the rental is[***]. Besides, during this period of time, [***] will provide a certain sum of [***] for the team members to [***]. The sum of the subsidy is [***] per [***], and the cap is [***].</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Project company move out of [***] prior to the.committed operation period, Party A will reserve the rights for pursue the claim.</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5" w:name="page106"/>
    <w:bookmarkEnd w:id="105"/>
    <w:p>
      <w:pPr>
        <w:ind w:firstLine="324"/>
        <w:spacing w:after="0" w:line="277" w:lineRule="auto"/>
        <w:rPr>
          <w:sz w:val="20"/>
          <w:szCs w:val="20"/>
          <w:color w:val="auto"/>
        </w:rPr>
      </w:pPr>
      <w:r>
        <w:rPr>
          <w:rFonts w:ascii="Arial" w:cs="Arial" w:eastAsia="Arial" w:hAnsi="Arial"/>
          <w:sz w:val="18"/>
          <w:szCs w:val="18"/>
          <w:color w:val="auto"/>
        </w:rPr>
        <w:t>In case any change or adjustment occurs in Party B’s project. Party B shall re-sign Project Investment Agreement and the Supplementary Agreement with Party A.</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If any national or local policies change during the term of this Agreement that would prevent Party B from receiving any incentives provided herein, Party A will try to provide Party B with an equivalent amount of incentives.</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Without prior consent of the parties, neither party shall disclose the content of this supplementary agreement to any third party except to consultants, advisors and those of Party A or Party B as applicable who have a need to know and will agree to confidentiality similar to the terms set forth herein.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jc w:val="both"/>
        <w:ind w:firstLine="324"/>
        <w:spacing w:after="0" w:line="264" w:lineRule="auto"/>
        <w:rPr>
          <w:sz w:val="20"/>
          <w:szCs w:val="20"/>
          <w:color w:val="auto"/>
        </w:rPr>
      </w:pPr>
      <w:r>
        <w:rPr>
          <w:rFonts w:ascii="Arial" w:cs="Arial" w:eastAsia="Arial" w:hAnsi="Arial"/>
          <w:sz w:val="18"/>
          <w:szCs w:val="18"/>
          <w:color w:val="auto"/>
        </w:rPr>
        <w:t>This supplementary agreement serves as an supplementary note to the Project Investment Agreement and shall have the same legal effect as the Investment Agreement. Matters not specified in this agreement shall be performed in accordance with the Investment Agreement. This agreement shall become null and void automatically upon the termination of the Investment Agreement.</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agreement shall take effect upon execution by the Parties. This agreement shall be executed in two original copies of equal legal validity, with each of the Parties holding one original.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Content Below)</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(No Content on this page)</w:t>
            </w:r>
          </w:p>
        </w:tc>
        <w:tc>
          <w:tcPr>
            <w:tcW w:w="6260" w:type="dxa"/>
            <w:vAlign w:val="bottom"/>
          </w:tcPr>
          <w:p>
            <w:pPr>
              <w:spacing w:after="0"/>
              <w:rPr>
                <w:sz w:val="20"/>
                <w:szCs w:val="20"/>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Party A: [***]</w:t>
            </w:r>
          </w:p>
        </w:tc>
        <w:tc>
          <w:tcPr>
            <w:tcW w:w="6260" w:type="dxa"/>
            <w:vAlign w:val="bottom"/>
          </w:tcPr>
          <w:p>
            <w:pPr>
              <w:spacing w:after="0"/>
              <w:rPr>
                <w:sz w:val="24"/>
                <w:szCs w:val="24"/>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(Stamp)</w:t>
            </w:r>
          </w:p>
        </w:tc>
        <w:tc>
          <w:tcPr>
            <w:tcW w:w="6260" w:type="dxa"/>
            <w:vAlign w:val="bottom"/>
          </w:tcPr>
          <w:p>
            <w:pPr>
              <w:spacing w:after="0"/>
              <w:rPr>
                <w:sz w:val="24"/>
                <w:szCs w:val="24"/>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w w:val="99"/>
              </w:rPr>
              <w:t>(Legal Representative or Authorized Representative) (Signature)</w:t>
            </w:r>
          </w:p>
        </w:tc>
        <w:tc>
          <w:tcPr>
            <w:tcW w:w="626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432"/>
        </w:trPr>
        <w:tc>
          <w:tcPr>
            <w:tcW w:w="5160" w:type="dxa"/>
            <w:vAlign w:val="bottom"/>
          </w:tcPr>
          <w:p>
            <w:pPr>
              <w:spacing w:after="0"/>
              <w:rPr>
                <w:sz w:val="24"/>
                <w:szCs w:val="24"/>
                <w:color w:val="auto"/>
              </w:rPr>
            </w:pPr>
          </w:p>
        </w:tc>
        <w:tc>
          <w:tcPr>
            <w:tcW w:w="6260" w:type="dxa"/>
            <w:vAlign w:val="bottom"/>
          </w:tcPr>
          <w:p>
            <w:pPr>
              <w:ind w:left="560"/>
              <w:spacing w:after="0"/>
              <w:rPr>
                <w:sz w:val="20"/>
                <w:szCs w:val="20"/>
                <w:color w:val="auto"/>
              </w:rPr>
            </w:pPr>
            <w:r>
              <w:rPr>
                <w:rFonts w:ascii="Arial" w:cs="Arial" w:eastAsia="Arial" w:hAnsi="Arial"/>
                <w:sz w:val="18"/>
                <w:szCs w:val="18"/>
                <w:color w:val="auto"/>
              </w:rPr>
              <w:t>Date</w:t>
            </w: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Party B: Photronics UK, Ltd.</w:t>
            </w:r>
          </w:p>
        </w:tc>
        <w:tc>
          <w:tcPr>
            <w:tcW w:w="6260" w:type="dxa"/>
            <w:vAlign w:val="bottom"/>
          </w:tcPr>
          <w:p>
            <w:pPr>
              <w:spacing w:after="0"/>
              <w:rPr>
                <w:sz w:val="24"/>
                <w:szCs w:val="24"/>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w w:val="99"/>
              </w:rPr>
              <w:t>(Legal Representative or Authorized Representative) (Signature)</w:t>
            </w:r>
          </w:p>
        </w:tc>
        <w:tc>
          <w:tcPr>
            <w:tcW w:w="6260" w:type="dxa"/>
            <w:vAlign w:val="bottom"/>
          </w:tcPr>
          <w:p>
            <w:pPr>
              <w:spacing w:after="0"/>
              <w:rPr>
                <w:sz w:val="24"/>
                <w:szCs w:val="24"/>
                <w:color w:val="auto"/>
              </w:rPr>
            </w:pPr>
          </w:p>
        </w:tc>
      </w:tr>
      <w:tr>
        <w:trPr>
          <w:trHeight w:val="432"/>
        </w:trPr>
        <w:tc>
          <w:tcPr>
            <w:tcW w:w="5160" w:type="dxa"/>
            <w:vAlign w:val="bottom"/>
          </w:tcPr>
          <w:p>
            <w:pPr>
              <w:spacing w:after="0"/>
              <w:rPr>
                <w:sz w:val="24"/>
                <w:szCs w:val="24"/>
                <w:color w:val="auto"/>
              </w:rPr>
            </w:pPr>
          </w:p>
        </w:tc>
        <w:tc>
          <w:tcPr>
            <w:tcW w:w="6260" w:type="dxa"/>
            <w:vAlign w:val="bottom"/>
          </w:tcPr>
          <w:p>
            <w:pPr>
              <w:ind w:left="560"/>
              <w:spacing w:after="0"/>
              <w:rPr>
                <w:sz w:val="20"/>
                <w:szCs w:val="20"/>
                <w:color w:val="auto"/>
              </w:rPr>
            </w:pPr>
            <w:r>
              <w:rPr>
                <w:rFonts w:ascii="Arial" w:cs="Arial" w:eastAsia="Arial" w:hAnsi="Arial"/>
                <w:sz w:val="18"/>
                <w:szCs w:val="18"/>
                <w:color w:val="auto"/>
              </w:rPr>
              <w:t>Date</w:t>
            </w:r>
          </w:p>
        </w:tc>
      </w:tr>
      <w:tr>
        <w:trPr>
          <w:trHeight w:val="596"/>
        </w:trPr>
        <w:tc>
          <w:tcPr>
            <w:tcW w:w="5160" w:type="dxa"/>
            <w:vAlign w:val="bottom"/>
          </w:tcPr>
          <w:p>
            <w:pPr>
              <w:spacing w:after="0"/>
              <w:rPr>
                <w:sz w:val="24"/>
                <w:szCs w:val="24"/>
                <w:color w:val="auto"/>
              </w:rPr>
            </w:pPr>
          </w:p>
        </w:tc>
        <w:tc>
          <w:tcPr>
            <w:tcW w:w="6260" w:type="dxa"/>
            <w:vAlign w:val="bottom"/>
          </w:tcPr>
          <w:p>
            <w:pPr>
              <w:jc w:val="right"/>
              <w:ind w:right="5554"/>
              <w:spacing w:after="0"/>
              <w:rPr>
                <w:sz w:val="20"/>
                <w:szCs w:val="20"/>
                <w:color w:val="auto"/>
              </w:rPr>
            </w:pPr>
            <w:r>
              <w:rPr>
                <w:rFonts w:ascii="Arial" w:cs="Arial" w:eastAsia="Arial" w:hAnsi="Arial"/>
                <w:sz w:val="14"/>
                <w:szCs w:val="14"/>
                <w:color w:val="auto"/>
              </w:rPr>
              <w:t>22</w:t>
            </w:r>
          </w:p>
        </w:tc>
      </w:tr>
      <w:tr>
        <w:trPr>
          <w:trHeight w:val="87"/>
        </w:trPr>
        <w:tc>
          <w:tcPr>
            <w:tcW w:w="5160" w:type="dxa"/>
            <w:vAlign w:val="bottom"/>
            <w:tcBorders>
              <w:bottom w:val="single" w:sz="8" w:color="auto"/>
            </w:tcBorders>
          </w:tcPr>
          <w:p>
            <w:pPr>
              <w:spacing w:after="0"/>
              <w:rPr>
                <w:sz w:val="7"/>
                <w:szCs w:val="7"/>
                <w:color w:val="auto"/>
              </w:rPr>
            </w:pPr>
          </w:p>
        </w:tc>
        <w:tc>
          <w:tcPr>
            <w:tcW w:w="6260" w:type="dxa"/>
            <w:vAlign w:val="bottom"/>
            <w:tcBorders>
              <w:bottom w:val="single" w:sz="8" w:color="auto"/>
            </w:tcBorders>
          </w:tcPr>
          <w:p>
            <w:pPr>
              <w:spacing w:after="0"/>
              <w:rPr>
                <w:sz w:val="7"/>
                <w:szCs w:val="7"/>
                <w:color w:val="auto"/>
              </w:rPr>
            </w:pPr>
          </w:p>
        </w:tc>
      </w:tr>
    </w:tbl>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21</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b w:val="1"/>
                <w:bCs w:val="1"/>
                <w:color w:val="auto"/>
              </w:rPr>
              <w:t>SUBSIDIARIES OF PHOTRONICS, INC.</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440" w:type="dxa"/>
            <w:vAlign w:val="bottom"/>
          </w:tcPr>
          <w:p>
            <w:pPr>
              <w:ind w:left="4920"/>
              <w:spacing w:after="0"/>
              <w:rPr>
                <w:sz w:val="20"/>
                <w:szCs w:val="20"/>
                <w:color w:val="auto"/>
              </w:rPr>
            </w:pPr>
            <w:r>
              <w:rPr>
                <w:rFonts w:ascii="Arial" w:cs="Arial" w:eastAsia="Arial" w:hAnsi="Arial"/>
                <w:sz w:val="18"/>
                <w:szCs w:val="18"/>
                <w:color w:val="auto"/>
              </w:rPr>
              <w:t>State or Jurisdiction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7440" w:type="dxa"/>
            <w:vAlign w:val="bottom"/>
          </w:tcPr>
          <w:p>
            <w:pPr>
              <w:ind w:left="4660"/>
              <w:spacing w:after="0"/>
              <w:rPr>
                <w:sz w:val="20"/>
                <w:szCs w:val="20"/>
                <w:color w:val="auto"/>
              </w:rPr>
            </w:pPr>
            <w:r>
              <w:rPr>
                <w:rFonts w:ascii="Arial" w:cs="Arial" w:eastAsia="Arial" w:hAnsi="Arial"/>
                <w:sz w:val="18"/>
                <w:szCs w:val="18"/>
                <w:color w:val="auto"/>
              </w:rPr>
              <w:t>Incorporation or Organization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Align-Rite International, Ltd.</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Photronics (Wales) Limited</w:t>
            </w:r>
          </w:p>
        </w:tc>
        <w:tc>
          <w:tcPr>
            <w:tcW w:w="7440" w:type="dxa"/>
            <w:vAlign w:val="bottom"/>
          </w:tcPr>
          <w:p>
            <w:pPr>
              <w:ind w:left="40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Photronics California, Inc.</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(California, USA)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Photronics Idaho, Inc.</w:t>
            </w:r>
          </w:p>
        </w:tc>
        <w:tc>
          <w:tcPr>
            <w:tcW w:w="7440" w:type="dxa"/>
            <w:vAlign w:val="bottom"/>
          </w:tcPr>
          <w:p>
            <w:pPr>
              <w:ind w:left="4020"/>
              <w:spacing w:after="0"/>
              <w:rPr>
                <w:sz w:val="20"/>
                <w:szCs w:val="20"/>
                <w:color w:val="auto"/>
              </w:rPr>
            </w:pPr>
            <w:r>
              <w:rPr>
                <w:rFonts w:ascii="Arial" w:cs="Arial" w:eastAsia="Arial" w:hAnsi="Arial"/>
                <w:sz w:val="18"/>
                <w:szCs w:val="18"/>
                <w:color w:val="auto"/>
              </w:rPr>
              <w:t>(Idaho, USA)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Photronics Texas Allen, Inc.</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(Texas, USA)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Photronics MZD, GmbH</w:t>
            </w:r>
          </w:p>
        </w:tc>
        <w:tc>
          <w:tcPr>
            <w:tcW w:w="7440" w:type="dxa"/>
            <w:vAlign w:val="bottom"/>
          </w:tcPr>
          <w:p>
            <w:pPr>
              <w:ind w:left="40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Photronics Advanced Mask Corporation</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(Taiwan, R.O.C.)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Photronics DNP Mask Corporation (1)</w:t>
            </w:r>
          </w:p>
        </w:tc>
        <w:tc>
          <w:tcPr>
            <w:tcW w:w="7440" w:type="dxa"/>
            <w:vAlign w:val="bottom"/>
          </w:tcPr>
          <w:p>
            <w:pPr>
              <w:ind w:left="4020"/>
              <w:spacing w:after="0"/>
              <w:rPr>
                <w:sz w:val="20"/>
                <w:szCs w:val="20"/>
                <w:color w:val="auto"/>
              </w:rPr>
            </w:pPr>
            <w:r>
              <w:rPr>
                <w:rFonts w:ascii="Arial" w:cs="Arial" w:eastAsia="Arial" w:hAnsi="Arial"/>
                <w:sz w:val="18"/>
                <w:szCs w:val="18"/>
                <w:color w:val="auto"/>
              </w:rPr>
              <w:t>(Taiwan, R.O.C.)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PDMC Shanghai, Ltd.</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(Shanghai, P.R.C.)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Photronics Singapore Pte, Ltd.</w:t>
            </w:r>
          </w:p>
        </w:tc>
        <w:tc>
          <w:tcPr>
            <w:tcW w:w="7440" w:type="dxa"/>
            <w:vAlign w:val="bottom"/>
          </w:tcPr>
          <w:p>
            <w:pPr>
              <w:ind w:left="40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Xiamen American Japan Photronics Mask Co., Ltd.</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(Xiamen, P.R.C.)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Photronics UK, Ltd.</w:t>
            </w:r>
          </w:p>
        </w:tc>
        <w:tc>
          <w:tcPr>
            <w:tcW w:w="7440" w:type="dxa"/>
            <w:vAlign w:val="bottom"/>
          </w:tcPr>
          <w:p>
            <w:pPr>
              <w:ind w:left="40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PMCH</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(Hefei, P.R.C)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PK, Ltd. (2)</w:t>
            </w:r>
          </w:p>
        </w:tc>
        <w:tc>
          <w:tcPr>
            <w:tcW w:w="7440" w:type="dxa"/>
            <w:vAlign w:val="bottom"/>
          </w:tcPr>
          <w:p>
            <w:pPr>
              <w:ind w:left="4020"/>
              <w:spacing w:after="0"/>
              <w:rPr>
                <w:sz w:val="20"/>
                <w:szCs w:val="20"/>
                <w:color w:val="auto"/>
              </w:rPr>
            </w:pPr>
            <w:r>
              <w:rPr>
                <w:rFonts w:ascii="Arial" w:cs="Arial" w:eastAsia="Arial" w:hAnsi="Arial"/>
                <w:sz w:val="18"/>
                <w:szCs w:val="18"/>
                <w:color w:val="auto"/>
              </w:rPr>
              <w:t>(Republic of Korea)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PKLT Co., Ltd.</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(Taiwan, R.O.C.)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Trianja Technologies, Inc.</w:t>
            </w:r>
          </w:p>
        </w:tc>
        <w:tc>
          <w:tcPr>
            <w:tcW w:w="7440" w:type="dxa"/>
            <w:vAlign w:val="bottom"/>
          </w:tcPr>
          <w:p>
            <w:pPr>
              <w:ind w:left="4020"/>
              <w:spacing w:after="0"/>
              <w:rPr>
                <w:sz w:val="20"/>
                <w:szCs w:val="20"/>
                <w:color w:val="auto"/>
              </w:rPr>
            </w:pPr>
            <w:r>
              <w:rPr>
                <w:rFonts w:ascii="Arial" w:cs="Arial" w:eastAsia="Arial" w:hAnsi="Arial"/>
                <w:sz w:val="18"/>
                <w:szCs w:val="18"/>
                <w:color w:val="auto"/>
              </w:rPr>
              <w:t>(Texas, USA)</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Note: Entities directly owned by subsidiaries of Photronics, Inc. </w:t>
      </w:r>
      <w:r>
        <w:rPr>
          <w:rFonts w:ascii="Arial" w:cs="Arial" w:eastAsia="Arial" w:hAnsi="Arial"/>
          <w:sz w:val="18"/>
          <w:szCs w:val="18"/>
          <w:u w:val="single" w:color="auto"/>
          <w:color w:val="auto"/>
        </w:rPr>
        <w:t>are indented and listed below their immediate parent</w:t>
      </w:r>
      <w:r>
        <w:rPr>
          <w:rFonts w:ascii="Arial" w:cs="Arial" w:eastAsia="Arial" w:hAnsi="Arial"/>
          <w:sz w:val="18"/>
          <w:szCs w:val="18"/>
          <w:color w:val="auto"/>
        </w:rPr>
        <w:t>. Ownership is 100% unless otherwise indicated.</w:t>
      </w:r>
    </w:p>
    <w:p>
      <w:pPr>
        <w:spacing w:after="0" w:line="170"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50.01% owned by Photronics, Inc. and 49.99% owned by DNPJ</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99.75% owned by Photronics, Inc., and 0.25% owned by minority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Nos. 333-160235 and 333-161857 on Form S-3 and Registration Statement Nos. 333-169296, 333-169295, 333-02245, 333-42010, 333-50809, 333-86846, 333-78102, 333-151763, 333-197890 and 333-217676 on Form S-8 of our reports dated December 20, 2017, relating to the consolidated financial statements and financial statement schedule of Photronics, Inc. and subsidiaries, and the effectiveness of Photronics, Inc. and its subsidiaries’ internal control over financial reporting, appearing in this Annual Report on Form 10-K of Photronics, Inc. for the year ended October 29, 2017.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52"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52" w:lineRule="exact"/>
        <w:rPr>
          <w:rFonts w:ascii="Arial" w:cs="Arial" w:eastAsia="Arial" w:hAnsi="Arial"/>
          <w:sz w:val="18"/>
          <w:szCs w:val="18"/>
          <w:color w:val="auto"/>
        </w:rPr>
      </w:pPr>
    </w:p>
    <w:p>
      <w:pPr>
        <w:ind w:left="340" w:right="80" w:hanging="332"/>
        <w:spacing w:after="0" w:line="342"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40" w:hanging="332"/>
        <w:spacing w:after="0" w:line="308"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480" w:hanging="328"/>
        <w:spacing w:after="0" w:line="342" w:lineRule="auto"/>
        <w:tabs>
          <w:tab w:leader="none" w:pos="6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0" w:lineRule="exact"/>
        <w:rPr>
          <w:rFonts w:ascii="Arial" w:cs="Arial" w:eastAsia="Arial" w:hAnsi="Arial"/>
          <w:sz w:val="16"/>
          <w:szCs w:val="16"/>
          <w:color w:val="auto"/>
        </w:rPr>
      </w:pPr>
    </w:p>
    <w:p>
      <w:pPr>
        <w:jc w:val="both"/>
        <w:ind w:left="660" w:right="140" w:hanging="328"/>
        <w:spacing w:after="0" w:line="264"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480" w:hanging="332"/>
        <w:spacing w:after="0" w:line="308"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4490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P. Jordan, certify that:</w:t>
      </w:r>
    </w:p>
    <w:p>
      <w:pPr>
        <w:spacing w:after="0" w:line="252"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52" w:lineRule="exact"/>
        <w:rPr>
          <w:rFonts w:ascii="Arial" w:cs="Arial" w:eastAsia="Arial" w:hAnsi="Arial"/>
          <w:sz w:val="18"/>
          <w:szCs w:val="18"/>
          <w:color w:val="auto"/>
        </w:rPr>
      </w:pPr>
    </w:p>
    <w:p>
      <w:pPr>
        <w:ind w:left="340" w:right="80" w:hanging="332"/>
        <w:spacing w:after="0" w:line="342"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40" w:hanging="332"/>
        <w:spacing w:after="0" w:line="308" w:lineRule="auto"/>
        <w:tabs>
          <w:tab w:leader="none" w:pos="3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480" w:hanging="328"/>
        <w:spacing w:after="0" w:line="342" w:lineRule="auto"/>
        <w:tabs>
          <w:tab w:leader="none" w:pos="6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0" w:lineRule="exact"/>
        <w:rPr>
          <w:rFonts w:ascii="Arial" w:cs="Arial" w:eastAsia="Arial" w:hAnsi="Arial"/>
          <w:sz w:val="16"/>
          <w:szCs w:val="16"/>
          <w:color w:val="auto"/>
        </w:rPr>
      </w:pPr>
    </w:p>
    <w:p>
      <w:pPr>
        <w:jc w:val="both"/>
        <w:ind w:left="660" w:right="140" w:hanging="328"/>
        <w:spacing w:after="0" w:line="264"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180" w:right="640" w:hanging="172"/>
        <w:spacing w:after="0" w:line="308" w:lineRule="auto"/>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4490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83" w:right="2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 Peter S. Kirlin, Chief Executive Officer of Photronics, Inc. (the "Company"), certify, pursuant to Section 906 of the Sarbanes-Oxley Act of 2002, 18 U.S.C.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1350, that:</w:t>
      </w:r>
    </w:p>
    <w:p>
      <w:pPr>
        <w:spacing w:after="0" w:line="238" w:lineRule="exact"/>
        <w:rPr>
          <w:sz w:val="20"/>
          <w:szCs w:val="20"/>
          <w:color w:val="auto"/>
        </w:rPr>
      </w:pPr>
    </w:p>
    <w:p>
      <w:pPr>
        <w:ind w:left="340" w:right="22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29, 2017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44907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83" w:right="29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 John P. Jordan, Chief Financial Officer of Photronics, Inc. (the "Company"), certify, pursuant to Section 906 of the Sarbanes-Oxley Act of 2002, 18 U.S.C.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1350, that:</w:t>
      </w:r>
    </w:p>
    <w:p>
      <w:pPr>
        <w:spacing w:after="0" w:line="238" w:lineRule="exact"/>
        <w:rPr>
          <w:sz w:val="20"/>
          <w:szCs w:val="20"/>
          <w:color w:val="auto"/>
        </w:rPr>
      </w:pPr>
    </w:p>
    <w:p>
      <w:pPr>
        <w:ind w:left="340" w:right="180" w:hanging="332"/>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29, 2017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44907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2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lowerLetter"/>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1)"/>
      <w:numFmt w:val="lowerLetter"/>
      <w:start w:val="1"/>
    </w:lvl>
  </w:abstractNum>
  <w:abstractNum w:abstractNumId="8">
    <w:nsid w:val="7724C67E"/>
    <w:multiLevelType w:val="hybridMultilevel"/>
    <w:lvl w:ilvl="0">
      <w:lvlJc w:val="left"/>
      <w:lvlText w:val="%1."/>
      <w:numFmt w:val="decimal"/>
      <w:start w:val="2"/>
    </w:lvl>
  </w:abstractNum>
  <w:abstractNum w:abstractNumId="9">
    <w:nsid w:val="5C482A97"/>
    <w:multiLevelType w:val="hybridMultilevel"/>
    <w:lvl w:ilvl="0">
      <w:lvlJc w:val="left"/>
      <w:lvlText w:val="(%1)"/>
      <w:numFmt w:val="lowerLetter"/>
      <w:start w:val="1"/>
    </w:lvl>
  </w:abstractNum>
  <w:abstractNum w:abstractNumId="10">
    <w:nsid w:val="2463B9EA"/>
    <w:multiLevelType w:val="hybridMultilevel"/>
    <w:lvl w:ilvl="0">
      <w:lvlJc w:val="left"/>
      <w:lvlText w:val="%1"/>
      <w:numFmt w:val="decimal"/>
      <w:start w:val="21"/>
    </w:lvl>
  </w:abstractNum>
  <w:abstractNum w:abstractNumId="11">
    <w:nsid w:val="5E884ADC"/>
    <w:multiLevelType w:val="hybridMultilevel"/>
    <w:lvl w:ilvl="0">
      <w:lvlJc w:val="left"/>
      <w:lvlText w:val="%1"/>
      <w:numFmt w:val="decimal"/>
      <w:start w:val="23"/>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lowerLetter"/>
      <w:start w:val="2"/>
    </w:lvl>
  </w:abstractNum>
  <w:abstractNum w:abstractNumId="16">
    <w:nsid w:val="3855585C"/>
    <w:multiLevelType w:val="hybridMultilevel"/>
    <w:lvl w:ilvl="0">
      <w:lvlJc w:val="left"/>
      <w:lvlText w:val="[%1]"/>
      <w:numFmt w:val="lowerLetter"/>
      <w:start w:val="3"/>
    </w:lvl>
  </w:abstractNum>
  <w:abstractNum w:abstractNumId="17">
    <w:nsid w:val="70A64E2A"/>
    <w:multiLevelType w:val="hybridMultilevel"/>
    <w:lvl w:ilvl="0">
      <w:lvlJc w:val="left"/>
      <w:lvlText w:val="[%1]"/>
      <w:numFmt w:val="lowerLetter"/>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1)"/>
      <w:numFmt w:val="lowerLetter"/>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lowerLetter"/>
      <w:start w:val="2"/>
    </w:lvl>
  </w:abstractNum>
  <w:abstractNum w:abstractNumId="22">
    <w:nsid w:val="2CD89A32"/>
    <w:multiLevelType w:val="hybridMultilevel"/>
    <w:lvl w:ilvl="0">
      <w:lvlJc w:val="left"/>
      <w:lvlText w:val="%1."/>
      <w:numFmt w:val="decimal"/>
      <w:start w:val="4"/>
    </w:lvl>
  </w:abstractNum>
  <w:abstractNum w:abstractNumId="23">
    <w:nsid w:val="57E4CCAF"/>
    <w:multiLevelType w:val="hybridMultilevel"/>
    <w:lvl w:ilvl="0">
      <w:lvlJc w:val="left"/>
      <w:lvlText w:val="(%1)"/>
      <w:numFmt w:val="lowerLetter"/>
      <w:start w:val="1"/>
    </w:lvl>
  </w:abstractNum>
  <w:abstractNum w:abstractNumId="24">
    <w:nsid w:val="7A6D8D3C"/>
    <w:multiLevelType w:val="hybridMultilevel"/>
    <w:lvl w:ilvl="0">
      <w:lvlJc w:val="left"/>
      <w:lvlText w:val="(%1)"/>
      <w:numFmt w:val="lowerLetter"/>
      <w:start w:val="2"/>
    </w:lvl>
  </w:abstractNum>
  <w:abstractNum w:abstractNumId="25">
    <w:nsid w:val="4B588F54"/>
    <w:multiLevelType w:val="hybridMultilevel"/>
    <w:lvl w:ilvl="0">
      <w:lvlJc w:val="left"/>
      <w:lvlText w:val="%1."/>
      <w:numFmt w:val="decimal"/>
      <w:start w:val="5"/>
    </w:lvl>
  </w:abstractNum>
  <w:abstractNum w:abstractNumId="26">
    <w:nsid w:val="542289EC"/>
    <w:multiLevelType w:val="hybridMultilevel"/>
    <w:lvl w:ilvl="0">
      <w:lvlJc w:val="left"/>
      <w:lvlText w:val="(%1)"/>
      <w:numFmt w:val="lowerLetter"/>
      <w:start w:val="1"/>
    </w:lvl>
  </w:abstractNum>
  <w:abstractNum w:abstractNumId="27">
    <w:nsid w:val="6DE91B18"/>
    <w:multiLevelType w:val="hybridMultilevel"/>
    <w:lvl w:ilvl="0">
      <w:lvlJc w:val="left"/>
      <w:lvlText w:val="(%1)"/>
      <w:numFmt w:val="lowerLetter"/>
      <w:start w:val="2"/>
    </w:lvl>
  </w:abstractNum>
  <w:abstractNum w:abstractNumId="28">
    <w:nsid w:val="38437FDB"/>
    <w:multiLevelType w:val="hybridMultilevel"/>
    <w:lvl w:ilvl="0">
      <w:lvlJc w:val="left"/>
      <w:lvlText w:val="(%1)"/>
      <w:numFmt w:val="lowerRoman"/>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lowerRoman"/>
      <w:start w:val="3"/>
    </w:lvl>
  </w:abstractNum>
  <w:abstractNum w:abstractNumId="31">
    <w:nsid w:val="684A481A"/>
    <w:multiLevelType w:val="hybridMultilevel"/>
    <w:lvl w:ilvl="0">
      <w:lvlJc w:val="left"/>
      <w:lvlText w:val="(%1)"/>
      <w:numFmt w:val="lowerLetter"/>
      <w:start w:val="3"/>
    </w:lvl>
  </w:abstractNum>
  <w:abstractNum w:abstractNumId="32">
    <w:nsid w:val="579478FE"/>
    <w:multiLevelType w:val="hybridMultilevel"/>
    <w:lvl w:ilvl="0">
      <w:lvlJc w:val="left"/>
      <w:lvlText w:val="(%1)"/>
      <w:numFmt w:val="lowerRoman"/>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8"/>
    </w:lvl>
  </w:abstractNum>
  <w:abstractNum w:abstractNumId="35">
    <w:nsid w:val="1BA026FA"/>
    <w:multiLevelType w:val="hybridMultilevel"/>
    <w:lvl w:ilvl="0">
      <w:lvlJc w:val="left"/>
      <w:lvlText w:val="(%1)"/>
      <w:numFmt w:val="lowerLetter"/>
      <w:start w:val="4"/>
    </w:lvl>
  </w:abstractNum>
  <w:abstractNum w:abstractNumId="36">
    <w:nsid w:val="79A1DEAA"/>
    <w:multiLevelType w:val="hybridMultilevel"/>
    <w:lvl w:ilvl="0">
      <w:lvlJc w:val="left"/>
      <w:lvlText w:val="(%1)"/>
      <w:numFmt w:val="lowerRoman"/>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lowerRoman"/>
      <w:start w:val="3"/>
    </w:lvl>
  </w:abstractNum>
  <w:abstractNum w:abstractNumId="39">
    <w:nsid w:val="70C6A529"/>
    <w:multiLevelType w:val="hybridMultilevel"/>
    <w:lvl w:ilvl="0">
      <w:lvlJc w:val="left"/>
      <w:lvlText w:val="(%1)"/>
      <w:numFmt w:val="lowerRoman"/>
      <w:start w:val="5"/>
    </w:lvl>
  </w:abstractNum>
  <w:abstractNum w:abstractNumId="40">
    <w:nsid w:val="520EEDD1"/>
    <w:multiLevelType w:val="hybridMultilevel"/>
    <w:lvl w:ilvl="0">
      <w:lvlJc w:val="left"/>
      <w:lvlText w:val="(%1)"/>
      <w:numFmt w:val="lowerRoman"/>
      <w:start w:val="4"/>
    </w:lvl>
  </w:abstractNum>
  <w:abstractNum w:abstractNumId="41">
    <w:nsid w:val="374A3FE6"/>
    <w:multiLevelType w:val="hybridMultilevel"/>
    <w:lvl w:ilvl="0">
      <w:lvlJc w:val="left"/>
      <w:lvlText w:val="(%1)"/>
      <w:numFmt w:val="lowerLetter"/>
      <w:start w:val="5"/>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lowerRoman"/>
      <w:start w:val="2"/>
    </w:lvl>
  </w:abstractNum>
  <w:abstractNum w:abstractNumId="44">
    <w:nsid w:val="649BB77C"/>
    <w:multiLevelType w:val="hybridMultilevel"/>
    <w:lvl w:ilvl="0">
      <w:lvlJc w:val="left"/>
      <w:lvlText w:val="(%1)"/>
      <w:numFmt w:val="lowerLetter"/>
      <w:start w:val="6"/>
    </w:lvl>
  </w:abstractNum>
  <w:abstractNum w:abstractNumId="45">
    <w:nsid w:val="275AC794"/>
    <w:multiLevelType w:val="hybridMultilevel"/>
    <w:lvl w:ilvl="0">
      <w:lvlJc w:val="left"/>
      <w:lvlText w:val="(%1)"/>
      <w:numFmt w:val="lowerRoman"/>
      <w:start w:val="1"/>
    </w:lvl>
  </w:abstractNum>
  <w:abstractNum w:abstractNumId="46">
    <w:nsid w:val="39386575"/>
    <w:multiLevelType w:val="hybridMultilevel"/>
    <w:lvl w:ilvl="0">
      <w:lvlJc w:val="left"/>
      <w:lvlText w:val="(%1)"/>
      <w:numFmt w:val="lowerLetter"/>
      <w:start w:val="8"/>
    </w:lvl>
  </w:abstractNum>
  <w:abstractNum w:abstractNumId="47">
    <w:nsid w:val="1CF10FD8"/>
    <w:multiLevelType w:val="hybridMultilevel"/>
    <w:lvl w:ilvl="0">
      <w:lvlJc w:val="left"/>
      <w:lvlText w:val="%1."/>
      <w:numFmt w:val="decimal"/>
      <w:start w:val="6"/>
    </w:lvl>
  </w:abstractNum>
  <w:abstractNum w:abstractNumId="48">
    <w:nsid w:val="180115BE"/>
    <w:multiLevelType w:val="hybridMultilevel"/>
    <w:lvl w:ilvl="0">
      <w:lvlJc w:val="left"/>
      <w:lvlText w:val="(%1)"/>
      <w:numFmt w:val="lowerLetter"/>
      <w:start w:val="1"/>
    </w:lvl>
  </w:abstractNum>
  <w:abstractNum w:abstractNumId="49">
    <w:nsid w:val="235BA861"/>
    <w:multiLevelType w:val="hybridMultilevel"/>
    <w:lvl w:ilvl="0">
      <w:lvlJc w:val="left"/>
      <w:lvlText w:val="%1."/>
      <w:numFmt w:val="decimal"/>
      <w:start w:val="8"/>
    </w:lvl>
  </w:abstractNum>
  <w:abstractNum w:abstractNumId="50">
    <w:nsid w:val="47398C89"/>
    <w:multiLevelType w:val="hybridMultilevel"/>
    <w:lvl w:ilvl="0">
      <w:lvlJc w:val="left"/>
      <w:lvlText w:val="(%1)"/>
      <w:numFmt w:val="lowerLetter"/>
      <w:start w:val="1"/>
    </w:lvl>
  </w:abstractNum>
  <w:abstractNum w:abstractNumId="51">
    <w:nsid w:val="354FE9F9"/>
    <w:multiLevelType w:val="hybridMultilevel"/>
    <w:lvl w:ilvl="0">
      <w:lvlJc w:val="left"/>
      <w:lvlText w:val="(%1)"/>
      <w:numFmt w:val="lowerLetter"/>
      <w:start w:val="2"/>
    </w:lvl>
  </w:abstractNum>
  <w:abstractNum w:abstractNumId="52">
    <w:nsid w:val="15B5AF5C"/>
    <w:multiLevelType w:val="hybridMultilevel"/>
    <w:lvl w:ilvl="0">
      <w:lvlJc w:val="left"/>
      <w:lvlText w:val="%1."/>
      <w:numFmt w:val="decimal"/>
      <w:start w:val="9"/>
    </w:lvl>
  </w:abstractNum>
  <w:abstractNum w:abstractNumId="53">
    <w:nsid w:val="741226BB"/>
    <w:multiLevelType w:val="hybridMultilevel"/>
    <w:lvl w:ilvl="0">
      <w:lvlJc w:val="left"/>
      <w:lvlText w:val="(%1)"/>
      <w:numFmt w:val="lowerLetter"/>
      <w:start w:val="1"/>
    </w:lvl>
  </w:abstractNum>
  <w:abstractNum w:abstractNumId="54">
    <w:nsid w:val="D34B6A8"/>
    <w:multiLevelType w:val="hybridMultilevel"/>
    <w:lvl w:ilvl="0">
      <w:lvlJc w:val="left"/>
      <w:lvlText w:val="%1."/>
      <w:numFmt w:val="decimal"/>
      <w:start w:val="11"/>
    </w:lvl>
  </w:abstractNum>
  <w:abstractNum w:abstractNumId="55">
    <w:nsid w:val="10233C99"/>
    <w:multiLevelType w:val="hybridMultilevel"/>
    <w:lvl w:ilvl="0">
      <w:lvlJc w:val="left"/>
      <w:lvlText w:val="%1."/>
      <w:numFmt w:val="decimal"/>
      <w:start w:val="15"/>
    </w:lvl>
  </w:abstractNum>
  <w:abstractNum w:abstractNumId="56">
    <w:nsid w:val="3F6AB60F"/>
    <w:multiLevelType w:val="hybridMultilevel"/>
    <w:lvl w:ilvl="0">
      <w:lvlJc w:val="left"/>
      <w:lvlText w:val="%1."/>
      <w:numFmt w:val="decimal"/>
      <w:start w:val="16"/>
    </w:lvl>
  </w:abstractNum>
  <w:abstractNum w:abstractNumId="57">
    <w:nsid w:val="61574095"/>
    <w:multiLevelType w:val="hybridMultilevel"/>
    <w:lvl w:ilvl="0">
      <w:lvlJc w:val="left"/>
      <w:lvlText w:val="%1."/>
      <w:numFmt w:val="decimal"/>
      <w:start w:val="2"/>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lvl w:ilvl="1">
      <w:lvlJc w:val="left"/>
      <w:lvlText w:val="%2."/>
      <w:numFmt w:val="decimal"/>
      <w:start w:val="4"/>
    </w:lvl>
  </w:abstractNum>
  <w:abstractNum w:abstractNumId="60">
    <w:nsid w:val="579BE4F1"/>
    <w:multiLevelType w:val="hybridMultilevel"/>
    <w:lvl w:ilvl="0">
      <w:lvlJc w:val="left"/>
      <w:lvlText w:val="%1."/>
      <w:numFmt w:val="decimal"/>
      <w:start w:val="5"/>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5" Type="http://schemas.openxmlformats.org/officeDocument/2006/relationships/image" Target="media/image59.png"/><Relationship Id="rId109" Type="http://schemas.openxmlformats.org/officeDocument/2006/relationships/image" Target="media/image60.png"/><Relationship Id="rId110" Type="http://schemas.openxmlformats.org/officeDocument/2006/relationships/image" Target="media/image61.png"/><Relationship Id="rId111" Type="http://schemas.openxmlformats.org/officeDocument/2006/relationships/image" Target="media/image62.png"/><Relationship Id="rId112" Type="http://schemas.openxmlformats.org/officeDocument/2006/relationships/image" Target="media/image63.png"/><Relationship Id="rId113" Type="http://schemas.openxmlformats.org/officeDocument/2006/relationships/image" Target="media/image64.png"/><Relationship Id="rId114" Type="http://schemas.openxmlformats.org/officeDocument/2006/relationships/image" Target="media/image65.png"/><Relationship Id="rId115" Type="http://schemas.openxmlformats.org/officeDocument/2006/relationships/image" Target="media/image66.png"/><Relationship Id="rId116" Type="http://schemas.openxmlformats.org/officeDocument/2006/relationships/image" Target="media/image67.png"/><Relationship Id="rId117" Type="http://schemas.openxmlformats.org/officeDocument/2006/relationships/image" Target="media/image68.png"/><Relationship Id="rId118" Type="http://schemas.openxmlformats.org/officeDocument/2006/relationships/image" Target="media/image69.png"/><Relationship Id="rId119" Type="http://schemas.openxmlformats.org/officeDocument/2006/relationships/image" Target="media/image70.png"/><Relationship Id="rId120" Type="http://schemas.openxmlformats.org/officeDocument/2006/relationships/image" Target="media/image71.png"/><Relationship Id="rId121" Type="http://schemas.openxmlformats.org/officeDocument/2006/relationships/image" Target="media/image72.png"/><Relationship Id="rId122" Type="http://schemas.openxmlformats.org/officeDocument/2006/relationships/image" Target="media/image73.png"/><Relationship Id="rId123" Type="http://schemas.openxmlformats.org/officeDocument/2006/relationships/image" Target="media/image74.png"/><Relationship Id="rId124" Type="http://schemas.openxmlformats.org/officeDocument/2006/relationships/image" Target="media/image75.png"/><Relationship Id="rId125" Type="http://schemas.openxmlformats.org/officeDocument/2006/relationships/image" Target="media/image76.png"/><Relationship Id="rId126" Type="http://schemas.openxmlformats.org/officeDocument/2006/relationships/image" Target="media/image77.png"/><Relationship Id="rId127" Type="http://schemas.openxmlformats.org/officeDocument/2006/relationships/image" Target="media/image78.png"/><Relationship Id="rId128" Type="http://schemas.openxmlformats.org/officeDocument/2006/relationships/image" Target="media/image79.png"/><Relationship Id="rId129" Type="http://schemas.openxmlformats.org/officeDocument/2006/relationships/image" Target="media/image80.png"/><Relationship Id="rId130" Type="http://schemas.openxmlformats.org/officeDocument/2006/relationships/image" Target="media/image81.png"/><Relationship Id="rId131" Type="http://schemas.openxmlformats.org/officeDocument/2006/relationships/image" Target="media/image82.png"/><Relationship Id="rId132" Type="http://schemas.openxmlformats.org/officeDocument/2006/relationships/image" Target="media/image83.png"/><Relationship Id="rId133"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66" Type="http://schemas.openxmlformats.org/officeDocument/2006/relationships/hyperlink" Target="http://www.sec.gov/Archives/edgar/data/810136/000114036114000609/ex3_1.htm" TargetMode="External"/><Relationship Id="rId67" Type="http://schemas.openxmlformats.org/officeDocument/2006/relationships/hyperlink" Target="http://www.sec.gov/Archives/edgar/data/810136/000114036116079692/ex3_2.htm" TargetMode="External"/><Relationship Id="rId68" Type="http://schemas.openxmlformats.org/officeDocument/2006/relationships/hyperlink" Target="http://www.sec.gov/Archives/edgar/data/810136/000120677415000307/exhibit4-2.htm" TargetMode="External"/><Relationship Id="rId69" Type="http://schemas.openxmlformats.org/officeDocument/2006/relationships/hyperlink" Target="http://www.sec.gov/Archives/edgar/data/810136/000114036117000934/ex10_2.htm" TargetMode="External"/><Relationship Id="rId70" Type="http://schemas.openxmlformats.org/officeDocument/2006/relationships/hyperlink" Target="http://www.sec.gov/Archives/edgar/data/810136/000114036116047150/ex10_4.htm" TargetMode="External"/><Relationship Id="rId71" Type="http://schemas.openxmlformats.org/officeDocument/2006/relationships/hyperlink" Target="http://www.sec.gov/Archives/edgar/data/810136/000114036112039517/ex10_9.htm" TargetMode="External"/><Relationship Id="rId72" Type="http://schemas.openxmlformats.org/officeDocument/2006/relationships/hyperlink" Target="http://www.sec.gov/Archives/edgar/data/810136/000114036116055498/formdef14a.htm" TargetMode="External"/><Relationship Id="rId73" Type="http://schemas.openxmlformats.org/officeDocument/2006/relationships/hyperlink" Target="http://www.sec.gov/Archives/edgar/data/810136/000120677414000691/photronics_def14a.htm" TargetMode="External"/><Relationship Id="rId74" Type="http://schemas.openxmlformats.org/officeDocument/2006/relationships/hyperlink" Target="http://www.sec.gov/Archives/edgar/data/810136/000114036116047150/ex10_7.htm" TargetMode="External"/><Relationship Id="rId76" Type="http://schemas.openxmlformats.org/officeDocument/2006/relationships/hyperlink" Target="http://www.sec.gov/Archives/edgar/data/810136/000114036115000753/ex10_8.htm" TargetMode="External"/><Relationship Id="rId77" Type="http://schemas.openxmlformats.org/officeDocument/2006/relationships/hyperlink" Target="http://www.sec.gov/Archives/edgar/data/810136/000114036115000753/ex10_9.htm" TargetMode="External"/><Relationship Id="rId78" Type="http://schemas.openxmlformats.org/officeDocument/2006/relationships/hyperlink" Target="http://www.sec.gov/Archives/edgar/data/810136/000114036115034663/ex10_31.htm" TargetMode="External"/><Relationship Id="rId79" Type="http://schemas.openxmlformats.org/officeDocument/2006/relationships/hyperlink" Target="http://www.sec.gov/Archives/edgar/data/810136/000114036115000753/ex10_12.htm" TargetMode="External"/><Relationship Id="rId80" Type="http://schemas.openxmlformats.org/officeDocument/2006/relationships/hyperlink" Target="http://www.sec.gov/Archives/edgar/data/810136/000114036112002364/exhibit10-14.htm" TargetMode="External"/><Relationship Id="rId81" Type="http://schemas.openxmlformats.org/officeDocument/2006/relationships/hyperlink" Target="http://www.sec.gov/Archives/edgar/data/810136/000114036112002364/exhibit10-15.htm" TargetMode="External"/><Relationship Id="rId82" Type="http://schemas.openxmlformats.org/officeDocument/2006/relationships/hyperlink" Target="http://www.sec.gov/Archives/edgar/data/810136/000114036112002364/exhibit10-16.htm" TargetMode="External"/><Relationship Id="rId83" Type="http://schemas.openxmlformats.org/officeDocument/2006/relationships/hyperlink" Target="http://www.sec.gov/Archives/edgar/data/810136/000114036112002364/exhibit10-17.htm" TargetMode="External"/><Relationship Id="rId84" Type="http://schemas.openxmlformats.org/officeDocument/2006/relationships/hyperlink" Target="http://www.sec.gov/Archives/edgar/data/810136/000114036112002364/exhibit10-18.htm" TargetMode="External"/><Relationship Id="rId85" Type="http://schemas.openxmlformats.org/officeDocument/2006/relationships/hyperlink" Target="http://www.sec.gov/Archives/edgar/data/810136/000120677412000957/exhibit99-2.htm" TargetMode="External"/><Relationship Id="rId86" Type="http://schemas.openxmlformats.org/officeDocument/2006/relationships/hyperlink" Target="http://www.sec.gov/Archives/edgar/data/810136/000114036115023237/ex10_18.htm" TargetMode="External"/><Relationship Id="rId87" Type="http://schemas.openxmlformats.org/officeDocument/2006/relationships/hyperlink" Target="http://www.sec.gov/Archives/edgar/data/810136/000114036115023237/ex10_16.htm" TargetMode="External"/><Relationship Id="rId88" Type="http://schemas.openxmlformats.org/officeDocument/2006/relationships/hyperlink" Target="http://www.sec.gov/Archives/edgar/data/810136/000114036115027000/ex10_19.htm" TargetMode="External"/><Relationship Id="rId89" Type="http://schemas.openxmlformats.org/officeDocument/2006/relationships/hyperlink" Target="http://www.sec.gov/Archives/edgar/data/810136/000114036115027000/ex10_20.htm" TargetMode="External"/><Relationship Id="rId90" Type="http://schemas.openxmlformats.org/officeDocument/2006/relationships/hyperlink" Target="http://www.sec.gov/Archives/edgar/data/810136/000114036115027000/ex10_21.htm" TargetMode="External"/><Relationship Id="rId91" Type="http://schemas.openxmlformats.org/officeDocument/2006/relationships/hyperlink" Target="http://www.sec.gov/Archives/edgar/data/810136/000114036115027000/ex10_22.htm" TargetMode="External"/><Relationship Id="rId92" Type="http://schemas.openxmlformats.org/officeDocument/2006/relationships/hyperlink" Target="http://www.sec.gov/Archives/edgar/data/810136/000114036115027000/ex10_23.htm" TargetMode="External"/><Relationship Id="rId93" Type="http://schemas.openxmlformats.org/officeDocument/2006/relationships/hyperlink" Target="http://www.sec.gov/Archives/edgar/data/810136/000114036115027000/ex10_24.htm" TargetMode="External"/><Relationship Id="rId94" Type="http://schemas.openxmlformats.org/officeDocument/2006/relationships/hyperlink" Target="http://www.sec.gov/Archives/edgar/data/810136/000114036115027000/ex10_25.htm" TargetMode="External"/><Relationship Id="rId95" Type="http://schemas.openxmlformats.org/officeDocument/2006/relationships/hyperlink" Target="http://www.sec.gov/Archives/edgar/data/810136/000114036117000934/ex10_27.htm" TargetMode="External"/><Relationship Id="rId96" Type="http://schemas.openxmlformats.org/officeDocument/2006/relationships/hyperlink" Target="http://www.sec.gov/Archives/edgar/data/810136/000081013608000003/plab_exh10-24.htm" TargetMode="External"/><Relationship Id="rId97" Type="http://schemas.openxmlformats.org/officeDocument/2006/relationships/hyperlink" Target="http://www.sec.gov/Archives/edgar/data/810136/000114036115034663/ex10_28.htm" TargetMode="External"/><Relationship Id="rId98" Type="http://schemas.openxmlformats.org/officeDocument/2006/relationships/hyperlink" Target="http://www.sec.gov/Archives/edgar/data/810136/000114036116047150/ex10_30.htm" TargetMode="External"/><Relationship Id="rId99" Type="http://schemas.openxmlformats.org/officeDocument/2006/relationships/hyperlink" Target="http://www.sec.gov/Archives/edgar/data/810136/000120677412001092/exhibit10-1.htm" TargetMode="External"/><Relationship Id="rId100" Type="http://schemas.openxmlformats.org/officeDocument/2006/relationships/hyperlink" Target="http://www.sec.gov/Archives/edgar/data/810136/000114036114000609/ex10_24.htm" TargetMode="External"/><Relationship Id="rId101" Type="http://schemas.openxmlformats.org/officeDocument/2006/relationships/hyperlink" Target="http://www.sec.gov/Archives/edgar/data/810136/000114036115000753/ex10_32.htm" TargetMode="External"/><Relationship Id="rId102" Type="http://schemas.openxmlformats.org/officeDocument/2006/relationships/hyperlink" Target="http://www.sec.gov/Archives/edgar/data/810136/000114036117024405/ex10_30.htm" TargetMode="External"/><Relationship Id="rId103" Type="http://schemas.openxmlformats.org/officeDocument/2006/relationships/hyperlink" Target="http://www.sec.gov/Archives/edgar/data/810136/000114036115000753/ex10_33.htm" TargetMode="External"/><Relationship Id="rId104" Type="http://schemas.openxmlformats.org/officeDocument/2006/relationships/hyperlink" Target="http://www.sec.gov/Archives/edgar/data/810136/000114036116078718/ex10_35.htm" TargetMode="External"/><Relationship Id="rId105" Type="http://schemas.openxmlformats.org/officeDocument/2006/relationships/hyperlink" Target="http://www.sec.gov/Archives/edgar/data/810136/000114036117046677/ex10_26.htm" TargetMode="External"/><Relationship Id="rId106" Type="http://schemas.openxmlformats.org/officeDocument/2006/relationships/hyperlink" Target="http://www.sec.gov/Archives/edgar/data/810136/000114036117046677/ex10_27.htm" TargetMode="External"/><Relationship Id="rId107" Type="http://schemas.openxmlformats.org/officeDocument/2006/relationships/hyperlink" Target="http://www.sec.gov/Archives/edgar/data/810136/000114036117046677/ex10_28.htm" TargetMode="External"/><Relationship Id="rId108" Type="http://schemas.openxmlformats.org/officeDocument/2006/relationships/hyperlink" Target="http://www.sec.gov/Archives/edgar/data/810136/000114036117046677/ex10_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2019-12-29T02:30:31Z</dcterms:created>
  <dcterms:modified xsi:type="dcterms:W3CDTF">2019-12-29T02:30:31Z</dcterms:modified>
</cp:coreProperties>
</file>