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6" w:lineRule="exact"/>
        <w:rPr>
          <w:sz w:val="24"/>
          <w:szCs w:val="24"/>
          <w:color w:val="auto"/>
        </w:rPr>
      </w:pPr>
    </w:p>
    <w:p>
      <w:pPr>
        <w:ind w:left="3900" w:right="1880" w:hanging="3892"/>
        <w:spacing w:after="0" w:line="258" w:lineRule="auto"/>
        <w:tabs>
          <w:tab w:leader="none" w:pos="49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August 1, 2021</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OR</w:t>
      </w:r>
    </w:p>
    <w:p>
      <w:pPr>
        <w:spacing w:after="0" w:line="4" w:lineRule="exact"/>
        <w:rPr>
          <w:sz w:val="24"/>
          <w:szCs w:val="24"/>
          <w:color w:val="auto"/>
        </w:rPr>
      </w:pPr>
    </w:p>
    <w:p>
      <w:pPr>
        <w:ind w:left="4100" w:right="1840" w:hanging="4092"/>
        <w:spacing w:after="0" w:line="526" w:lineRule="auto"/>
        <w:tabs>
          <w:tab w:leader="none" w:pos="49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168910</wp:posOffset>
            </wp:positionV>
            <wp:extent cx="53149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8"/>
              </w:rPr>
              <w:t>Connecticut</w:t>
            </w:r>
          </w:p>
        </w:tc>
        <w:tc>
          <w:tcPr>
            <w:tcW w:w="1840" w:type="dxa"/>
            <w:vAlign w:val="bottom"/>
          </w:tcPr>
          <w:p>
            <w:pPr>
              <w:spacing w:after="0"/>
              <w:rPr>
                <w:sz w:val="19"/>
                <w:szCs w:val="19"/>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4960" w:type="dxa"/>
            <w:vAlign w:val="bottom"/>
            <w:gridSpan w:val="2"/>
          </w:tcPr>
          <w:p>
            <w:pPr>
              <w:jc w:val="center"/>
              <w:ind w:left="4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4960" w:type="dxa"/>
            <w:vAlign w:val="bottom"/>
            <w:gridSpan w:val="2"/>
          </w:tcPr>
          <w:p>
            <w:pPr>
              <w:jc w:val="center"/>
              <w:ind w:left="4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49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(203) 775-9000</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231F20"/>
              </w:rPr>
              <w:t>Securities registered pursuant to Section 12(b) of the Act:</w:t>
            </w: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0"/>
        </w:trPr>
        <w:tc>
          <w:tcPr>
            <w:tcW w:w="3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231F20"/>
                <w:w w:val="91"/>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PREFERRED STOCK PURCHASE RIGHTS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N/A</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229"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6" w:right="339" w:bottom="794" w:gutter="0" w:footer="0" w:header="0"/>
        </w:sectPr>
      </w:pP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48"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576" w:right="339" w:bottom="794"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 61,151,194 shares outstanding as of September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94"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gridSpan w:val="10"/>
          </w:tcPr>
          <w:p>
            <w:pPr>
              <w:jc w:val="center"/>
              <w:ind w:right="2340"/>
              <w:spacing w:after="0"/>
              <w:rPr>
                <w:sz w:val="20"/>
                <w:szCs w:val="20"/>
                <w:color w:val="auto"/>
              </w:rPr>
            </w:pPr>
            <w:r>
              <w:rPr>
                <w:rFonts w:ascii="Arial" w:cs="Arial" w:eastAsia="Arial" w:hAnsi="Arial"/>
                <w:sz w:val="18"/>
                <w:szCs w:val="18"/>
                <w:b w:val="1"/>
                <w:bCs w:val="1"/>
                <w:color w:val="auto"/>
                <w:w w:val="98"/>
              </w:rPr>
              <w:t>TABLE OF CONTENTS</w:t>
            </w:r>
          </w:p>
        </w:tc>
        <w:tc>
          <w:tcPr>
            <w:tcW w:w="2140" w:type="dxa"/>
            <w:vAlign w:val="bottom"/>
          </w:tcPr>
          <w:p>
            <w:pPr>
              <w:spacing w:after="0"/>
              <w:rPr>
                <w:sz w:val="17"/>
                <w:szCs w:val="17"/>
                <w:color w:val="auto"/>
              </w:rPr>
            </w:pPr>
          </w:p>
        </w:tc>
      </w:tr>
      <w:tr>
        <w:trPr>
          <w:trHeight w:val="264"/>
        </w:trPr>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196"/>
        </w:trPr>
        <w:tc>
          <w:tcPr>
            <w:tcW w:w="24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Terms and Acronyms</w:t>
              </w:r>
            </w:hyperlink>
          </w:p>
        </w:tc>
        <w:tc>
          <w:tcPr>
            <w:tcW w:w="6660" w:type="dxa"/>
            <w:vAlign w:val="bottom"/>
            <w:tcBorders>
              <w:bottom w:val="single" w:sz="8" w:color="CCEEFF"/>
            </w:tcBorders>
            <w:gridSpan w:val="14"/>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ind w:left="1580"/>
              <w:spacing w:after="0" w:line="176" w:lineRule="exact"/>
              <w:rPr>
                <w:sz w:val="20"/>
                <w:szCs w:val="20"/>
                <w:color w:val="auto"/>
              </w:rPr>
            </w:pPr>
            <w:r>
              <w:rPr>
                <w:rFonts w:ascii="Arial" w:cs="Arial" w:eastAsia="Arial" w:hAnsi="Arial"/>
                <w:sz w:val="18"/>
                <w:szCs w:val="18"/>
                <w:color w:val="auto"/>
              </w:rPr>
              <w:t>3</w:t>
            </w:r>
          </w:p>
        </w:tc>
      </w:tr>
      <w:tr>
        <w:trPr>
          <w:trHeight w:val="175"/>
        </w:trPr>
        <w:tc>
          <w:tcPr>
            <w:tcW w:w="910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4</w:t>
            </w:r>
          </w:p>
        </w:tc>
      </w:tr>
      <w:tr>
        <w:trPr>
          <w:trHeight w:val="21"/>
        </w:trPr>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200" w:type="dxa"/>
            <w:vAlign w:val="bottom"/>
            <w:gridSpan w:val="19"/>
          </w:tcPr>
          <w:p>
            <w:pPr>
              <w:ind w:left="180"/>
              <w:spacing w:after="0"/>
              <w:rPr>
                <w:sz w:val="20"/>
                <w:szCs w:val="20"/>
                <w:color w:val="auto"/>
              </w:rPr>
            </w:pPr>
            <w:r>
              <w:rPr>
                <w:rFonts w:ascii="Arial" w:cs="Arial" w:eastAsia="Arial" w:hAnsi="Arial"/>
                <w:sz w:val="18"/>
                <w:szCs w:val="18"/>
                <w:b w:val="1"/>
                <w:bCs w:val="1"/>
                <w:color w:val="auto"/>
              </w:rPr>
              <w:t>FINANCIAL INFORMATION</w:t>
            </w:r>
          </w:p>
        </w:tc>
        <w:tc>
          <w:tcPr>
            <w:tcW w:w="2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 (unaudited)</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5</w:t>
            </w:r>
          </w:p>
        </w:tc>
      </w:tr>
      <w:tr>
        <w:trPr>
          <w:trHeight w:val="21"/>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rPr>
                <w:sz w:val="15"/>
                <w:szCs w:val="15"/>
                <w:color w:val="auto"/>
              </w:rPr>
            </w:pP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5</w:t>
            </w:r>
          </w:p>
        </w:tc>
      </w:tr>
      <w:tr>
        <w:trPr>
          <w:trHeight w:val="21"/>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6"/>
        </w:trPr>
        <w:tc>
          <w:tcPr>
            <w:tcW w:w="900" w:type="dxa"/>
            <w:vAlign w:val="bottom"/>
          </w:tcPr>
          <w:p>
            <w:pPr>
              <w:spacing w:after="0"/>
              <w:rPr>
                <w:sz w:val="15"/>
                <w:szCs w:val="15"/>
                <w:color w:val="auto"/>
              </w:rPr>
            </w:pP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6</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rPr>
                <w:sz w:val="15"/>
                <w:szCs w:val="15"/>
                <w:color w:val="auto"/>
              </w:rPr>
            </w:pP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7</w:t>
            </w:r>
          </w:p>
        </w:tc>
      </w:tr>
      <w:tr>
        <w:trPr>
          <w:trHeight w:val="21"/>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6"/>
        </w:trPr>
        <w:tc>
          <w:tcPr>
            <w:tcW w:w="900" w:type="dxa"/>
            <w:vAlign w:val="bottom"/>
          </w:tcPr>
          <w:p>
            <w:pPr>
              <w:spacing w:after="0"/>
              <w:rPr>
                <w:sz w:val="15"/>
                <w:szCs w:val="15"/>
                <w:color w:val="auto"/>
              </w:rPr>
            </w:pP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Equity</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8</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6"/>
        </w:trPr>
        <w:tc>
          <w:tcPr>
            <w:tcW w:w="900" w:type="dxa"/>
            <w:vAlign w:val="bottom"/>
          </w:tcPr>
          <w:p>
            <w:pPr>
              <w:spacing w:after="0"/>
              <w:rPr>
                <w:sz w:val="15"/>
                <w:szCs w:val="15"/>
                <w:color w:val="auto"/>
              </w:rPr>
            </w:pP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10</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rPr>
                <w:sz w:val="15"/>
                <w:szCs w:val="15"/>
                <w:color w:val="auto"/>
              </w:rPr>
            </w:pP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11</w:t>
            </w:r>
          </w:p>
        </w:tc>
      </w:tr>
      <w:tr>
        <w:trPr>
          <w:trHeight w:val="21"/>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26</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33</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33</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200" w:type="dxa"/>
            <w:vAlign w:val="bottom"/>
            <w:gridSpan w:val="19"/>
          </w:tcPr>
          <w:p>
            <w:pPr>
              <w:ind w:left="180"/>
              <w:spacing w:after="0"/>
              <w:rPr>
                <w:sz w:val="20"/>
                <w:szCs w:val="20"/>
                <w:color w:val="auto"/>
              </w:rPr>
            </w:pPr>
            <w:r>
              <w:rPr>
                <w:rFonts w:ascii="Arial" w:cs="Arial" w:eastAsia="Arial" w:hAnsi="Arial"/>
                <w:sz w:val="18"/>
                <w:szCs w:val="18"/>
                <w:b w:val="1"/>
                <w:bCs w:val="1"/>
                <w:color w:val="auto"/>
              </w:rPr>
              <w:t>OTHER INFORMATION</w:t>
            </w:r>
          </w:p>
        </w:tc>
        <w:tc>
          <w:tcPr>
            <w:tcW w:w="21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34</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34</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8200" w:type="dxa"/>
            <w:vAlign w:val="bottom"/>
            <w:gridSpan w:val="19"/>
          </w:tcPr>
          <w:p>
            <w:pPr>
              <w:ind w:left="1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2140" w:type="dxa"/>
            <w:vAlign w:val="bottom"/>
          </w:tcPr>
          <w:p>
            <w:pPr>
              <w:ind w:left="1580"/>
              <w:spacing w:after="0" w:line="176" w:lineRule="exact"/>
              <w:rPr>
                <w:sz w:val="20"/>
                <w:szCs w:val="20"/>
                <w:color w:val="auto"/>
              </w:rPr>
            </w:pPr>
            <w:r>
              <w:rPr>
                <w:rFonts w:ascii="Arial" w:cs="Arial" w:eastAsia="Arial" w:hAnsi="Arial"/>
                <w:sz w:val="18"/>
                <w:szCs w:val="18"/>
                <w:color w:val="auto"/>
              </w:rPr>
              <w:t>35</w:t>
            </w:r>
          </w:p>
        </w:tc>
      </w:tr>
      <w:tr>
        <w:trPr>
          <w:trHeight w:val="616"/>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900" w:type="dxa"/>
            <w:vAlign w:val="bottom"/>
            <w:gridSpan w:val="15"/>
          </w:tcPr>
          <w:p>
            <w:pPr>
              <w:jc w:val="right"/>
              <w:ind w:right="920"/>
              <w:spacing w:after="0"/>
              <w:rPr>
                <w:sz w:val="20"/>
                <w:szCs w:val="20"/>
                <w:color w:val="auto"/>
              </w:rPr>
            </w:pPr>
            <w:r>
              <w:rPr>
                <w:rFonts w:ascii="Arial" w:cs="Arial" w:eastAsia="Arial" w:hAnsi="Arial"/>
                <w:sz w:val="14"/>
                <w:szCs w:val="14"/>
                <w:color w:val="auto"/>
              </w:rPr>
              <w:t>2</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6"/>
        </w:trPr>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8860" w:type="dxa"/>
            <w:vAlign w:val="bottom"/>
          </w:tcPr>
          <w:p>
            <w:pPr>
              <w:ind w:left="1960"/>
              <w:spacing w:after="0"/>
              <w:rPr>
                <w:sz w:val="20"/>
                <w:szCs w:val="20"/>
                <w:color w:val="auto"/>
              </w:rPr>
            </w:pPr>
            <w:r>
              <w:rPr>
                <w:rFonts w:ascii="Arial" w:cs="Arial" w:eastAsia="Arial" w:hAnsi="Arial"/>
                <w:sz w:val="18"/>
                <w:szCs w:val="18"/>
                <w:b w:val="1"/>
                <w:bCs w:val="1"/>
                <w:color w:val="auto"/>
              </w:rPr>
              <w:t>Glossary of Terms and Acronyms</w:t>
            </w:r>
          </w:p>
        </w:tc>
      </w:tr>
      <w:tr>
        <w:trPr>
          <w:trHeight w:val="459"/>
        </w:trPr>
        <w:tc>
          <w:tcPr>
            <w:tcW w:w="11240" w:type="dxa"/>
            <w:vAlign w:val="bottom"/>
            <w:gridSpan w:val="2"/>
          </w:tcPr>
          <w:p>
            <w:pPr>
              <w:spacing w:after="0"/>
              <w:rPr>
                <w:sz w:val="20"/>
                <w:szCs w:val="20"/>
                <w:color w:val="auto"/>
              </w:rPr>
            </w:pPr>
            <w:r>
              <w:rPr>
                <w:rFonts w:ascii="Arial" w:cs="Arial" w:eastAsia="Arial" w:hAnsi="Arial"/>
                <w:sz w:val="18"/>
                <w:szCs w:val="18"/>
                <w:color w:val="auto"/>
              </w:rPr>
              <w:t>Definitions of certain terms and acronyms that appear in this report are provided below.</w:t>
            </w:r>
          </w:p>
        </w:tc>
      </w:tr>
      <w:tr>
        <w:trPr>
          <w:trHeight w:val="459"/>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AMOLED</w:t>
            </w:r>
          </w:p>
        </w:tc>
        <w:tc>
          <w:tcPr>
            <w:tcW w:w="8860" w:type="dxa"/>
            <w:vAlign w:val="bottom"/>
          </w:tcPr>
          <w:p>
            <w:pPr>
              <w:ind w:left="200"/>
              <w:spacing w:after="0"/>
              <w:rPr>
                <w:sz w:val="20"/>
                <w:szCs w:val="20"/>
                <w:color w:val="auto"/>
              </w:rPr>
            </w:pPr>
            <w:r>
              <w:rPr>
                <w:rFonts w:ascii="Arial" w:cs="Arial" w:eastAsia="Arial" w:hAnsi="Arial"/>
                <w:sz w:val="18"/>
                <w:szCs w:val="18"/>
                <w:color w:val="auto"/>
              </w:rPr>
              <w:t>Active-matrix organic light-emitting diode. A technology used in mobile devices.</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ASC</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ASU</w:t>
            </w:r>
          </w:p>
        </w:tc>
        <w:tc>
          <w:tcPr>
            <w:tcW w:w="8860" w:type="dxa"/>
            <w:vAlign w:val="bottom"/>
          </w:tcPr>
          <w:p>
            <w:pPr>
              <w:ind w:left="20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DNP</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Dai Nippon Printing Co., Ltd.</w:t>
            </w:r>
          </w:p>
        </w:tc>
      </w:tr>
      <w:tr>
        <w:trPr>
          <w:trHeight w:val="202"/>
        </w:trPr>
        <w:tc>
          <w:tcPr>
            <w:tcW w:w="2380" w:type="dxa"/>
            <w:vAlign w:val="bottom"/>
          </w:tcPr>
          <w:p>
            <w:pPr>
              <w:ind w:left="380"/>
              <w:spacing w:after="0" w:line="201" w:lineRule="exact"/>
              <w:rPr>
                <w:sz w:val="20"/>
                <w:szCs w:val="20"/>
                <w:color w:val="auto"/>
              </w:rPr>
            </w:pPr>
            <w:r>
              <w:rPr>
                <w:rFonts w:ascii="Arial" w:cs="Arial" w:eastAsia="Arial" w:hAnsi="Arial"/>
                <w:sz w:val="18"/>
                <w:szCs w:val="18"/>
                <w:b w:val="1"/>
                <w:bCs w:val="1"/>
                <w:color w:val="auto"/>
              </w:rPr>
              <w:t>EUV</w:t>
            </w:r>
          </w:p>
        </w:tc>
        <w:tc>
          <w:tcPr>
            <w:tcW w:w="8860" w:type="dxa"/>
            <w:vAlign w:val="bottom"/>
          </w:tcPr>
          <w:p>
            <w:pPr>
              <w:ind w:left="200"/>
              <w:spacing w:after="0" w:line="201" w:lineRule="exact"/>
              <w:rPr>
                <w:sz w:val="20"/>
                <w:szCs w:val="20"/>
                <w:color w:val="auto"/>
              </w:rPr>
            </w:pPr>
            <w:r>
              <w:rPr>
                <w:rFonts w:ascii="Arial" w:cs="Arial" w:eastAsia="Arial" w:hAnsi="Arial"/>
                <w:sz w:val="18"/>
                <w:szCs w:val="18"/>
                <w:color w:val="auto"/>
                <w:w w:val="94"/>
              </w:rPr>
              <w:t>A wafer lithography technology using the industry standard extreme ultraviolet (EUV) wavelength. EUV photomasks</w:t>
            </w:r>
          </w:p>
        </w:tc>
      </w:tr>
      <w:tr>
        <w:trPr>
          <w:trHeight w:val="216"/>
        </w:trPr>
        <w:tc>
          <w:tcPr>
            <w:tcW w:w="238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function by selectively reflecting or blocking light, in contrast to conventional photomasks which function by</w:t>
            </w:r>
          </w:p>
        </w:tc>
      </w:tr>
      <w:tr>
        <w:trPr>
          <w:trHeight w:val="230"/>
        </w:trPr>
        <w:tc>
          <w:tcPr>
            <w:tcW w:w="2380" w:type="dxa"/>
            <w:vAlign w:val="bottom"/>
          </w:tcPr>
          <w:p>
            <w:pPr>
              <w:spacing w:after="0"/>
              <w:rPr>
                <w:sz w:val="20"/>
                <w:szCs w:val="20"/>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selectively transmitting or blocking light.</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Exchange Act</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Securities Exchange Act of 1934 (as amended)</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FASB</w:t>
            </w:r>
          </w:p>
        </w:tc>
        <w:tc>
          <w:tcPr>
            <w:tcW w:w="8860" w:type="dxa"/>
            <w:vAlign w:val="bottom"/>
          </w:tcPr>
          <w:p>
            <w:pPr>
              <w:ind w:left="2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Form 10-K</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Annual Report on Form 10-K</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Form 10-Q</w:t>
            </w:r>
          </w:p>
        </w:tc>
        <w:tc>
          <w:tcPr>
            <w:tcW w:w="8860" w:type="dxa"/>
            <w:vAlign w:val="bottom"/>
          </w:tcPr>
          <w:p>
            <w:pPr>
              <w:ind w:left="200"/>
              <w:spacing w:after="0"/>
              <w:rPr>
                <w:sz w:val="20"/>
                <w:szCs w:val="20"/>
                <w:color w:val="auto"/>
              </w:rPr>
            </w:pPr>
            <w:r>
              <w:rPr>
                <w:rFonts w:ascii="Arial" w:cs="Arial" w:eastAsia="Arial" w:hAnsi="Arial"/>
                <w:sz w:val="18"/>
                <w:szCs w:val="18"/>
                <w:color w:val="auto"/>
              </w:rPr>
              <w:t>Quarterly Report on Form 10-Q</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FPDs</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Flat-panel displays, or “displays”</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w w:val="98"/>
              </w:rPr>
              <w:t>High-end (photomasks)</w:t>
            </w:r>
          </w:p>
        </w:tc>
        <w:tc>
          <w:tcPr>
            <w:tcW w:w="8860" w:type="dxa"/>
            <w:vAlign w:val="bottom"/>
          </w:tcPr>
          <w:p>
            <w:pPr>
              <w:ind w:left="200"/>
              <w:spacing w:after="0"/>
              <w:rPr>
                <w:sz w:val="20"/>
                <w:szCs w:val="20"/>
                <w:color w:val="auto"/>
              </w:rPr>
            </w:pPr>
            <w:r>
              <w:rPr>
                <w:rFonts w:ascii="Arial" w:cs="Arial" w:eastAsia="Arial" w:hAnsi="Arial"/>
                <w:sz w:val="18"/>
                <w:szCs w:val="18"/>
                <w:color w:val="auto"/>
              </w:rPr>
              <w:t>For IC, photomasks that are 28nm or smaller; for FPD, AMOLED, G10.5+, and LTPS photomasks.</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ICs</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Integrated circuits, or semiconductors</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LIBOR</w:t>
            </w:r>
          </w:p>
        </w:tc>
        <w:tc>
          <w:tcPr>
            <w:tcW w:w="8860" w:type="dxa"/>
            <w:vAlign w:val="bottom"/>
          </w:tcPr>
          <w:p>
            <w:pPr>
              <w:ind w:left="200"/>
              <w:spacing w:after="0"/>
              <w:rPr>
                <w:sz w:val="20"/>
                <w:szCs w:val="20"/>
                <w:color w:val="auto"/>
              </w:rPr>
            </w:pPr>
            <w:r>
              <w:rPr>
                <w:rFonts w:ascii="Arial" w:cs="Arial" w:eastAsia="Arial" w:hAnsi="Arial"/>
                <w:sz w:val="18"/>
                <w:szCs w:val="18"/>
                <w:color w:val="auto"/>
              </w:rPr>
              <w:t>London Inter-Bank Offered Rate</w:t>
            </w:r>
          </w:p>
        </w:tc>
      </w:tr>
      <w:tr>
        <w:trPr>
          <w:trHeight w:val="202"/>
        </w:trPr>
        <w:tc>
          <w:tcPr>
            <w:tcW w:w="238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b w:val="1"/>
                <w:bCs w:val="1"/>
                <w:color w:val="auto"/>
              </w:rPr>
              <w:t>LTPS</w:t>
            </w:r>
          </w:p>
        </w:tc>
        <w:tc>
          <w:tcPr>
            <w:tcW w:w="8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Low-Temperature Poly Silicon, a polycrystalline silicon synthesized at relatively low temperatures; polycrystalline</w:t>
            </w:r>
          </w:p>
        </w:tc>
      </w:tr>
      <w:tr>
        <w:trPr>
          <w:trHeight w:val="216"/>
        </w:trPr>
        <w:tc>
          <w:tcPr>
            <w:tcW w:w="2380" w:type="dxa"/>
            <w:vAlign w:val="bottom"/>
            <w:shd w:val="clear" w:color="auto" w:fill="CCEEFF"/>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silicon in thin-film transistors (TFTs) are used in liquid-crystal displays (LCD) flat panels and to drive organic light-</w:t>
            </w:r>
          </w:p>
        </w:tc>
      </w:tr>
      <w:tr>
        <w:trPr>
          <w:trHeight w:val="230"/>
        </w:trPr>
        <w:tc>
          <w:tcPr>
            <w:tcW w:w="2380" w:type="dxa"/>
            <w:vAlign w:val="bottom"/>
            <w:shd w:val="clear" w:color="auto" w:fill="CCEEFF"/>
          </w:tcPr>
          <w:p>
            <w:pPr>
              <w:spacing w:after="0"/>
              <w:rPr>
                <w:sz w:val="20"/>
                <w:szCs w:val="20"/>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emitting diode (OLED) displays.</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MLA</w:t>
            </w:r>
          </w:p>
        </w:tc>
        <w:tc>
          <w:tcPr>
            <w:tcW w:w="8860" w:type="dxa"/>
            <w:vAlign w:val="bottom"/>
          </w:tcPr>
          <w:p>
            <w:pPr>
              <w:ind w:left="200"/>
              <w:spacing w:after="0"/>
              <w:rPr>
                <w:sz w:val="20"/>
                <w:szCs w:val="20"/>
                <w:color w:val="auto"/>
              </w:rPr>
            </w:pPr>
            <w:r>
              <w:rPr>
                <w:rFonts w:ascii="Arial" w:cs="Arial" w:eastAsia="Arial" w:hAnsi="Arial"/>
                <w:sz w:val="18"/>
                <w:szCs w:val="18"/>
                <w:color w:val="auto"/>
              </w:rPr>
              <w:t>Master Lease Agreement</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PDMCX</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Xiamen American Japan Photronics Mask Co., Ltd., a joint venture of Photronics and DNP.</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RMB</w:t>
            </w:r>
          </w:p>
        </w:tc>
        <w:tc>
          <w:tcPr>
            <w:tcW w:w="8860" w:type="dxa"/>
            <w:vAlign w:val="bottom"/>
          </w:tcPr>
          <w:p>
            <w:pPr>
              <w:ind w:left="200"/>
              <w:spacing w:after="0"/>
              <w:rPr>
                <w:sz w:val="20"/>
                <w:szCs w:val="20"/>
                <w:color w:val="auto"/>
              </w:rPr>
            </w:pPr>
            <w:r>
              <w:rPr>
                <w:rFonts w:ascii="Arial" w:cs="Arial" w:eastAsia="Arial" w:hAnsi="Arial"/>
                <w:sz w:val="18"/>
                <w:szCs w:val="18"/>
                <w:color w:val="auto"/>
              </w:rPr>
              <w:t>Chinese renminbi</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ROU (assets)</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Right-of-use asset</w:t>
            </w:r>
          </w:p>
        </w:tc>
      </w:tr>
      <w:tr>
        <w:trPr>
          <w:trHeight w:val="216"/>
        </w:trPr>
        <w:tc>
          <w:tcPr>
            <w:tcW w:w="2380" w:type="dxa"/>
            <w:vAlign w:val="bottom"/>
          </w:tcPr>
          <w:p>
            <w:pPr>
              <w:ind w:left="380"/>
              <w:spacing w:after="0"/>
              <w:rPr>
                <w:sz w:val="20"/>
                <w:szCs w:val="20"/>
                <w:color w:val="auto"/>
              </w:rPr>
            </w:pPr>
            <w:r>
              <w:rPr>
                <w:rFonts w:ascii="Arial" w:cs="Arial" w:eastAsia="Arial" w:hAnsi="Arial"/>
                <w:sz w:val="18"/>
                <w:szCs w:val="18"/>
                <w:b w:val="1"/>
                <w:bCs w:val="1"/>
                <w:color w:val="auto"/>
              </w:rPr>
              <w:t>SEC</w:t>
            </w:r>
          </w:p>
        </w:tc>
        <w:tc>
          <w:tcPr>
            <w:tcW w:w="8860" w:type="dxa"/>
            <w:vAlign w:val="bottom"/>
          </w:tcPr>
          <w:p>
            <w:pPr>
              <w:ind w:left="20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Securities Act</w:t>
            </w: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Securities Act of 1933 (as amended)</w:t>
            </w:r>
          </w:p>
        </w:tc>
      </w:tr>
      <w:tr>
        <w:trPr>
          <w:trHeight w:val="202"/>
        </w:trPr>
        <w:tc>
          <w:tcPr>
            <w:tcW w:w="2380" w:type="dxa"/>
            <w:vAlign w:val="bottom"/>
          </w:tcPr>
          <w:p>
            <w:pPr>
              <w:ind w:left="380"/>
              <w:spacing w:after="0" w:line="201" w:lineRule="exact"/>
              <w:rPr>
                <w:sz w:val="20"/>
                <w:szCs w:val="20"/>
                <w:color w:val="auto"/>
              </w:rPr>
            </w:pPr>
            <w:r>
              <w:rPr>
                <w:rFonts w:ascii="Arial" w:cs="Arial" w:eastAsia="Arial" w:hAnsi="Arial"/>
                <w:sz w:val="18"/>
                <w:szCs w:val="18"/>
                <w:b w:val="1"/>
                <w:bCs w:val="1"/>
                <w:color w:val="auto"/>
              </w:rPr>
              <w:t>Wafer</w:t>
            </w:r>
          </w:p>
        </w:tc>
        <w:tc>
          <w:tcPr>
            <w:tcW w:w="8860" w:type="dxa"/>
            <w:vAlign w:val="bottom"/>
          </w:tcPr>
          <w:p>
            <w:pPr>
              <w:ind w:left="200"/>
              <w:spacing w:after="0" w:line="201" w:lineRule="exact"/>
              <w:rPr>
                <w:sz w:val="20"/>
                <w:szCs w:val="20"/>
                <w:color w:val="auto"/>
              </w:rPr>
            </w:pPr>
            <w:r>
              <w:rPr>
                <w:rFonts w:ascii="Arial" w:cs="Arial" w:eastAsia="Arial" w:hAnsi="Arial"/>
                <w:sz w:val="18"/>
                <w:szCs w:val="18"/>
                <w:color w:val="auto"/>
                <w:w w:val="92"/>
              </w:rPr>
              <w:t>A wafer, or silicon wafer, is a thin slice of semiconductor material that, in the fabrication of microelectronics, serves as</w:t>
            </w:r>
          </w:p>
        </w:tc>
      </w:tr>
      <w:tr>
        <w:trPr>
          <w:trHeight w:val="230"/>
        </w:trPr>
        <w:tc>
          <w:tcPr>
            <w:tcW w:w="2380" w:type="dxa"/>
            <w:vAlign w:val="bottom"/>
          </w:tcPr>
          <w:p>
            <w:pPr>
              <w:spacing w:after="0"/>
              <w:rPr>
                <w:sz w:val="20"/>
                <w:szCs w:val="20"/>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the substrate for microelectronic devices built in and upon the wafer.</w:t>
            </w:r>
          </w:p>
        </w:tc>
      </w:tr>
      <w:tr>
        <w:trPr>
          <w:trHeight w:val="595"/>
        </w:trPr>
        <w:tc>
          <w:tcPr>
            <w:tcW w:w="2380" w:type="dxa"/>
            <w:vAlign w:val="bottom"/>
          </w:tcPr>
          <w:p>
            <w:pPr>
              <w:spacing w:after="0"/>
              <w:rPr>
                <w:sz w:val="24"/>
                <w:szCs w:val="24"/>
                <w:color w:val="auto"/>
              </w:rPr>
            </w:pPr>
          </w:p>
        </w:tc>
        <w:tc>
          <w:tcPr>
            <w:tcW w:w="8860" w:type="dxa"/>
            <w:vAlign w:val="bottom"/>
          </w:tcPr>
          <w:p>
            <w:pPr>
              <w:ind w:left="3200"/>
              <w:spacing w:after="0"/>
              <w:rPr>
                <w:sz w:val="20"/>
                <w:szCs w:val="20"/>
                <w:color w:val="auto"/>
              </w:rPr>
            </w:pPr>
            <w:r>
              <w:rPr>
                <w:rFonts w:ascii="Arial" w:cs="Arial" w:eastAsia="Arial" w:hAnsi="Arial"/>
                <w:sz w:val="14"/>
                <w:szCs w:val="14"/>
                <w:color w:val="auto"/>
              </w:rPr>
              <w:t>3</w:t>
            </w:r>
          </w:p>
        </w:tc>
      </w:tr>
      <w:tr>
        <w:trPr>
          <w:trHeight w:val="46"/>
        </w:trPr>
        <w:tc>
          <w:tcPr>
            <w:tcW w:w="2380" w:type="dxa"/>
            <w:vAlign w:val="bottom"/>
            <w:tcBorders>
              <w:bottom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“would”,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Item 2 – “Management’s Discussion &amp; Analysis of Financial Condition and Results of Operations” of this Form 10-Q.</w:t>
      </w:r>
    </w:p>
    <w:p>
      <w:pPr>
        <w:spacing w:after="0" w:line="193"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Report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Item 1A “Risk Factors” of our Form 10-K, as well as any additional risk factors we may provide in our Quarterly Reports on Form 10-Q.</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70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980" w:type="dxa"/>
            <w:vAlign w:val="bottom"/>
          </w:tcPr>
          <w:p>
            <w:pPr>
              <w:spacing w:after="0"/>
              <w:rPr>
                <w:sz w:val="24"/>
                <w:szCs w:val="24"/>
                <w:color w:val="auto"/>
              </w:rPr>
            </w:pPr>
          </w:p>
        </w:tc>
        <w:tc>
          <w:tcPr>
            <w:tcW w:w="7700" w:type="dxa"/>
            <w:vAlign w:val="bottom"/>
          </w:tcPr>
          <w:p>
            <w:pPr>
              <w:jc w:val="center"/>
              <w:ind w:left="1490"/>
              <w:spacing w:after="0"/>
              <w:rPr>
                <w:sz w:val="20"/>
                <w:szCs w:val="20"/>
                <w:color w:val="auto"/>
              </w:rPr>
            </w:pPr>
            <w:r>
              <w:rPr>
                <w:rFonts w:ascii="Arial" w:cs="Arial" w:eastAsia="Arial" w:hAnsi="Arial"/>
                <w:sz w:val="18"/>
                <w:szCs w:val="18"/>
                <w:b w:val="1"/>
                <w:bCs w:val="1"/>
                <w:color w:val="auto"/>
              </w:rPr>
              <w:t>PHOTRONICS, INC.</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7700" w:type="dxa"/>
            <w:vAlign w:val="bottom"/>
          </w:tcPr>
          <w:p>
            <w:pPr>
              <w:jc w:val="center"/>
              <w:ind w:left="15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7700" w:type="dxa"/>
            <w:vAlign w:val="bottom"/>
          </w:tcPr>
          <w:p>
            <w:pPr>
              <w:jc w:val="center"/>
              <w:ind w:left="151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700" w:type="dxa"/>
            <w:vAlign w:val="bottom"/>
          </w:tcPr>
          <w:p>
            <w:pPr>
              <w:jc w:val="center"/>
              <w:ind w:left="1490"/>
              <w:spacing w:after="0"/>
              <w:rPr>
                <w:sz w:val="20"/>
                <w:szCs w:val="20"/>
                <w:color w:val="auto"/>
              </w:rPr>
            </w:pPr>
            <w:r>
              <w:rPr>
                <w:rFonts w:ascii="Arial" w:cs="Arial" w:eastAsia="Arial" w:hAnsi="Arial"/>
                <w:sz w:val="18"/>
                <w:szCs w:val="18"/>
                <w:b w:val="1"/>
                <w:bCs w:val="1"/>
                <w:i w:val="1"/>
                <w:iCs w:val="1"/>
                <w:color w:val="auto"/>
                <w:w w:val="89"/>
              </w:rPr>
              <w:t>(unaudited)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August 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278,665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credit losses of $1,331 in 2021 and $1,324 in 2020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134,470</w:t>
            </w: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57,269</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42,860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29,735</w:t>
            </w: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500,139</w:t>
            </w: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631,475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23,691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r>
      <w:tr>
        <w:trPr>
          <w:trHeight w:val="22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assets</w:t>
            </w:r>
          </w:p>
        </w:tc>
        <w:tc>
          <w:tcPr>
            <w:tcW w:w="7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31,061</w:t>
            </w:r>
          </w:p>
        </w:tc>
      </w:tr>
      <w:tr>
        <w:trPr>
          <w:trHeight w:val="216"/>
        </w:trPr>
        <w:tc>
          <w:tcPr>
            <w:tcW w:w="9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8"/>
              </w:rPr>
              <w:t>Total assets</w:t>
            </w:r>
          </w:p>
        </w:tc>
        <w:tc>
          <w:tcPr>
            <w:tcW w:w="77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1,281,757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1,188,182</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25,163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8,970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75,378</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66,814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53,883</w:t>
            </w: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142,939</w:t>
            </w: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92,740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54,980</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27,997</w:t>
            </w:r>
          </w:p>
        </w:tc>
      </w:tr>
      <w:tr>
        <w:trPr>
          <w:trHeight w:val="216"/>
        </w:trPr>
        <w:tc>
          <w:tcPr>
            <w:tcW w:w="86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225,916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150,000 shares authorized, 60,758 shares issued and outstanding at August 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and 63,138 shares issued and outstanding at October 31, 2020</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489,431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507,336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279,037</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24,882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17,958</w:t>
            </w: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817,892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804,962</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176,569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994,461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1,281,757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2"/>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482,473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460,405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120,161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367,370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357,636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115,103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43,203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61,035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48,943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Foreign currency transactions impact,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(1,565)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23"/>
        </w:trPr>
        <w:tc>
          <w:tcPr>
            <w:tcW w:w="5980" w:type="dxa"/>
            <w:vAlign w:val="bottom"/>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17,801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64,678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49,553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4,937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14,493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17,789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50,185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31,764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14,547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17,076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35,638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27,360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64,780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61,804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65,090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65,247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62,362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65,704</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31,764</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 of $0: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w:t>
            </w: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23,527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38,476</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Three Months Ended August 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89"/>
              </w:rPr>
              <w:t>Photronics, Inc. Shareholders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2,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511,215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297,599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990,817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Retirement of treasury stock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(2,983)</w:t>
            </w:r>
          </w:p>
        </w:tc>
        <w:tc>
          <w:tcPr>
            <w:tcW w:w="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(24,016)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(11,704)</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Balance at August 1, 2021</w:t>
            </w:r>
          </w:p>
        </w:tc>
        <w:tc>
          <w:tcPr>
            <w:tcW w:w="900" w:type="dxa"/>
            <w:vAlign w:val="bottom"/>
          </w:tcPr>
          <w:p>
            <w:pPr>
              <w:jc w:val="right"/>
              <w:spacing w:after="0"/>
              <w:rPr>
                <w:sz w:val="20"/>
                <w:szCs w:val="20"/>
                <w:color w:val="auto"/>
              </w:rPr>
            </w:pPr>
            <w:r>
              <w:rPr>
                <w:rFonts w:ascii="Arial" w:cs="Arial" w:eastAsia="Arial" w:hAnsi="Arial"/>
                <w:sz w:val="18"/>
                <w:szCs w:val="18"/>
                <w:color w:val="auto"/>
              </w:rPr>
              <w:t>60,758</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489,431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302,971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24,882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176,569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994,461</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Three Months Ended August 2, 2020</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4"/>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3, 2020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66,215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3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921,658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c>
          <w:tcPr>
            <w:tcW w:w="9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August 2,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531,619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281,282</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166,443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Nine Months Ended August 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89"/>
              </w:rPr>
              <w:t>Photronics, Inc. Shareholders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9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63,138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962,266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50,185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(35,750)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Retirement of treasury stock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(2,983)</w:t>
            </w:r>
          </w:p>
        </w:tc>
        <w:tc>
          <w:tcPr>
            <w:tcW w:w="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(24,016)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(11,704)</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35,750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Balance at August 1, 2021</w:t>
            </w:r>
          </w:p>
        </w:tc>
        <w:tc>
          <w:tcPr>
            <w:tcW w:w="900" w:type="dxa"/>
            <w:vAlign w:val="bottom"/>
          </w:tcPr>
          <w:p>
            <w:pPr>
              <w:jc w:val="right"/>
              <w:spacing w:after="0"/>
              <w:rPr>
                <w:sz w:val="20"/>
                <w:szCs w:val="20"/>
                <w:color w:val="auto"/>
              </w:rPr>
            </w:pPr>
            <w:r>
              <w:rPr>
                <w:rFonts w:ascii="Arial" w:cs="Arial" w:eastAsia="Arial" w:hAnsi="Arial"/>
                <w:sz w:val="18"/>
                <w:szCs w:val="18"/>
                <w:color w:val="auto"/>
              </w:rPr>
              <w:t>60,758</w:t>
            </w:r>
          </w:p>
        </w:tc>
        <w:tc>
          <w:tcPr>
            <w:tcW w:w="2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489,431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302,971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24,882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176,569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994,461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Nine Months Ended August 2, 2020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89"/>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65,595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27,360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17,596</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17,596</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subsidiary</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August 2,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531,619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281,282</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166,443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8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2"/>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31,764</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71,120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(13,854)</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(9,476)</w:t>
            </w:r>
          </w:p>
        </w:tc>
      </w:tr>
      <w:tr>
        <w:trPr>
          <w:trHeight w:val="216"/>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(6,155)</w:t>
            </w: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(12,280)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(12,381)</w:t>
            </w:r>
          </w:p>
        </w:tc>
      </w:tr>
      <w:tr>
        <w:trPr>
          <w:trHeight w:val="223"/>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113,096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78,264</w:t>
            </w: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(92,301)</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(36,693)</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5,263</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Purchases of intangible assets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(86,696)</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(31,569)</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Purchases of treasury stock</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(35,750)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(16,894)</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17,596</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Net settlements of restricted stock awards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(26,355)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4,093</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54,274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281,602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286,249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263,565</w:t>
            </w:r>
          </w:p>
        </w:tc>
      </w:tr>
      <w:tr>
        <w:trPr>
          <w:trHeight w:val="210"/>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non-cash information: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Accruals for property, plant and equipment purchased during the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7,367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34,356</w:t>
            </w:r>
          </w:p>
        </w:tc>
      </w:tr>
      <w:tr>
        <w:trPr>
          <w:trHeight w:val="445"/>
        </w:trPr>
        <w:tc>
          <w:tcPr>
            <w:tcW w:w="8680" w:type="dxa"/>
            <w:vAlign w:val="bottom"/>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6"/>
        </w:trPr>
        <w:tc>
          <w:tcPr>
            <w:tcW w:w="8680" w:type="dxa"/>
            <w:vAlign w:val="bottom"/>
          </w:tcPr>
          <w:p>
            <w:pPr>
              <w:ind w:left="556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We currently have eleven manufacturing facilities, which are located in Taiwan (3), Korea, the United States (3), Europe (2), and China (2). Our FPD facility in Hefei, China, commenced production in the second quarter of fiscal 2019, and our IC facility in Xiamen, China, commenced production in the third quarter of fiscal 2019.</w:t>
      </w:r>
    </w:p>
    <w:p>
      <w:pPr>
        <w:spacing w:after="0" w:line="19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(“the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that it controls. All intercompany balances and transactions have been eliminated in consolidation.</w:t>
      </w:r>
    </w:p>
    <w:p>
      <w:pPr>
        <w:spacing w:after="0" w:line="19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21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 xml:space="preserve">In fiscal year 2021, we segregated share-based compensation activity into the two categories of </w:t>
      </w:r>
      <w:r>
        <w:rPr>
          <w:rFonts w:ascii="Arial" w:cs="Arial" w:eastAsia="Arial" w:hAnsi="Arial"/>
          <w:sz w:val="18"/>
          <w:szCs w:val="18"/>
          <w:i w:val="1"/>
          <w:iCs w:val="1"/>
          <w:color w:val="auto"/>
        </w:rPr>
        <w:t>Shares issued under equity plans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expense </w:t>
      </w:r>
      <w:r>
        <w:rPr>
          <w:rFonts w:ascii="Arial" w:cs="Arial" w:eastAsia="Arial" w:hAnsi="Arial"/>
          <w:sz w:val="18"/>
          <w:szCs w:val="18"/>
          <w:color w:val="auto"/>
        </w:rPr>
        <w:t>in the condensed consolidated statements of equity; in previous reports, we segregated this activity into three categories.</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prior period amounts have been conformed to the current period presentation.</w:t>
      </w:r>
    </w:p>
    <w:p>
      <w:pPr>
        <w:spacing w:after="0" w:line="21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Our business is typically impacted during the first quarter of our fiscal year by the North American, European, and Asian holiday periods, as some customers reduce their development and buying activities during those periods; consequently, operating results for interim periods are not necessarily indicative of the results that may be expected for the fiscal year ending October 31, 2021. For further information, refer to the consolidated financial statements, and notes thereto, included in our Form 10-K for the year ended October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CASH EQUIVALENTS AND RESTRICTED CASH</w:t>
      </w:r>
    </w:p>
    <w:p>
      <w:pPr>
        <w:spacing w:after="0" w:line="25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spacing w:after="0" w:line="19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 xml:space="preserve">Restricted cash is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our August 1, 2021 and October 31, 2020, condensed consolidated balance sheets, respectively. The restrictions on these amounts are primarily related to land lease agreements and customs requirements.</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presents cash and cash equivalents as reported in our condensed consolidated balance sheets, as well as the sum of cash, cash equivalents and restricted cash, as reported in our condensed consolidated statements of cash flows.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278,665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286,249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281,602</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The components of inventory at the balance sheet dates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57,269</w:t>
            </w:r>
          </w:p>
        </w:tc>
      </w:tr>
      <w:tr>
        <w:trPr>
          <w:trHeight w:val="45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8680" w:type="dxa"/>
            <w:vAlign w:val="bottom"/>
          </w:tcPr>
          <w:p>
            <w:pPr>
              <w:ind w:left="340"/>
              <w:spacing w:after="0"/>
              <w:rPr>
                <w:sz w:val="20"/>
                <w:szCs w:val="20"/>
                <w:color w:val="auto"/>
              </w:rPr>
            </w:pPr>
            <w:r>
              <w:rPr>
                <w:rFonts w:ascii="Arial" w:cs="Arial" w:eastAsia="Arial" w:hAnsi="Arial"/>
                <w:sz w:val="18"/>
                <w:szCs w:val="18"/>
                <w:color w:val="auto"/>
              </w:rPr>
              <w:t>Property, plant and equipment, net consists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181,842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179,162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1,966,038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1,812,791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2,229,720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2,112,112</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(1,530,111)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(1,480,637)</w:t>
            </w: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699,609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631,475</w:t>
            </w:r>
          </w:p>
        </w:tc>
      </w:tr>
      <w:tr>
        <w:trPr>
          <w:trHeight w:val="45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ROU assets resulting from finance leases are included in the table above as follows:</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41,537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expense for property, plant and equipment (including amortization expense for ROU assets) was $21.7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$66.6 million for the three and nine-month periods ended August 1, 2021, respectively, and $22.1 million and $67.6 million for the three and nine-month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 ended August 2, 2020, respectively.</w:t>
      </w:r>
    </w:p>
    <w:p>
      <w:pPr>
        <w:spacing w:after="0" w:line="2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the third quarter of fiscal 2021, we recorded a $3.5 million gain on the trade-in of a lithography tool with a tool vendor as partial compensation for a more advanced tool.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leading-edge and advanced-generation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20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minimum combined investment per the PDMCX operating agreement (the “Agreement”), was $160 million. As of August 1, 2021, Photronics and DNP had each contributed cash of approximately $65 million, and PDMCX had obtained local financing of approximately $50 million. As discussed in Note 6, liens were granted to the local financing entity on assets with an August 1, 2021, total carrying value of $91.3 million, as collateral for the loans.</w:t>
      </w:r>
    </w:p>
    <w:p>
      <w:pPr>
        <w:spacing w:after="0" w:line="17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recorded net income from the operations of PDMCX of $1.8 million, and $4.0 million during the three and nine-month periods ended August 1, 2021, respectively, and losses of $0.8 million and $4.8 million during the three and nine-month periods ended August 2, 2020, respectively. General creditors of PDMCX do not have recourse to the assets of Photronics (other than the net assets of PDMCX), and our maximum exposure to loss from PDMCX at August 1, 2021, was $60.9 million.</w:t>
      </w:r>
    </w:p>
    <w:p>
      <w:pPr>
        <w:spacing w:after="0" w:line="21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As required by the guidance in Topic 810 - “Consolidation” of the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19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August 1,</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10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Photronics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Photronics</w:t>
            </w:r>
          </w:p>
        </w:tc>
        <w:tc>
          <w:tcPr>
            <w:tcW w:w="100" w:type="dxa"/>
            <w:vAlign w:val="bottom"/>
          </w:tcPr>
          <w:p>
            <w:pPr>
              <w:spacing w:after="0"/>
              <w:rPr>
                <w:sz w:val="17"/>
                <w:szCs w:val="17"/>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1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56,060</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69,050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141,097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70,562</w:t>
            </w:r>
          </w:p>
        </w:tc>
      </w:tr>
      <w:tr>
        <w:trPr>
          <w:trHeight w:val="216"/>
        </w:trPr>
        <w:tc>
          <w:tcPr>
            <w:tcW w:w="598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194,132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97,086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197,192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98,615</w:t>
            </w:r>
          </w:p>
        </w:tc>
      </w:tr>
      <w:tr>
        <w:trPr>
          <w:trHeight w:val="216"/>
        </w:trPr>
        <w:tc>
          <w:tcPr>
            <w:tcW w:w="598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30,233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15,119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31,922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15,964</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42,080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21,044</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55,676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27,844</w:t>
            </w:r>
          </w:p>
        </w:tc>
      </w:tr>
      <w:tr>
        <w:trPr>
          <w:trHeight w:val="216"/>
        </w:trPr>
        <w:tc>
          <w:tcPr>
            <w:tcW w:w="59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72,313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87,598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43,808</w:t>
            </w:r>
          </w:p>
        </w:tc>
      </w:tr>
      <w:tr>
        <w:trPr>
          <w:trHeight w:val="216"/>
        </w:trPr>
        <w:tc>
          <w:tcPr>
            <w:tcW w:w="59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121,819</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54,807</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5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Short-term debt was $0.0 million, and $4.7 million as of August 1, 2021 and October 31, 2020, respectively. The 2020 amount represents an advance payment under an MLA to fund equipment purchased or leased in the U.S., and short duration borrowings in Xiamen, China, to fund operations. See below for further information. The weighted-average interest rate on our short-term debt as of October 31, 2020 was 2.02%.</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provide information on our long-term debt.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Xiamen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Hefei</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Xiamen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Working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Finance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300"/>
              <w:spacing w:after="0"/>
              <w:rPr>
                <w:sz w:val="20"/>
                <w:szCs w:val="20"/>
                <w:color w:val="auto"/>
              </w:rPr>
            </w:pPr>
            <w:r>
              <w:rPr>
                <w:rFonts w:ascii="Arial" w:cs="Arial" w:eastAsia="Arial" w:hAnsi="Arial"/>
                <w:sz w:val="18"/>
                <w:szCs w:val="18"/>
                <w:b w:val="1"/>
                <w:bCs w:val="1"/>
                <w:color w:val="auto"/>
              </w:rPr>
              <w:t>As of August 1, 2021</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9"/>
              </w:rPr>
              <w:t>Project 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 Loans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Loan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1"/>
              </w:rPr>
              <w:t>Leases</w:t>
            </w:r>
          </w:p>
        </w:tc>
        <w:tc>
          <w:tcPr>
            <w:tcW w:w="20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25,163</w:t>
            </w:r>
          </w:p>
        </w:tc>
      </w:tr>
      <w:tr>
        <w:trPr>
          <w:trHeight w:val="27"/>
        </w:trPr>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9,961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3,961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4,642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6,487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25,051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6,585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19,623</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37,153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9,144</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37,409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3,961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18,675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32,695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92,740</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rPr>
          <w:sz w:val="20"/>
          <w:szCs w:val="20"/>
          <w:color w:val="auto"/>
        </w:rPr>
      </w:pPr>
      <w:r>
        <w:rPr>
          <w:rFonts w:ascii="Arial" w:cs="Arial" w:eastAsia="Arial" w:hAnsi="Arial"/>
          <w:sz w:val="16"/>
          <w:szCs w:val="16"/>
          <w:color w:val="auto"/>
        </w:rPr>
        <w:t>Interest rate at balance sheet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c>
          <w:tcPr>
            <w:tcW w:w="1620" w:type="dxa"/>
            <w:vAlign w:val="bottom"/>
          </w:tcPr>
          <w:p>
            <w:pPr>
              <w:jc w:val="right"/>
              <w:spacing w:after="0"/>
              <w:rPr>
                <w:sz w:val="20"/>
                <w:szCs w:val="20"/>
                <w:color w:val="auto"/>
              </w:rPr>
            </w:pPr>
            <w:r>
              <w:rPr>
                <w:rFonts w:ascii="Arial" w:cs="Arial" w:eastAsia="Arial" w:hAnsi="Arial"/>
                <w:sz w:val="18"/>
                <w:szCs w:val="18"/>
                <w:color w:val="auto"/>
              </w:rPr>
              <w:t>4.53% - 4.61%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67.75 - 76.00</w:t>
            </w:r>
          </w:p>
        </w:tc>
        <w:tc>
          <w:tcPr>
            <w:tcW w:w="1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1"/>
              </w:rPr>
              <w:t>Quarterly</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7"/>
              </w:rPr>
              <w:t>Monthly/Annually</w:t>
            </w:r>
          </w:p>
        </w:tc>
        <w:tc>
          <w:tcPr>
            <w:tcW w:w="18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95"/>
              </w:rPr>
              <w:t>Annually</w:t>
            </w:r>
          </w:p>
        </w:tc>
        <w:tc>
          <w:tcPr>
            <w:tcW w:w="22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9"/>
              </w:rPr>
              <w:t>December</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88"/>
              </w:rPr>
              <w:t>September</w:t>
            </w:r>
          </w:p>
        </w:tc>
        <w:tc>
          <w:tcPr>
            <w:tcW w:w="2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9"/>
              </w:rPr>
              <w:t>2025</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0"/>
              </w:rPr>
              <w:t>July 2023</w:t>
            </w:r>
          </w:p>
        </w:tc>
        <w:tc>
          <w:tcPr>
            <w:tcW w:w="18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w w:val="89"/>
              </w:rPr>
              <w:t>2026</w:t>
            </w: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6"/>
              </w:rPr>
              <w:t>Increases as</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6"/>
              </w:rPr>
              <w:t>Increases as loans</w:t>
            </w:r>
          </w:p>
        </w:tc>
        <w:tc>
          <w:tcPr>
            <w:tcW w:w="180" w:type="dxa"/>
            <w:vAlign w:val="bottom"/>
          </w:tcPr>
          <w:p>
            <w:pPr>
              <w:spacing w:after="0"/>
              <w:rPr>
                <w:sz w:val="18"/>
                <w:szCs w:val="18"/>
                <w:color w:val="auto"/>
              </w:rPr>
            </w:pPr>
          </w:p>
        </w:tc>
        <w:tc>
          <w:tcPr>
            <w:tcW w:w="1200" w:type="dxa"/>
            <w:vAlign w:val="bottom"/>
            <w:vMerge w:val="restart"/>
          </w:tcPr>
          <w:p>
            <w:pPr>
              <w:jc w:val="center"/>
              <w:ind w:right="250"/>
              <w:spacing w:after="0"/>
              <w:rPr>
                <w:sz w:val="20"/>
                <w:szCs w:val="20"/>
                <w:color w:val="auto"/>
              </w:rPr>
            </w:pPr>
            <w:r>
              <w:rPr>
                <w:rFonts w:ascii="Arial" w:cs="Arial" w:eastAsia="Arial" w:hAnsi="Arial"/>
                <w:sz w:val="18"/>
                <w:szCs w:val="18"/>
                <w:color w:val="auto"/>
                <w:w w:val="82"/>
              </w:rPr>
              <w:t xml:space="preserve">Varies </w:t>
            </w:r>
            <w:r>
              <w:rPr>
                <w:rFonts w:ascii="Arial" w:cs="Arial" w:eastAsia="Arial" w:hAnsi="Arial"/>
                <w:sz w:val="29"/>
                <w:szCs w:val="29"/>
                <w:color w:val="auto"/>
                <w:w w:val="82"/>
                <w:vertAlign w:val="superscript"/>
              </w:rPr>
              <w:t>(1)</w:t>
            </w:r>
          </w:p>
        </w:tc>
        <w:tc>
          <w:tcPr>
            <w:tcW w:w="2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0"/>
              <w:spacing w:after="0"/>
              <w:rPr>
                <w:sz w:val="20"/>
                <w:szCs w:val="20"/>
                <w:color w:val="auto"/>
              </w:rPr>
            </w:pPr>
            <w:r>
              <w:rPr>
                <w:rFonts w:ascii="Arial" w:cs="Arial" w:eastAsia="Arial" w:hAnsi="Arial"/>
                <w:sz w:val="18"/>
                <w:szCs w:val="18"/>
                <w:color w:val="auto"/>
                <w:w w:val="88"/>
              </w:rPr>
              <w:t>loans mature</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mature</w:t>
            </w: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7"/>
              </w:rPr>
              <w:t>Semiannual,</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130"/>
              <w:spacing w:after="0"/>
              <w:rPr>
                <w:sz w:val="20"/>
                <w:szCs w:val="20"/>
                <w:color w:val="auto"/>
              </w:rPr>
            </w:pPr>
            <w:r>
              <w:rPr>
                <w:rFonts w:ascii="Arial" w:cs="Arial" w:eastAsia="Arial" w:hAnsi="Arial"/>
                <w:sz w:val="18"/>
                <w:szCs w:val="18"/>
                <w:color w:val="auto"/>
                <w:w w:val="95"/>
              </w:rPr>
              <w:t>on individual</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89"/>
              </w:rPr>
              <w:t>Semiannual, on</w:t>
            </w:r>
          </w:p>
        </w:tc>
        <w:tc>
          <w:tcPr>
            <w:tcW w:w="138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85"/>
              </w:rPr>
              <w:t>Semiannual</w:t>
            </w:r>
            <w:r>
              <w:rPr>
                <w:rFonts w:ascii="Arial" w:cs="Arial" w:eastAsia="Arial" w:hAnsi="Arial"/>
                <w:sz w:val="29"/>
                <w:szCs w:val="29"/>
                <w:color w:val="auto"/>
                <w:w w:val="85"/>
                <w:vertAlign w:val="superscript"/>
              </w:rPr>
              <w:t>(2)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8"/>
              </w:rPr>
              <w:t>loans</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2"/>
              </w:rPr>
              <w:t>individual loans</w:t>
            </w:r>
          </w:p>
        </w:tc>
        <w:tc>
          <w:tcPr>
            <w:tcW w:w="13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Monthly</w:t>
            </w:r>
          </w:p>
        </w:tc>
        <w:tc>
          <w:tcPr>
            <w:tcW w:w="0" w:type="dxa"/>
            <w:vAlign w:val="bottom"/>
          </w:tcPr>
          <w:p>
            <w:pPr>
              <w:spacing w:after="0"/>
              <w:rPr>
                <w:sz w:val="1"/>
                <w:szCs w:val="1"/>
                <w:color w:val="auto"/>
              </w:rPr>
            </w:pPr>
          </w:p>
        </w:tc>
      </w:tr>
      <w:tr>
        <w:trPr>
          <w:trHeight w:val="39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91,277</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86,892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41,537</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-1474470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-1200150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-651510</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3560" w:space="720"/>
            <w:col w:w="6960"/>
          </w:cols>
          <w:pgMar w:left="320" w:top="122" w:right="339" w:bottom="1440" w:gutter="0" w:footer="0" w:header="0"/>
          <w:type w:val="continuous"/>
        </w:sectPr>
      </w:pPr>
    </w:p>
    <w:p>
      <w:pPr>
        <w:ind w:left="340" w:right="140" w:hanging="8"/>
        <w:spacing w:after="0" w:line="216" w:lineRule="auto"/>
        <w:tabs>
          <w:tab w:leader="none" w:pos="552"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First five loan repayments will each be for 7.5 percent of the approved 200 million RMB loan principal; last five installments will each be for 12.5 percent of the original approved loan amount.</w:t>
      </w:r>
    </w:p>
    <w:p>
      <w:pPr>
        <w:spacing w:after="0" w:line="1" w:lineRule="exact"/>
        <w:rPr>
          <w:rFonts w:ascii="Arial" w:cs="Arial" w:eastAsia="Arial" w:hAnsi="Arial"/>
          <w:sz w:val="27"/>
          <w:szCs w:val="27"/>
          <w:color w:val="auto"/>
          <w:vertAlign w:val="superscript"/>
        </w:rPr>
      </w:pPr>
    </w:p>
    <w:p>
      <w:pPr>
        <w:ind w:left="540" w:hanging="208"/>
        <w:spacing w:after="0" w:line="214" w:lineRule="auto"/>
        <w:tabs>
          <w:tab w:leader="none" w:pos="54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Semiannual repayments commence in March 2022.</w:t>
      </w:r>
    </w:p>
    <w:p>
      <w:pPr>
        <w:spacing w:after="0" w:line="42" w:lineRule="exact"/>
        <w:rPr>
          <w:rFonts w:ascii="Arial" w:cs="Arial" w:eastAsia="Arial" w:hAnsi="Arial"/>
          <w:sz w:val="25"/>
          <w:szCs w:val="25"/>
          <w:color w:val="auto"/>
          <w:vertAlign w:val="superscript"/>
        </w:rPr>
      </w:pPr>
    </w:p>
    <w:p>
      <w:pPr>
        <w:ind w:left="540" w:hanging="208"/>
        <w:spacing w:after="0" w:line="194" w:lineRule="auto"/>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See Note 8 for interest rates on lease liabilities, maturity dates, and periodic payment amounts.</w:t>
      </w:r>
    </w:p>
    <w:p>
      <w:pPr>
        <w:spacing w:after="0" w:line="42" w:lineRule="exact"/>
        <w:rPr>
          <w:rFonts w:ascii="Arial" w:cs="Arial" w:eastAsia="Arial" w:hAnsi="Arial"/>
          <w:sz w:val="23"/>
          <w:szCs w:val="23"/>
          <w:color w:val="auto"/>
          <w:vertAlign w:val="superscript"/>
        </w:rPr>
      </w:pPr>
    </w:p>
    <w:p>
      <w:pPr>
        <w:ind w:left="540" w:hanging="208"/>
        <w:spacing w:after="0" w:line="194" w:lineRule="auto"/>
        <w:tabs>
          <w:tab w:leader="none" w:pos="5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Represents the carrying amount at the balance sheet date of the related right-of-use assets, in which the lessors have secured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Xiamen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Xiamen</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Working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000" w:type="dxa"/>
            <w:vAlign w:val="bottom"/>
          </w:tcPr>
          <w:p>
            <w:pPr>
              <w:ind w:left="2720"/>
              <w:spacing w:after="0"/>
              <w:rPr>
                <w:sz w:val="20"/>
                <w:szCs w:val="20"/>
                <w:color w:val="auto"/>
              </w:rPr>
            </w:pPr>
            <w:r>
              <w:rPr>
                <w:rFonts w:ascii="Arial" w:cs="Arial" w:eastAsia="Arial" w:hAnsi="Arial"/>
                <w:sz w:val="18"/>
                <w:szCs w:val="18"/>
                <w:b w:val="1"/>
                <w:bCs w:val="1"/>
                <w:color w:val="auto"/>
              </w:rPr>
              <w:t>As of October 31, 2020</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Project Loans</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 Loans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2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w:t>
            </w:r>
          </w:p>
        </w:tc>
      </w:tr>
      <w:tr>
        <w:trPr>
          <w:trHeight w:val="27"/>
        </w:trPr>
        <w:tc>
          <w:tcPr>
            <w:tcW w:w="50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Months 13 – 24</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7,334</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7,808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15,142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Months 37 – 48</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9,789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Thereafter</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7,211</w:t>
            </w:r>
          </w:p>
        </w:tc>
      </w:tr>
      <w:tr>
        <w:trPr>
          <w:trHeight w:val="22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8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at balance sheet date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4.53% - 4.61%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Basis spread on interest rates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40.00 - 76.00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 collateral (carrying amount)</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595"/>
        </w:trPr>
        <w:tc>
          <w:tcPr>
            <w:tcW w:w="5000" w:type="dxa"/>
            <w:vAlign w:val="bottom"/>
          </w:tcPr>
          <w:p>
            <w:pPr>
              <w:spacing w:after="0"/>
              <w:rPr>
                <w:sz w:val="24"/>
                <w:szCs w:val="24"/>
                <w:color w:val="auto"/>
              </w:rPr>
            </w:pPr>
          </w:p>
        </w:tc>
        <w:tc>
          <w:tcPr>
            <w:tcW w:w="2160" w:type="dxa"/>
            <w:vAlign w:val="bottom"/>
          </w:tcPr>
          <w:p>
            <w:pPr>
              <w:jc w:val="right"/>
              <w:ind w:right="1375"/>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0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Project Loans</w:t>
      </w:r>
    </w:p>
    <w:p>
      <w:pPr>
        <w:spacing w:after="0" w:line="25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November 2018, PDMCX obtained approval to borrow 345.0 million RMB from the Industrial and Commercial Bank of China. From November 2018 through July 2020, PDMCX entered into separate loan agreements (the “Project Loans”) for the entire approved amount and, as of August 1, 2021, 291.0 million RMB ($45.0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is eligible for reimbursement through incentives provided by the Xiamen Torch Hi-Tech Industrial Development Zone, which provide for such reimbursements up to a prescribed limit and duration. The Project Loans are subject to covenants and provisions, certain of which relate to the assets pledged as security for the loans, all of which we were in compliance with at August 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 Unless extended, this facility will expire in October 2021. As of August 1, 2021, PDMCX had 78.0 million RMB ($12.1 million) outstanding against the approval. The interest rates are variable, based on the RMB Loan Prime Rate of the National Interbank Funding Center. Interest incurred on the loans are eligible for reimbursement through incentives provided by the Xiamen Torch Hi-Tech Industrial Development Zone, which provide for such reimbursements up to a prescribed limit and duration.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5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October 2020, our Hefei, China, facility was approved to borrow 200 million RMB (approximately $30.9 million, at the balance sheet date) from the China Construction Bank Corporation. This credit facility is subject to annual reviews and extension, with the most recent extension set to expire in August 2022. The loan proceeds were used to fund purchases of two lithography tools at the Hefei facility. As of August 1, 2021, we had borrowed 135.7 million RMB ($21.0 million) against this approval (all of which was then outstanding), and 62.5 million RMB ($9.9 million) remained available to borrow. The interest rate on the loan is variable and based on the RMB Loan Prime Rate of the National Interbank Funding Center. The borrowings are secured by the Hefei facility, its related land use right, and certain manufacturing equipment. The Hefei Equipment Loan is subject to covenants and provisions, certain of which relate to the assets pledged as security for the loan, including covenants for the ratio of total liabilities to total assets and the ratio of current assets to current liabilities, all of which we were in compliance with at August 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5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February 2021, we entered into a five-year $7.2 million finance lease for a high-end inspection tool and, in December 2020, under an MLA which we entered into effective July 2019, we entered into a $35.5 million lease for a high-end lithography tool. Upon entering into the latter lease, our prior $3.5 million short-term obligation to the lessor became a portion of the lease liability. See Note 8 for additional information on these leases.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25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subsidiaries. The Credit Agreement includes covenants around minimum interest coverage ratio, total leverage ratio, and minimum unrestricted cash balance (all of which we were in compliance with at August 1, 2021), and limits the amount of cash dividends, distributions, and redemptions we can pay on our common stock to an aggregate annual amount of $50 million. We had no outstanding borrowings against the Credit Agreement at August 1, 2021. The interest rate on the Credit Agreement (1.09% at August 1, 2021) is based on our total leverage ratio at LIBOR plus a spread,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 xml:space="preserve">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Contract assets of $8.9 million are included in Other current assets, and contract liabilities of $15.4 million and $5.2 million are included in Accrued liabilities and Other liabilities, respectively, in our August 1, 2021, condensed consolidated balance sheet. Our October 31, 2020 condensed consolidated balance sheet includes contract assets of $6.3 million, included in Other current assets, and contract liabilities of $8.0 million and $5.2 million are included in Accrued liabilities and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respectively. We did not impair any contract assets during the three or nine-month periods ended August 1, 2021 or August 2, 2020. We recognized $1.7 million and $5.0 million of revenue from the settlement of contract liabilities that existed at the beginning of the three and nine-month periods ended August 1, 2021, and recognized $1.9 million and $2.3 million of revenue in the respective prior year periods, that related to the settlement of contract liabilities that existed at the beginning of those periods.</w:t>
      </w:r>
    </w:p>
    <w:p>
      <w:pPr>
        <w:spacing w:after="0" w:line="21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the allowance for credit losses. In the event that an amount is determined to be uncollectible, we charge the allowance for credit losses and derecognize the related receivable. We did not incur any credit losses on our accounts receivable during the nine-month period ended August 1, 2021, and credit losses on our accounts receivable were immaterial during the three and nine-month periods ended August 2, 2020.</w:t>
      </w:r>
    </w:p>
    <w:p>
      <w:pPr>
        <w:spacing w:after="0" w:line="2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ectPr>
          <w:pgSz w:w="11900" w:h="16838" w:orient="portrait"/>
          <w:cols w:equalWidth="0" w:num="1">
            <w:col w:w="11220"/>
          </w:cols>
          <w:pgMar w:left="320" w:top="122" w:right="35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tables present our revenue for the three and nine-month periods ended August 1, 2021 and August 2, 2020, disaggregated by product type, geographic origin, and timing of recognition.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392"/>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Revenue by Product Type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9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IC</w:t>
            </w:r>
          </w:p>
        </w:tc>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120,390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117,974</w:t>
            </w:r>
          </w:p>
        </w:tc>
      </w:tr>
      <w:tr>
        <w:trPr>
          <w:trHeight w:val="223"/>
        </w:trPr>
        <w:tc>
          <w:tcPr>
            <w:tcW w:w="5980" w:type="dxa"/>
            <w:vAlign w:val="bottom"/>
            <w:gridSpan w:val="4"/>
          </w:tcPr>
          <w:p>
            <w:pPr>
              <w:ind w:left="160"/>
              <w:spacing w:after="0"/>
              <w:rPr>
                <w:sz w:val="20"/>
                <w:szCs w:val="20"/>
                <w:color w:val="auto"/>
              </w:rPr>
            </w:pPr>
            <w:r>
              <w:rPr>
                <w:rFonts w:ascii="Arial" w:cs="Arial" w:eastAsia="Arial" w:hAnsi="Arial"/>
                <w:sz w:val="18"/>
                <w:szCs w:val="18"/>
                <w:color w:val="auto"/>
              </w:rPr>
              <w:t>Mainstream</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70,001</w:t>
            </w:r>
          </w:p>
        </w:tc>
        <w:tc>
          <w:tcPr>
            <w:tcW w:w="140" w:type="dxa"/>
            <w:vAlign w:val="bottom"/>
          </w:tcPr>
          <w:p>
            <w:pPr>
              <w:spacing w:after="0"/>
              <w:rPr>
                <w:sz w:val="19"/>
                <w:szCs w:val="19"/>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214,332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194,517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IC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117,774</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334,722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56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980" w:type="dxa"/>
            <w:vAlign w:val="bottom"/>
            <w:gridSpan w:val="4"/>
          </w:tcPr>
          <w:p>
            <w:pPr>
              <w:ind w:left="160"/>
              <w:spacing w:after="0"/>
              <w:rPr>
                <w:sz w:val="20"/>
                <w:szCs w:val="20"/>
                <w:color w:val="auto"/>
              </w:rPr>
            </w:pPr>
            <w:r>
              <w:rPr>
                <w:rFonts w:ascii="Arial" w:cs="Arial" w:eastAsia="Arial" w:hAnsi="Arial"/>
                <w:sz w:val="18"/>
                <w:szCs w:val="18"/>
                <w:color w:val="auto"/>
              </w:rPr>
              <w:t>High-end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40,640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36,670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114,685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108,248</w:t>
            </w:r>
          </w:p>
        </w:tc>
      </w:tr>
      <w:tr>
        <w:trPr>
          <w:trHeight w:val="216"/>
        </w:trPr>
        <w:tc>
          <w:tcPr>
            <w:tcW w:w="59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Mainstream</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33,066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39,666</w:t>
            </w: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80" w:type="dxa"/>
            <w:vAlign w:val="bottom"/>
          </w:tcPr>
          <w:p>
            <w:pPr>
              <w:spacing w:after="0"/>
              <w:rPr>
                <w:sz w:val="19"/>
                <w:szCs w:val="19"/>
                <w:color w:val="auto"/>
              </w:rPr>
            </w:pPr>
          </w:p>
        </w:tc>
        <w:tc>
          <w:tcPr>
            <w:tcW w:w="5800" w:type="dxa"/>
            <w:vAlign w:val="bottom"/>
            <w:gridSpan w:val="3"/>
          </w:tcPr>
          <w:p>
            <w:pPr>
              <w:ind w:left="160"/>
              <w:spacing w:after="0"/>
              <w:rPr>
                <w:sz w:val="20"/>
                <w:szCs w:val="20"/>
                <w:color w:val="auto"/>
              </w:rPr>
            </w:pPr>
            <w:r>
              <w:rPr>
                <w:rFonts w:ascii="Arial" w:cs="Arial" w:eastAsia="Arial" w:hAnsi="Arial"/>
                <w:sz w:val="18"/>
                <w:szCs w:val="18"/>
                <w:color w:val="auto"/>
              </w:rPr>
              <w:t>Total FPD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52,869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49,229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147,751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147,914</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170,643</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482,473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August 2,</w:t>
            </w:r>
          </w:p>
        </w:tc>
        <w:tc>
          <w:tcPr>
            <w:tcW w:w="100" w:type="dxa"/>
            <w:vAlign w:val="bottom"/>
          </w:tcPr>
          <w:p>
            <w:pPr>
              <w:spacing w:after="0"/>
              <w:rPr>
                <w:sz w:val="17"/>
                <w:szCs w:val="17"/>
                <w:color w:val="auto"/>
              </w:rPr>
            </w:pPr>
          </w:p>
        </w:tc>
      </w:tr>
      <w:tr>
        <w:trPr>
          <w:trHeight w:val="241"/>
        </w:trPr>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392"/>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Revenue by Geography *</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9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182,463</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Korea</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39,575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39,488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118,597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116,485</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24,693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78,276</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China</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32,664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20,988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77,391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58,374</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23,562</w:t>
            </w:r>
          </w:p>
        </w:tc>
      </w:tr>
      <w:tr>
        <w:trPr>
          <w:trHeight w:val="223"/>
        </w:trPr>
        <w:tc>
          <w:tcPr>
            <w:tcW w:w="5440" w:type="dxa"/>
            <w:vAlign w:val="bottom"/>
            <w:gridSpan w:val="3"/>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r>
      <w:tr>
        <w:trPr>
          <w:trHeight w:val="257"/>
        </w:trPr>
        <w:tc>
          <w:tcPr>
            <w:tcW w:w="19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170,643</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482,473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5440" w:type="dxa"/>
            <w:vAlign w:val="bottom"/>
            <w:gridSpan w:val="3"/>
          </w:tcPr>
          <w:p>
            <w:pPr>
              <w:spacing w:after="0"/>
              <w:rPr>
                <w:sz w:val="20"/>
                <w:szCs w:val="20"/>
                <w:color w:val="auto"/>
              </w:rPr>
            </w:pPr>
            <w:r>
              <w:rPr>
                <w:rFonts w:ascii="Arial" w:cs="Arial" w:eastAsia="Arial" w:hAnsi="Arial"/>
                <w:sz w:val="18"/>
                <w:szCs w:val="18"/>
                <w:color w:val="auto"/>
                <w:w w:val="92"/>
              </w:rPr>
              <w:t>* This table disaggregates revenue by the location in which it was earned.</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August 2,</w:t>
            </w:r>
          </w:p>
        </w:tc>
        <w:tc>
          <w:tcPr>
            <w:tcW w:w="100" w:type="dxa"/>
            <w:vAlign w:val="bottom"/>
          </w:tcPr>
          <w:p>
            <w:pPr>
              <w:spacing w:after="0"/>
              <w:rPr>
                <w:sz w:val="17"/>
                <w:szCs w:val="17"/>
                <w:color w:val="auto"/>
              </w:rPr>
            </w:pPr>
          </w:p>
        </w:tc>
      </w:tr>
      <w:tr>
        <w:trPr>
          <w:trHeight w:val="241"/>
        </w:trPr>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391"/>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Revenue by Timing of Recognition</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9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 time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443,923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401,347</w:t>
            </w:r>
          </w:p>
        </w:tc>
      </w:tr>
      <w:tr>
        <w:trPr>
          <w:trHeight w:val="223"/>
        </w:trPr>
        <w:tc>
          <w:tcPr>
            <w:tcW w:w="5440" w:type="dxa"/>
            <w:vAlign w:val="bottom"/>
            <w:gridSpan w:val="3"/>
          </w:tcPr>
          <w:p>
            <w:pPr>
              <w:spacing w:after="0"/>
              <w:rPr>
                <w:sz w:val="20"/>
                <w:szCs w:val="20"/>
                <w:color w:val="auto"/>
              </w:rPr>
            </w:pPr>
            <w:r>
              <w:rPr>
                <w:rFonts w:ascii="Arial" w:cs="Arial" w:eastAsia="Arial" w:hAnsi="Arial"/>
                <w:sz w:val="18"/>
                <w:szCs w:val="18"/>
                <w:color w:val="auto"/>
              </w:rPr>
              <w:t>At a point in time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12,702</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20,453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38,550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59,058</w:t>
            </w:r>
          </w:p>
        </w:tc>
      </w:tr>
      <w:tr>
        <w:trPr>
          <w:trHeight w:val="256"/>
        </w:trPr>
        <w:tc>
          <w:tcPr>
            <w:tcW w:w="19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170,643</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482,473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jc w:val="right"/>
              <w:ind w:right="196"/>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9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earlier of the date of the agreement or the date on which we commit to entering the agreement. Our evaluation considers whether the agreement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21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recognize leases on our consolidated balance sheet when a lessor makes an asset underlying a lease having a term in excess of twelve months available for our use. As allowed under ASC Topic 842 – “Leases” (“Topic 842”), we have elected not to apply the recognition requirements to leases that, at their commencement dates, have lease terms of twelve months or less and do not include options to purchase their underlying assets that we are reasonably certain to exercise. The present value of lease payments over the term of the lease provides the basis for the initial measurement of ROU assets and their related lease liabilities. We measure finance lease liabilities using the rates implicit in the leases; operating lease liabilities are measured using our incremental borrowing rate, for collateralized loans, at the commencement date. Variable lease payments, other than those that are dependent on an index or on a rate, are not included in the measurement of ROU assets and their related lease liabilities. Lease terms include extension periods if the lease agreement includes an option to extend the lease that we are reasonably certain to exercise. As allowed under Topic 842, we have elected, for all classes of assets, the practical expedient to not separate lease components of a contract from nonlease components of a contract.</w:t>
      </w:r>
    </w:p>
    <w:p>
      <w:pPr>
        <w:spacing w:after="0" w:line="193" w:lineRule="exact"/>
        <w:rPr>
          <w:sz w:val="20"/>
          <w:szCs w:val="20"/>
          <w:color w:val="auto"/>
        </w:rPr>
      </w:pPr>
    </w:p>
    <w:p>
      <w:pPr>
        <w:ind w:right="60" w:firstLine="369"/>
        <w:spacing w:after="0" w:line="254"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at 33.684638% of its original cost. If we do not exercise the early buyout option, then at the end of the five-year lease term, the lease shall continue to renew on a month-to-month basis at the same rental;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22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at 39.84% of the initial lease liability.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6, and includes a cross-default provision for any agreement or instrument with an outstanding, committed balance greater than $5.0 million in which we are the indebted party.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4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60" w:type="dxa"/>
            <w:vAlign w:val="bottom"/>
            <w:gridSpan w:val="7"/>
          </w:tcPr>
          <w:p>
            <w:pPr>
              <w:ind w:left="340"/>
              <w:spacing w:after="0"/>
              <w:rPr>
                <w:sz w:val="20"/>
                <w:szCs w:val="20"/>
                <w:color w:val="auto"/>
              </w:rPr>
            </w:pPr>
            <w:r>
              <w:rPr>
                <w:rFonts w:ascii="Arial" w:cs="Arial" w:eastAsia="Arial" w:hAnsi="Arial"/>
                <w:sz w:val="18"/>
                <w:szCs w:val="18"/>
                <w:color w:val="auto"/>
                <w:w w:val="90"/>
              </w:rPr>
              <w:t>The following table provides information on operating and finance leases included in our consolidated balance sheets.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194"/>
        </w:trPr>
        <w:tc>
          <w:tcPr>
            <w:tcW w:w="868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8680" w:type="dxa"/>
            <w:vAlign w:val="bottom"/>
            <w:gridSpan w:val="6"/>
            <w:vMerge w:val="restart"/>
          </w:tcPr>
          <w:p>
            <w:pPr>
              <w:spacing w:after="0"/>
              <w:rPr>
                <w:sz w:val="20"/>
                <w:szCs w:val="20"/>
                <w:color w:val="auto"/>
              </w:rPr>
            </w:pPr>
            <w:r>
              <w:rPr>
                <w:rFonts w:ascii="Arial" w:cs="Arial" w:eastAsia="Arial" w:hAnsi="Arial"/>
                <w:sz w:val="18"/>
                <w:szCs w:val="18"/>
                <w:color w:val="auto"/>
              </w:rPr>
              <w:t>ROU Assets – Operating Leases</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68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ROU Assets – Finance Leases</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41,537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6"/>
          </w:tcPr>
          <w:p>
            <w:pPr>
              <w:spacing w:after="0" w:line="176" w:lineRule="exact"/>
              <w:rPr>
                <w:sz w:val="20"/>
                <w:szCs w:val="20"/>
                <w:color w:val="auto"/>
              </w:rPr>
            </w:pPr>
            <w:r>
              <w:rPr>
                <w:rFonts w:ascii="Arial" w:cs="Arial" w:eastAsia="Arial" w:hAnsi="Arial"/>
                <w:sz w:val="18"/>
                <w:szCs w:val="18"/>
                <w:color w:val="auto"/>
              </w:rPr>
              <w:t>Lease Liabilities – Operating Leases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3"/>
        </w:trPr>
        <w:tc>
          <w:tcPr>
            <w:tcW w:w="8680" w:type="dxa"/>
            <w:vAlign w:val="bottom"/>
            <w:gridSpan w:val="6"/>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CCEEFF"/>
              <w:right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Lease Liabilities – Finance Leases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4"/>
              </w:rPr>
              <w:t>Current portion of long-term debt</w:t>
            </w:r>
          </w:p>
        </w:tc>
        <w:tc>
          <w:tcPr>
            <w:tcW w:w="62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7,119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3"/>
        <w:spacing w:after="0" w:line="277" w:lineRule="auto"/>
        <w:rPr>
          <w:sz w:val="20"/>
          <w:szCs w:val="20"/>
          <w:color w:val="auto"/>
        </w:rPr>
      </w:pPr>
      <w:r>
        <w:rPr>
          <w:rFonts w:ascii="Arial" w:cs="Arial" w:eastAsia="Arial" w:hAnsi="Arial"/>
          <w:sz w:val="18"/>
          <w:szCs w:val="18"/>
          <w:color w:val="auto"/>
        </w:rPr>
        <w:t>The following table presents future lease payments under noncancelable operating and finance leases as of August 1, 2021. Imputed interest represents the difference between undiscounted cash flows and discounted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Operating Leases</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2"/>
              </w:rPr>
              <w:t>Finance Leases</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year 2021</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7,231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6,938</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18,013</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41,294</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Imputed interest</w:t>
            </w: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r>
      <w:tr>
        <w:trPr>
          <w:trHeight w:val="223"/>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lease costs for the three and nine-month periods ended August 1, 2021 and August 2,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5"/>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Short-term lease costs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ROU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presents statistical information related to our operating and finance leases. The information presented is as of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August 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90"/>
              </w:rPr>
              <w:t>October 31,</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40" w:type="dxa"/>
            <w:vAlign w:val="bottom"/>
            <w:tcBorders>
              <w:bottom w:val="single" w:sz="8" w:color="auto"/>
            </w:tcBorders>
            <w:gridSpan w:val="5"/>
          </w:tcPr>
          <w:p>
            <w:pPr>
              <w:ind w:left="132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gridSpan w:val="3"/>
          </w:tcPr>
          <w:p>
            <w:pPr>
              <w:jc w:val="center"/>
              <w:ind w:right="6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8"/>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Weighted-average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remaining lease</w:t>
            </w:r>
          </w:p>
        </w:tc>
        <w:tc>
          <w:tcPr>
            <w:tcW w:w="140" w:type="dxa"/>
            <w:vAlign w:val="bottom"/>
          </w:tcPr>
          <w:p>
            <w:pPr>
              <w:spacing w:after="0"/>
              <w:rPr>
                <w:sz w:val="18"/>
                <w:szCs w:val="18"/>
                <w:color w:val="auto"/>
              </w:rPr>
            </w:pPr>
          </w:p>
        </w:tc>
        <w:tc>
          <w:tcPr>
            <w:tcW w:w="16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8"/>
              </w:rPr>
              <w:t>Weighted-average</w:t>
            </w:r>
          </w:p>
        </w:tc>
        <w:tc>
          <w:tcPr>
            <w:tcW w:w="40" w:type="dxa"/>
            <w:vAlign w:val="bottom"/>
          </w:tcPr>
          <w:p>
            <w:pPr>
              <w:spacing w:after="0"/>
              <w:rPr>
                <w:sz w:val="18"/>
                <w:szCs w:val="18"/>
                <w:color w:val="auto"/>
              </w:rPr>
            </w:pPr>
          </w:p>
        </w:tc>
        <w:tc>
          <w:tcPr>
            <w:tcW w:w="130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remaining lease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88"/>
              </w:rPr>
              <w:t>Weighted-average</w:t>
            </w:r>
          </w:p>
        </w:tc>
      </w:tr>
      <w:tr>
        <w:trPr>
          <w:trHeight w:val="194"/>
        </w:trPr>
        <w:tc>
          <w:tcPr>
            <w:tcW w:w="4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Classification</w:t>
            </w:r>
          </w:p>
        </w:tc>
        <w:tc>
          <w:tcPr>
            <w:tcW w:w="1460" w:type="dxa"/>
            <w:vAlign w:val="bottom"/>
            <w:gridSpan w:val="3"/>
          </w:tcPr>
          <w:p>
            <w:pPr>
              <w:jc w:val="center"/>
              <w:ind w:right="80"/>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140" w:type="dxa"/>
            <w:vAlign w:val="bottom"/>
          </w:tcPr>
          <w:p>
            <w:pPr>
              <w:spacing w:after="0"/>
              <w:rPr>
                <w:sz w:val="16"/>
                <w:szCs w:val="16"/>
                <w:color w:val="auto"/>
              </w:rPr>
            </w:pPr>
          </w:p>
        </w:tc>
        <w:tc>
          <w:tcPr>
            <w:tcW w:w="1600" w:type="dxa"/>
            <w:vAlign w:val="bottom"/>
            <w:gridSpan w:val="4"/>
          </w:tcPr>
          <w:p>
            <w:pPr>
              <w:jc w:val="right"/>
              <w:ind w:right="400"/>
              <w:spacing w:after="0" w:line="194" w:lineRule="exact"/>
              <w:rPr>
                <w:sz w:val="20"/>
                <w:szCs w:val="20"/>
                <w:color w:val="auto"/>
              </w:rPr>
            </w:pPr>
            <w:r>
              <w:rPr>
                <w:rFonts w:ascii="Arial" w:cs="Arial" w:eastAsia="Arial" w:hAnsi="Arial"/>
                <w:sz w:val="18"/>
                <w:szCs w:val="18"/>
                <w:b w:val="1"/>
                <w:bCs w:val="1"/>
                <w:color w:val="auto"/>
              </w:rPr>
              <w:t>discount rate</w:t>
            </w:r>
          </w:p>
        </w:tc>
        <w:tc>
          <w:tcPr>
            <w:tcW w:w="40" w:type="dxa"/>
            <w:vAlign w:val="bottom"/>
          </w:tcPr>
          <w:p>
            <w:pPr>
              <w:spacing w:after="0"/>
              <w:rPr>
                <w:sz w:val="16"/>
                <w:szCs w:val="16"/>
                <w:color w:val="auto"/>
              </w:rPr>
            </w:pPr>
          </w:p>
        </w:tc>
        <w:tc>
          <w:tcPr>
            <w:tcW w:w="1300" w:type="dxa"/>
            <w:vAlign w:val="bottom"/>
            <w:gridSpan w:val="4"/>
          </w:tcPr>
          <w:p>
            <w:pPr>
              <w:jc w:val="center"/>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5"/>
          </w:tcPr>
          <w:p>
            <w:pPr>
              <w:jc w:val="right"/>
              <w:ind w:right="340"/>
              <w:spacing w:after="0" w:line="194" w:lineRule="exact"/>
              <w:rPr>
                <w:sz w:val="20"/>
                <w:szCs w:val="20"/>
                <w:color w:val="auto"/>
              </w:rPr>
            </w:pPr>
            <w:r>
              <w:rPr>
                <w:rFonts w:ascii="Arial" w:cs="Arial" w:eastAsia="Arial" w:hAnsi="Arial"/>
                <w:sz w:val="18"/>
                <w:szCs w:val="18"/>
                <w:b w:val="1"/>
                <w:bCs w:val="1"/>
                <w:color w:val="auto"/>
                <w:w w:val="91"/>
              </w:rPr>
              <w:t>discount rate</w:t>
            </w:r>
          </w:p>
        </w:tc>
      </w:tr>
      <w:tr>
        <w:trPr>
          <w:trHeight w:val="28"/>
        </w:trPr>
        <w:tc>
          <w:tcPr>
            <w:tcW w:w="1040" w:type="dxa"/>
            <w:vAlign w:val="bottom"/>
            <w:tcBorders>
              <w:top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460" w:type="dxa"/>
            <w:vAlign w:val="bottom"/>
            <w:gridSpan w:val="3"/>
          </w:tcPr>
          <w:p>
            <w:pPr>
              <w:ind w:left="11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4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ind w:left="100"/>
              <w:spacing w:after="0"/>
              <w:rPr>
                <w:sz w:val="20"/>
                <w:szCs w:val="20"/>
                <w:color w:val="auto"/>
              </w:rPr>
            </w:pPr>
            <w:r>
              <w:rPr>
                <w:rFonts w:ascii="Arial" w:cs="Arial" w:eastAsia="Arial" w:hAnsi="Arial"/>
                <w:sz w:val="18"/>
                <w:szCs w:val="18"/>
                <w:b w:val="1"/>
                <w:bCs w:val="1"/>
                <w:color w:val="auto"/>
                <w:w w:val="90"/>
              </w:rPr>
              <w:t>Three Months Ended</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10"/>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0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Borders>
              <w:top w:val="single" w:sz="8" w:color="auto"/>
            </w:tcBorders>
            <w:gridSpan w:val="5"/>
          </w:tcPr>
          <w:p>
            <w:pPr>
              <w:jc w:val="right"/>
              <w:ind w:right="420"/>
              <w:spacing w:after="0" w:line="198" w:lineRule="exact"/>
              <w:rPr>
                <w:sz w:val="20"/>
                <w:szCs w:val="20"/>
                <w:color w:val="auto"/>
              </w:rPr>
            </w:pPr>
            <w:r>
              <w:rPr>
                <w:rFonts w:ascii="Arial" w:cs="Arial" w:eastAsia="Arial" w:hAnsi="Arial"/>
                <w:sz w:val="18"/>
                <w:szCs w:val="18"/>
                <w:b w:val="1"/>
                <w:bCs w:val="1"/>
                <w:color w:val="auto"/>
              </w:rPr>
              <w:t>August 1,</w:t>
            </w:r>
          </w:p>
        </w:tc>
        <w:tc>
          <w:tcPr>
            <w:tcW w:w="1120" w:type="dxa"/>
            <w:vAlign w:val="bottom"/>
            <w:tcBorders>
              <w:top w:val="single" w:sz="8" w:color="auto"/>
            </w:tcBorders>
            <w:gridSpan w:val="4"/>
          </w:tcPr>
          <w:p>
            <w:pPr>
              <w:jc w:val="center"/>
              <w:spacing w:after="0" w:line="198" w:lineRule="exact"/>
              <w:rPr>
                <w:sz w:val="20"/>
                <w:szCs w:val="20"/>
                <w:color w:val="auto"/>
              </w:rPr>
            </w:pPr>
            <w:r>
              <w:rPr>
                <w:rFonts w:ascii="Arial" w:cs="Arial" w:eastAsia="Arial" w:hAnsi="Arial"/>
                <w:sz w:val="18"/>
                <w:szCs w:val="18"/>
                <w:b w:val="1"/>
                <w:bCs w:val="1"/>
                <w:color w:val="auto"/>
                <w:w w:val="87"/>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5"/>
          </w:tcPr>
          <w:p>
            <w:pPr>
              <w:jc w:val="right"/>
              <w:ind w:right="220"/>
              <w:spacing w:after="0" w:line="198" w:lineRule="exact"/>
              <w:rPr>
                <w:sz w:val="20"/>
                <w:szCs w:val="20"/>
                <w:color w:val="auto"/>
              </w:rPr>
            </w:pPr>
            <w:r>
              <w:rPr>
                <w:rFonts w:ascii="Arial" w:cs="Arial" w:eastAsia="Arial" w:hAnsi="Arial"/>
                <w:sz w:val="18"/>
                <w:szCs w:val="18"/>
                <w:b w:val="1"/>
                <w:bCs w:val="1"/>
                <w:color w:val="auto"/>
                <w:w w:val="92"/>
              </w:rPr>
              <w:t>August 1,</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r>
      <w:tr>
        <w:trPr>
          <w:trHeight w:val="241"/>
        </w:trPr>
        <w:tc>
          <w:tcPr>
            <w:tcW w:w="10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1,844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cash flows used for finance leases</w:t>
            </w: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168</w:t>
            </w:r>
          </w:p>
        </w:tc>
        <w:tc>
          <w:tcPr>
            <w:tcW w:w="480" w:type="dxa"/>
            <w:vAlign w:val="bottom"/>
          </w:tcPr>
          <w:p>
            <w:pPr>
              <w:jc w:val="right"/>
              <w:ind w:right="31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344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cash flows used for finance leases</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4"/>
              </w:rPr>
              <w:t>2,882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w w:val="93"/>
              </w:rPr>
              <w:t>ROU assets obtained in exchange for operating lease obligations</w:t>
            </w: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480" w:type="dxa"/>
            <w:vAlign w:val="bottom"/>
          </w:tcPr>
          <w:p>
            <w:pPr>
              <w:jc w:val="right"/>
              <w:ind w:right="31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2,098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417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2,438</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ROU assets obtained in exchange for finance lease obligations</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1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42,672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14" w:right="339" w:bottom="355"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355"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2016, shareholders approved an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nine-month periods ended August 1, 2021, were $1.3 million and $4.0 million, respectively, and $1.2 million and $3.8 million for the three and nine-month periods ended August 2, 2020, respectively. No share-based compensation cost was capitalized as part of an asset during the periods presented, and related income tax benefits were $0.1 million and $0.2 million, respectively, in the three and nine-month periods ended August 1, 2021, and immaterial in the prior year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There were 556,200 restricted stock awards granted during the nine-month period ended August 1, 2021, with a weighted-average grant-date fair value of $11.17 per share, and there were no restricted stock awards granted during the three-month period ended August 1, 2021. There were 527,000 restricted stock awards granted during the nine-month period ended August 2, 2020, with a grant-date fair value of $15.21 per share; no restricted stock awards were granted during the three-month period ended August 2, 2020. As of August 1, 2021, the total compensation cost not yet recognized related to unvested restricted stock awards was approximately $8.5 million. That cost is expected to be recognized over a weighted-average amortization period of 2.7 years. As of August 1, 2021, there were 973,309 shares of restricted stock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w:t>
      </w:r>
    </w:p>
    <w:p>
      <w:pPr>
        <w:spacing w:after="0" w:line="21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There were no share options granted during the nine-month periods ended August 1, 2021 or August 2, 2020. The Company received cash from option exercises of $1.0 million and $1.9 million for the three and nine-month periods ended August 1, 2021, respectively, and $0.3 million and $3.5 million for the three and nine-month periods ended August 2, 2020, respectively. As of August 1, 2021, the total unrecognized compensation cost related to unvested option awards was approximately $0.2 million. That cost is expected to be recognized over a weighted-average amortization period of 1.2 years.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380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85"/>
        </w:trPr>
        <w:tc>
          <w:tcPr>
            <w:tcW w:w="8140" w:type="dxa"/>
            <w:vAlign w:val="bottom"/>
            <w:gridSpan w:val="8"/>
          </w:tcPr>
          <w:p>
            <w:pPr>
              <w:ind w:left="340"/>
              <w:spacing w:after="0"/>
              <w:rPr>
                <w:sz w:val="20"/>
                <w:szCs w:val="20"/>
                <w:color w:val="auto"/>
              </w:rPr>
            </w:pPr>
            <w:r>
              <w:rPr>
                <w:rFonts w:ascii="Arial" w:cs="Arial" w:eastAsia="Arial" w:hAnsi="Arial"/>
                <w:sz w:val="18"/>
                <w:szCs w:val="18"/>
                <w:color w:val="auto"/>
                <w:w w:val="97"/>
              </w:rPr>
              <w:t>Information on outstanding and exercisable option awards as of August 1, 2021, is presented below.</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1020" w:type="dxa"/>
            <w:vAlign w:val="bottom"/>
          </w:tcPr>
          <w:p>
            <w:pPr>
              <w:spacing w:after="0"/>
              <w:rPr>
                <w:sz w:val="20"/>
                <w:szCs w:val="20"/>
                <w:color w:val="auto"/>
              </w:rPr>
            </w:pPr>
          </w:p>
        </w:tc>
        <w:tc>
          <w:tcPr>
            <w:tcW w:w="3800" w:type="dxa"/>
            <w:vAlign w:val="bottom"/>
            <w:gridSpan w:val="2"/>
          </w:tcPr>
          <w:p>
            <w:pPr>
              <w:ind w:left="960"/>
              <w:spacing w:after="0"/>
              <w:rPr>
                <w:sz w:val="20"/>
                <w:szCs w:val="20"/>
                <w:color w:val="auto"/>
              </w:rPr>
            </w:pPr>
            <w:r>
              <w:rPr>
                <w:rFonts w:ascii="Arial" w:cs="Arial" w:eastAsia="Arial" w:hAnsi="Arial"/>
                <w:sz w:val="18"/>
                <w:szCs w:val="18"/>
                <w:b w:val="1"/>
                <w:bCs w:val="1"/>
                <w:color w:val="auto"/>
              </w:rPr>
              <w:t>Options</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02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August 1, 2021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1,345,495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5,309</w:t>
            </w:r>
          </w:p>
        </w:tc>
      </w:t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Exercisable at August 1, 2021</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1,246,806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9.44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4,899</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97"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effective tax rate of 24.4% in the three-month period end August 1, 2021, differs from the U.S. statutory rate of 21.0% primarily due to changes in forecasted jurisdictional earnings.</w:t>
      </w:r>
    </w:p>
    <w:p>
      <w:pPr>
        <w:spacing w:after="0" w:line="19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effective tax rate of 22.4% in the nine-month period ended August 1, 2021, differs from the U.S. statutory rate of 21.0% primarily due to changes in forecasted jurisdictional earnings, the benefits of investment credits in certain foreign jurisdictions, which were partially offset by the non-recognition of taxes or benefits that, in certain jurisdictions, have been offset by valuation allowances.</w:t>
      </w:r>
    </w:p>
    <w:p>
      <w:pPr>
        <w:spacing w:after="0" w:line="21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effective tax rate of 27.7% in the three-month period ended August 2, 2020, exceeds the U.S. statutory rate of 21.0% primarily due to the non-recognition of the tax benefit of losses that, in certain jurisdictions, have been offset by valuation allowances, which were partially offset by the benefit of tax holidays and investment credits in certain foreign jurisdictions.</w:t>
      </w:r>
    </w:p>
    <w:p>
      <w:pPr>
        <w:spacing w:after="0" w:line="21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effective tax rate of 35.9% in the nine-month period ended August 2, 2020, exceeds the U.S. statutory rate of 21.0% primarily due to the non-recognition of the tax benefit of losses that, in certain jurisdictions, have been offset by valuation allowances, and the establishment of a valuation allowance for a loss carryforward in a non-U.S. jurisdiction, which were partially offset by the benefits of tax holidays and investment credits in certain foreign jurisdictions.</w:t>
      </w:r>
    </w:p>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Valuation allowances, in jurisdictions with historic losses, eliminate the current tax benefit of losses in these jurisdictions where, based on the weight of information available to us, we determined that it is not more likely than not that the tax benefits will be realized. In the nine-month period ended August 2, 2020, as a result of the reassessment of the aforementioned available information, we established a valuation allowance of $2.1 million against a non-U.S. based loss-carryforward deferred tax asset that is not more likely than not to be realized.</w:t>
      </w:r>
    </w:p>
    <w:p>
      <w:pPr>
        <w:spacing w:after="0" w:line="21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Unrecognized tax benefits related to uncertain tax positions were $3.3 million at August 1, 2021, of which $2.6 million, if recognized, would have a favorable impact on our effective tax rate. Unrecognized tax benefits related to uncertain tax positions were $2.7 million at October 31, 2020, of which $2.0 million, if recognized, would have a favorable impact on the Company’s effective tax rate. Accrued interest and penalties related to unrecognized tax benefits was $0.2 million and $0.1 million at August 1, 2021 and October 31, 2020, respectively. Although the timing of the expirations of statutes of limitations may be uncertain, as they can be dependent upon the settlement of tax audits, the Company believes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The Company is no longer subject to tax authority examinations in the U.S. and major foreign or state jurisdictions for years prior to fiscal year 2015.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11 - EARNINGS PER SHARE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gridSpan w:val="2"/>
          </w:tcPr>
          <w:p>
            <w:pPr>
              <w:ind w:left="340"/>
              <w:spacing w:after="0"/>
              <w:rPr>
                <w:sz w:val="20"/>
                <w:szCs w:val="20"/>
                <w:color w:val="auto"/>
              </w:rPr>
            </w:pPr>
            <w:r>
              <w:rPr>
                <w:rFonts w:ascii="Arial" w:cs="Arial" w:eastAsia="Arial" w:hAnsi="Arial"/>
                <w:sz w:val="18"/>
                <w:szCs w:val="18"/>
                <w:color w:val="auto"/>
                <w:w w:val="94"/>
              </w:rPr>
              <w:t>The calculation of basic and diluted earnings per share is presented below.</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0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August 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2,</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27,360</w:t>
            </w: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Earnings used for 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17,076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35,638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27,360</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Weighted-average common shares computations: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60,884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65,090</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Share-based payment awards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Potentially dilutive common shares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61,515</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65,247</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62,362</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65,704</w:t>
            </w:r>
          </w:p>
        </w:tc>
      </w:tr>
      <w:tr>
        <w:trPr>
          <w:trHeight w:val="210"/>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r>
    </w:tbl>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illustrates the outstanding weighted-average share-based payment awards that were excluded from the calculation of diluted earnings per share because their exercise prices exceeded the average market value of the common shares for the period or, under application of the treasury stock method, they were otherwise determined to be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7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August 1,</w:t>
            </w:r>
          </w:p>
        </w:tc>
        <w:tc>
          <w:tcPr>
            <w:tcW w:w="112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August 2,</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7"/>
              </w:rPr>
              <w:t>August 1,</w:t>
            </w:r>
          </w:p>
        </w:tc>
        <w:tc>
          <w:tcPr>
            <w:tcW w:w="112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August 2,</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Subsequent to August 1, 2021, our outstanding common stock was reduced by a net 0.6 million shares, primarily as a result of share repurchases.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14 for information on our share repurchase programs.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ACCUMULATED OTHER COMPREHENSIVE INCOME BY COMPONENT</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and nine-month periods ended August 1, 2021 and August 2,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Three Months Ended August 1, 2021</w:t>
            </w:r>
          </w:p>
        </w:tc>
      </w:tr>
      <w:tr>
        <w:trPr>
          <w:trHeight w:val="198"/>
        </w:trPr>
        <w:tc>
          <w:tcPr>
            <w:tcW w:w="7100" w:type="dxa"/>
            <w:vAlign w:val="bottom"/>
          </w:tcPr>
          <w:p>
            <w:pPr>
              <w:spacing w:after="0"/>
              <w:rPr>
                <w:sz w:val="17"/>
                <w:szCs w:val="17"/>
                <w:color w:val="auto"/>
              </w:rPr>
            </w:pPr>
          </w:p>
        </w:tc>
        <w:tc>
          <w:tcPr>
            <w:tcW w:w="16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2, 2021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35,192</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(10,482)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r>
      <w:tr>
        <w:trPr>
          <w:trHeight w:val="223"/>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1, 2021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24,882</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9"/>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Three Months Ended August 2, 2020</w:t>
            </w:r>
          </w:p>
        </w:tc>
      </w:tr>
      <w:tr>
        <w:trPr>
          <w:trHeight w:val="198"/>
        </w:trPr>
        <w:tc>
          <w:tcPr>
            <w:tcW w:w="7100" w:type="dxa"/>
            <w:vAlign w:val="bottom"/>
          </w:tcPr>
          <w:p>
            <w:pPr>
              <w:spacing w:after="0"/>
              <w:rPr>
                <w:sz w:val="17"/>
                <w:szCs w:val="17"/>
                <w:color w:val="auto"/>
              </w:rPr>
            </w:pPr>
          </w:p>
        </w:tc>
        <w:tc>
          <w:tcPr>
            <w:tcW w:w="16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 2020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10,659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10,663</w:t>
            </w:r>
          </w:p>
        </w:tc>
      </w:tr>
      <w:tr>
        <w:trPr>
          <w:trHeight w:val="223"/>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2, 2020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(6,428)</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Nine Months Ended August 1, 2021</w:t>
            </w:r>
          </w:p>
        </w:tc>
      </w:tr>
      <w:tr>
        <w:trPr>
          <w:trHeight w:val="198"/>
        </w:trPr>
        <w:tc>
          <w:tcPr>
            <w:tcW w:w="7100" w:type="dxa"/>
            <w:vAlign w:val="bottom"/>
          </w:tcPr>
          <w:p>
            <w:pPr>
              <w:spacing w:after="0"/>
              <w:rPr>
                <w:sz w:val="17"/>
                <w:szCs w:val="17"/>
                <w:color w:val="auto"/>
              </w:rPr>
            </w:pPr>
          </w:p>
        </w:tc>
        <w:tc>
          <w:tcPr>
            <w:tcW w:w="16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11,584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11,642</w:t>
            </w:r>
          </w:p>
        </w:tc>
      </w:tr>
      <w:tr>
        <w:trPr>
          <w:trHeight w:val="223"/>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1, 2021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24,882</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Nine Months Ended August 2, 2020</w:t>
            </w:r>
          </w:p>
        </w:tc>
      </w:tr>
      <w:tr>
        <w:trPr>
          <w:trHeight w:val="198"/>
        </w:trPr>
        <w:tc>
          <w:tcPr>
            <w:tcW w:w="7100" w:type="dxa"/>
            <w:vAlign w:val="bottom"/>
          </w:tcPr>
          <w:p>
            <w:pPr>
              <w:spacing w:after="0"/>
              <w:rPr>
                <w:sz w:val="17"/>
                <w:szCs w:val="17"/>
                <w:color w:val="auto"/>
              </w:rPr>
            </w:pPr>
          </w:p>
        </w:tc>
        <w:tc>
          <w:tcPr>
            <w:tcW w:w="16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6,689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6,712</w:t>
            </w:r>
          </w:p>
        </w:tc>
      </w:tr>
      <w:tr>
        <w:trPr>
          <w:trHeight w:val="223"/>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2, 2020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(6,428)</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5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August 1, 2021 or October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REPURCHASE PROGRAMS</w:t>
      </w:r>
    </w:p>
    <w:p>
      <w:pPr>
        <w:spacing w:after="0" w:line="256"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In September 2020, the Company’s board of directors authorized the repurchase of up to $100 million of its common stock, pursuant to a repurchase plan under Rule 10b5-1 of the Securities Act. The company commenced repurchasing shares under this authorization on September 16, 2020. All of the shares repurchased under this authorization as of August 1, 2021, have been retired. The table below presents information on this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Nine Months Ended</w:t>
            </w:r>
          </w:p>
        </w:tc>
        <w:tc>
          <w:tcPr>
            <w:tcW w:w="202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From Inception Date of</w:t>
            </w:r>
          </w:p>
        </w:tc>
      </w:tr>
      <w:tr>
        <w:trPr>
          <w:trHeight w:val="241"/>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August 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August 1, 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16, 2020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53,250</w:t>
            </w: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r>
    </w:tbl>
    <w:p>
      <w:pPr>
        <w:spacing w:after="0" w:line="22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This repurchase program was terminated in March of 2020. All of the shares repurchased under this authorization have been retired. The table below presents information on this repurchase program.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4320" w:type="dxa"/>
            <w:vAlign w:val="bottom"/>
            <w:gridSpan w:val="4"/>
          </w:tcPr>
          <w:p>
            <w:pPr>
              <w:ind w:left="2680"/>
              <w:spacing w:after="0"/>
              <w:rPr>
                <w:sz w:val="20"/>
                <w:szCs w:val="20"/>
                <w:color w:val="auto"/>
              </w:rPr>
            </w:pPr>
            <w:r>
              <w:rPr>
                <w:rFonts w:ascii="Arial" w:cs="Arial" w:eastAsia="Arial" w:hAnsi="Arial"/>
                <w:sz w:val="18"/>
                <w:szCs w:val="18"/>
                <w:b w:val="1"/>
                <w:bCs w:val="1"/>
                <w:color w:val="auto"/>
                <w:w w:val="96"/>
              </w:rPr>
              <w:t>Nine Months Ended</w:t>
            </w:r>
          </w:p>
        </w:tc>
        <w:tc>
          <w:tcPr>
            <w:tcW w:w="202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From Inception Date of</w:t>
            </w:r>
          </w:p>
        </w:tc>
      </w:tr>
      <w:tr>
        <w:trPr>
          <w:trHeight w:val="241"/>
        </w:trPr>
        <w:tc>
          <w:tcPr>
            <w:tcW w:w="49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August 2, 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25, 2019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2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82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282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27,894</w:t>
            </w:r>
          </w:p>
        </w:tc>
      </w:tr>
      <w:tr>
        <w:trPr>
          <w:trHeight w:val="216"/>
        </w:trPr>
        <w:tc>
          <w:tcPr>
            <w:tcW w:w="4900" w:type="dxa"/>
            <w:vAlign w:val="bottom"/>
          </w:tcPr>
          <w:p>
            <w:pPr>
              <w:spacing w:after="0"/>
              <w:rPr>
                <w:sz w:val="18"/>
                <w:szCs w:val="18"/>
                <w:color w:val="auto"/>
              </w:rPr>
            </w:pPr>
          </w:p>
        </w:tc>
        <w:tc>
          <w:tcPr>
            <w:tcW w:w="282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282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August 1, 2021, the Company had commitments outstanding for capital expenditures of approximately $56.9 million, primarily for purchases of high-end equipment. See Note 8 for our outstanding lease commitments.</w:t>
      </w:r>
    </w:p>
    <w:p>
      <w:pPr>
        <w:spacing w:after="0" w:line="19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Company’s wholly owned subsidiary in South Korea has been involved in litigation regarding a 2016 informational tax filing for its wholly owned subsidiary’s non-South Korean bank accounts that was not timely made under a then recently issued presidential decree. A fine (based solely on the amount in such accounts) in the amount of $2.2 million was assessed against our subsidiary. Our subsidiary appealed the fine on the grounds that it was not required to make the tax filing, and such appeal was pursued up to the Supreme Court in South Korea. Under South Korean law, the tax authorities were entitled to pursue the matter in both civil and criminal courts simultaneously, with the proviso that any criminal fine imposed would act to dismiss any civil fine. The prosecutor recommended a fine of $0.03 million, and the civil matter was dismissed. Photronics was notified on March 12, 2020, that the Supreme Court rendered a decision against our subsidiary on the issue of whether our subsidiary was required to make the tax filing and remanded the case to the appellate court for determination of the fine. On August 26, 2021, the appellate court rendered the decision not to impose the $0.03 million fine.</w:t>
      </w:r>
    </w:p>
    <w:p>
      <w:pPr>
        <w:spacing w:after="0" w:line="19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that our potential liability under such claims, individually and in the aggregate, will not have a material effect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w:t>
      </w:r>
    </w:p>
    <w:p>
      <w:pPr>
        <w:spacing w:after="0" w:line="25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replaced the incurred loss impairment methodology, found in previous guidance,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was effective for Photronics in its first quarter of fiscal year 2021. We adopted ASU 2016-13 on November 1, 2020; the effect of the adoption was immaterial.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5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may have on our consolidated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Form 10-K for fiscal 2020), that may cause actual results to materially differ from these expectations.</w:t>
      </w:r>
    </w:p>
    <w:p>
      <w:pPr>
        <w:spacing w:after="0" w:line="198"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213"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We are typically required to fulfill customer orders within a short period of time after receipt of an order, sometimes within twenty-four hours. This results in a minimal level of backlog orders, typically one to two weeks of backlog for IC photomasks and two to three weeks of backlog for FPD photomasks.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second quarter of fiscal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at 33.684638% of its original cost.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the first quarter of fiscal 2021, we entered into a five-year $35.5 million finance lease for a high-end lithography tool. Monthly payments on the lease, which commenced in January 2021, increased from $0.04 million after the first three months to $0.6 million for the following nine months, followed by forty-eight monthly payments of $0.5 million. As of the due date of the forty-eighth monthly payment, we may exercise an early buyout option to purchase the tool at 39.84% of the initial lease liability.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6, and includes a cross-default provision for any agreement or instrument with an outstanding, committed balance greater than $5.0 million in which we are the indebted party.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refer to Item 7 in our Form 10-K for the year ended October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August 1, 2021</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selected operating information expressed as a percentage of revenue. The columns may not foot due to rounding.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4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370"/>
              <w:spacing w:after="0" w:line="198" w:lineRule="exact"/>
              <w:rPr>
                <w:sz w:val="20"/>
                <w:szCs w:val="20"/>
                <w:color w:val="auto"/>
              </w:rPr>
            </w:pPr>
            <w:r>
              <w:rPr>
                <w:rFonts w:ascii="Arial" w:cs="Arial" w:eastAsia="Arial" w:hAnsi="Arial"/>
                <w:sz w:val="18"/>
                <w:szCs w:val="18"/>
                <w:b w:val="1"/>
                <w:bCs w:val="1"/>
                <w:color w:val="auto"/>
              </w:rPr>
              <w:t>August 1,</w:t>
            </w:r>
          </w:p>
        </w:tc>
        <w:tc>
          <w:tcPr>
            <w:tcW w:w="1460" w:type="dxa"/>
            <w:vAlign w:val="bottom"/>
            <w:tcBorders>
              <w:top w:val="single" w:sz="8" w:color="auto"/>
            </w:tcBorders>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94"/>
              </w:rPr>
              <w:t>May 2,</w:t>
            </w:r>
          </w:p>
        </w:tc>
        <w:tc>
          <w:tcPr>
            <w:tcW w:w="10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August 2,</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August 1,</w:t>
            </w: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August 2,</w:t>
            </w:r>
          </w:p>
        </w:tc>
        <w:tc>
          <w:tcPr>
            <w:tcW w:w="160" w:type="dxa"/>
            <w:vAlign w:val="bottom"/>
          </w:tcPr>
          <w:p>
            <w:pPr>
              <w:spacing w:after="0"/>
              <w:rPr>
                <w:sz w:val="17"/>
                <w:szCs w:val="17"/>
                <w:color w:val="auto"/>
              </w:rPr>
            </w:pPr>
          </w:p>
        </w:tc>
      </w:tr>
      <w:tr>
        <w:trPr>
          <w:trHeight w:val="241"/>
        </w:trPr>
        <w:tc>
          <w:tcPr>
            <w:tcW w:w="44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jc w:val="right"/>
              <w:spacing w:after="0"/>
              <w:rPr>
                <w:sz w:val="20"/>
                <w:szCs w:val="20"/>
                <w:color w:val="auto"/>
              </w:rPr>
            </w:pPr>
            <w:r>
              <w:rPr>
                <w:rFonts w:ascii="Arial" w:cs="Arial" w:eastAsia="Arial" w:hAnsi="Arial"/>
                <w:sz w:val="18"/>
                <w:szCs w:val="18"/>
                <w:color w:val="auto"/>
              </w:rPr>
              <w:t>73.4</w:t>
            </w:r>
          </w:p>
        </w:tc>
        <w:tc>
          <w:tcPr>
            <w:tcW w:w="2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76.1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76.1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2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r>
      <w:tr>
        <w:trPr>
          <w:trHeight w:val="22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44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1.3 1.1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4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Note: All tabular comparisons included in the following discussions, unless otherwise indicated, are for the three months ended August 1, 2021 (Q3 FY21), May 2, 2021 (Q2 FY21) and August 2, 2020 (Q3 FY20), and for the nine months ended August 1, 2021 (YTD FY21) and August 2, 2020 (YTD FY20), in millions of dollars. The columns may not foot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260" w:firstLine="693"/>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changes in disaggregated revenue in Q3 FY21 and YTD FY21 from revenue in prior reporting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Revenue by Product Type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5"/>
              </w:rPr>
              <w:t>Q3 FY21 from Q2 FY21</w:t>
            </w:r>
          </w:p>
        </w:tc>
        <w:tc>
          <w:tcPr>
            <w:tcW w:w="60" w:type="dxa"/>
            <w:vAlign w:val="bottom"/>
          </w:tcPr>
          <w:p>
            <w:pPr>
              <w:spacing w:after="0"/>
              <w:rPr>
                <w:sz w:val="20"/>
                <w:szCs w:val="20"/>
                <w:color w:val="auto"/>
              </w:rPr>
            </w:pPr>
          </w:p>
        </w:tc>
        <w:tc>
          <w:tcPr>
            <w:tcW w:w="23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Q3 FY21 from Q3 FY20</w:t>
            </w:r>
          </w:p>
        </w:tc>
        <w:tc>
          <w:tcPr>
            <w:tcW w:w="280" w:type="dxa"/>
            <w:vAlign w:val="bottom"/>
          </w:tcPr>
          <w:p>
            <w:pPr>
              <w:spacing w:after="0"/>
              <w:rPr>
                <w:sz w:val="20"/>
                <w:szCs w:val="20"/>
                <w:color w:val="auto"/>
              </w:rPr>
            </w:pPr>
          </w:p>
        </w:tc>
        <w:tc>
          <w:tcPr>
            <w:tcW w:w="304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98"/>
              </w:rPr>
              <w:t>YTD FY21 from YTD FY20</w:t>
            </w:r>
          </w:p>
        </w:tc>
      </w:tr>
      <w:tr>
        <w:trPr>
          <w:trHeight w:val="198"/>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1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Q3 FY21</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FY21</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r>
      <w:tr>
        <w:trPr>
          <w:trHeight w:val="439"/>
        </w:trPr>
        <w:tc>
          <w:tcPr>
            <w:tcW w:w="2240" w:type="dxa"/>
            <w:vAlign w:val="bottom"/>
            <w:gridSpan w:val="2"/>
          </w:tcPr>
          <w:p>
            <w:pPr>
              <w:spacing w:after="0"/>
              <w:rPr>
                <w:sz w:val="20"/>
                <w:szCs w:val="20"/>
                <w:color w:val="auto"/>
              </w:rPr>
            </w:pPr>
            <w:r>
              <w:rPr>
                <w:rFonts w:ascii="Arial" w:cs="Arial" w:eastAsia="Arial" w:hAnsi="Arial"/>
                <w:sz w:val="18"/>
                <w:szCs w:val="18"/>
                <w:color w:val="auto"/>
              </w:rPr>
              <w:t>IC</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High-end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22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rPr>
              <w:t>Total 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22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rPr>
              <w:t>FPD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High-end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22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rPr>
              <w:t>Total FPD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2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High-end photomasks typically have higher average selling prices (ASPs) than mainstream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Revenue by Geography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8"/>
                <w:szCs w:val="18"/>
                <w:b w:val="1"/>
                <w:bCs w:val="1"/>
                <w:color w:val="auto"/>
                <w:w w:val="95"/>
              </w:rPr>
              <w:t>Q3 FY21 from Q2 FY21</w:t>
            </w:r>
          </w:p>
        </w:tc>
        <w:tc>
          <w:tcPr>
            <w:tcW w:w="320" w:type="dxa"/>
            <w:vAlign w:val="bottom"/>
          </w:tcPr>
          <w:p>
            <w:pPr>
              <w:spacing w:after="0"/>
              <w:rPr>
                <w:sz w:val="20"/>
                <w:szCs w:val="20"/>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Q3 FY21 from Q3 FY20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99"/>
              </w:rPr>
              <w:t>YTD FY21 from YTD FY20</w:t>
            </w:r>
          </w:p>
        </w:tc>
        <w:tc>
          <w:tcPr>
            <w:tcW w:w="220" w:type="dxa"/>
            <w:vAlign w:val="bottom"/>
          </w:tcPr>
          <w:p>
            <w:pPr>
              <w:spacing w:after="0"/>
              <w:rPr>
                <w:sz w:val="20"/>
                <w:szCs w:val="20"/>
                <w:color w:val="auto"/>
              </w:rPr>
            </w:pPr>
          </w:p>
        </w:tc>
      </w:tr>
      <w:tr>
        <w:trPr>
          <w:trHeight w:val="414"/>
        </w:trPr>
        <w:tc>
          <w:tcPr>
            <w:tcW w:w="22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Revenue in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Increase</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Revenue in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2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Q3 FY21</w:t>
            </w:r>
          </w:p>
        </w:tc>
        <w:tc>
          <w:tcPr>
            <w:tcW w:w="22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2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0"/>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This table disaggregates revenue by the location in which it was earned.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Revenue for Products Shipped to Customers in China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5"/>
              </w:rPr>
              <w:t>Q3 FY21 from Q2 FY21</w:t>
            </w:r>
          </w:p>
        </w:tc>
        <w:tc>
          <w:tcPr>
            <w:tcW w:w="120" w:type="dxa"/>
            <w:vAlign w:val="bottom"/>
          </w:tcPr>
          <w:p>
            <w:pPr>
              <w:spacing w:after="0"/>
              <w:rPr>
                <w:sz w:val="20"/>
                <w:szCs w:val="20"/>
                <w:color w:val="auto"/>
              </w:rPr>
            </w:pPr>
          </w:p>
        </w:tc>
        <w:tc>
          <w:tcPr>
            <w:tcW w:w="22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7"/>
              </w:rPr>
              <w:t>Q3 FY21 from Q3 FY20</w:t>
            </w:r>
          </w:p>
        </w:tc>
        <w:tc>
          <w:tcPr>
            <w:tcW w:w="280" w:type="dxa"/>
            <w:vAlign w:val="bottom"/>
          </w:tcPr>
          <w:p>
            <w:pPr>
              <w:spacing w:after="0"/>
              <w:rPr>
                <w:sz w:val="20"/>
                <w:szCs w:val="20"/>
                <w:color w:val="auto"/>
              </w:rPr>
            </w:pPr>
          </w:p>
        </w:tc>
        <w:tc>
          <w:tcPr>
            <w:tcW w:w="304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98"/>
              </w:rPr>
              <w:t>YTD FY21 from YTD FY20</w:t>
            </w:r>
          </w:p>
        </w:tc>
      </w:tr>
      <w:tr>
        <w:trPr>
          <w:trHeight w:val="198"/>
        </w:trPr>
        <w:tc>
          <w:tcPr>
            <w:tcW w:w="2280" w:type="dxa"/>
            <w:vAlign w:val="bottom"/>
          </w:tcPr>
          <w:p>
            <w:pPr>
              <w:spacing w:after="0"/>
              <w:rPr>
                <w:sz w:val="17"/>
                <w:szCs w:val="17"/>
                <w:color w:val="auto"/>
              </w:rPr>
            </w:pPr>
          </w:p>
        </w:tc>
        <w:tc>
          <w:tcPr>
            <w:tcW w:w="11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Increase</w:t>
            </w:r>
          </w:p>
        </w:tc>
        <w:tc>
          <w:tcPr>
            <w:tcW w:w="90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17"/>
                <w:szCs w:val="17"/>
                <w:color w:val="auto"/>
              </w:rPr>
            </w:pPr>
          </w:p>
        </w:tc>
        <w:tc>
          <w:tcPr>
            <w:tcW w:w="110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Q3 FY21</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0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FY21</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432"/>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11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FPD</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7"/>
        </w:trPr>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596"/>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89"/>
              </w:rPr>
              <w:t>28</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Revenue in Q3 FY21 of $170.6 million represents an increase of 6.8% compared to Q2 FY21 and 8.1% from Q3 FY20; on a year-to-date basis, revenue increased 4.8% to $482.5 million, due to increased demand in both IC and FPD, as a robust design environment led to growing photomask demand across our markets.</w:t>
      </w:r>
    </w:p>
    <w:p>
      <w:pPr>
        <w:spacing w:after="0" w:line="211"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IC revenue increased 5.2% in Q3 FY21, compared with Q2 FY21, 8.4% compared with Q3 FY20, and 7.1% on a year-to-date basis, mainly attributable to continued growth in mainstream on strong demand driven by node migrations, as our customers have looked to take advantage of lower device-lifetime cost and better performance. This positive demand factor has enabled us to realize pricing benefits in Asia on some nodes. High-end revenue growth was driven by strong logic demand, especially in Taiwan and China. In addition, captive photomask operations continue to dedicate more of their capacity to EUV production, resulting in the increased outsourcing of their non-EUV production to merchant photomask suppliers.</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FPD revenue increased 10.7% in Q3 FY21, compared with Q2 FY21, driven by increased demand for high-end AMOLED displays used in mobile applications, new designs for G10.5+ panel manufacturing, and mainstream growth as a result of recent capacity expansions. FPD revenue increased 7.4% in Q3 FY21, compared with Q3 FY20, due to increased high-end, driven by growth in AMOLED displays for mobile applications. On a year-to-date basis, FPD revenues were essentially flat when compared to the same period last year, as increased high-end was offset by a decline in mainstream, driven by an increase in AMOLED demand for mobile displays being offset by a weak LCD market.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Q3 FY21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Q2 FY21</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Q3 FY20</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 FY21</w:t>
            </w:r>
          </w:p>
        </w:tc>
        <w:tc>
          <w:tcPr>
            <w:tcW w:w="28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YTD FY20</w:t>
            </w:r>
          </w:p>
        </w:tc>
        <w:tc>
          <w:tcPr>
            <w:tcW w:w="26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76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820" w:type="dxa"/>
            <w:vAlign w:val="bottom"/>
            <w:gridSpan w:val="2"/>
          </w:tcPr>
          <w:p>
            <w:pPr>
              <w:spacing w:after="0"/>
              <w:rPr>
                <w:sz w:val="24"/>
                <w:szCs w:val="24"/>
                <w:color w:val="auto"/>
              </w:rPr>
            </w:pPr>
          </w:p>
        </w:tc>
        <w:tc>
          <w:tcPr>
            <w:tcW w:w="11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040" w:type="dxa"/>
            <w:vAlign w:val="bottom"/>
            <w:gridSpan w:val="2"/>
          </w:tcPr>
          <w:p>
            <w:pPr>
              <w:spacing w:after="0"/>
              <w:rPr>
                <w:sz w:val="24"/>
                <w:szCs w:val="24"/>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45.3</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Gross margin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w w:val="97"/>
              </w:rPr>
              <w:t>26.6%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24.6%</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23.9%</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Gross margin increased by 2.0 percentage points in Q3 FY21, from Q2 FY21, as a result of the increase in revenue from the prior quarter and higher pricing for certain mainstream IC nodes. Material costs increased 4.3% from the prior quarter, but decreased as a percentage of revenue by 70 basis points. Labor costs increased 3.2% but, as a percentage of revenue, fell 40 basis points. Equipment and other overhead costs increased 4.0%, but decreased 90 basis points as a percentage of revenue, with higher outsourced manufacturing costs most significantly contributing to the cost increase.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margin increased by 2.7 percentage points in Q3 FY21, from Q3 FY20, as a result of the increase in revenue from the prior year quarter and higher pricing for certain mainstream IC nodes. Material costs increased 4.2% from the prior year quarter, with the largest increase occurring at our China-based FPD facility, where the increase was in line with that facility’s increased revenue. Globally, material costs, as a percentage of revenue, decreased 110 basis points. Labor costs increased 9.1% from the prior year quarter, but only represented a 10 basis point increase as a percent of revenue, while equipment and other overhead costs rose moderately at 2.8%, but fell 170 basis points as a percentage of revenue. Increased equipment service contract and equipment maintenance costs were the most significant contributor to the rise in equipment and other overhead costs.</w:t>
      </w:r>
    </w:p>
    <w:p>
      <w:pPr>
        <w:spacing w:after="0" w:line="19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Gross margin increased by 1.6 percentage points in YTD FY21, from YTD FY20, primarily as a result of the increase in revenue from the prior year period and higher pricing for certain mainstream IC nodes. Material costs increased 3.5% from the prior year period, with a notable increase occurring at our China-based IC facility, where the increase was in line with that facility’s increased revenue. Globally, material costs decreased 40 basis points as a percentage of revenue. Labor costs increased 10.7% from the prior year, but only 70 basis points when compared to revenue. Equipment and other overhead costs decreased by 0.4%, or 180 basis points as a percentage of revenue, with reduced outsourced manufacturing costs most significantly contributing to the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we operate in a high fixed cost environment, increases or decreases in our revenues and capacity utilization will generally positively or negatively impact our gross margin.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Selling, general and administrative expenses were $15.1 million in Q3 FY21, an increase of $1.0 million from Q2 FY21, and an increase of $1.8 million from Q3 FY20. The increases are primarily the result of increased compensation costs. Selling, general and administrative expenses were $43.2 million in YTD FY21, as compared with $40.8 million in YTD FY20, with the increase primarily being the result of increased compensation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Research and development expenses, which primarily consist of development and qualification efforts related to high-end process technologies for high-end IC and FPD applications, were $5.3 million in Q3 FY21, compared with $4.4 million in Q2 FY21 and $4.5 million in Q3 FY20. Increased development activities in the U.S. was the primary driver of the increases from both comparative periods, with decreased expenses at our China-based FPD facility partially offsetting the increase from the prior year period. On a year-to-date basis, research and development expenses increased $1.4 million, primarily due to an increase in development activities in the U.S. exceeding a decline in such activities at our China-based FPD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 Net</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the third quarter of fiscal 2021, we recorded a $3.5 million gain on the trade-in of a lithography tool with a tool vendor as partial compensation for a more advanced tool.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Other Non-Operating Income (Expense)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Q3 FY21</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Q2 FY21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Q3 FY20</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FY21</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YTD FY20</w:t>
            </w: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4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Other income and expense changed favorably from a loss of $0.8 million in Q2 FY21 to income of $3.7 million in Q3 FY21, primarily as a result of favorable foreign currency exchange movements in Korea and Taiwan against the U.S. dollar. An unfavorable change in interest expense of $2.3 million was primarily the result of subsidies (which we recognize at the time of their receipt) we received in China in Q2 FY21, the occurrence which was not repeated in Q3 FY21, which partially offset the $6.4 million net favorable impact of foreign currency movements. The increase of $0.5 million in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and other income (expense), net </w:t>
      </w:r>
      <w:r>
        <w:rPr>
          <w:rFonts w:ascii="Arial" w:cs="Arial" w:eastAsia="Arial" w:hAnsi="Arial"/>
          <w:sz w:val="17"/>
          <w:szCs w:val="17"/>
          <w:color w:val="auto"/>
        </w:rPr>
        <w:t>is primarily due to the receipt of a $0.4 million subsidy in China.</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Other income and expense, net changed favorably from a loss of $2.1 million in Q3 FY20 to income of $3.7 million in Q3 FY21. The $5.9 million positive impact of foreign currency movements was primarily due to favorable movements against the U.S. dollar in Korea and Taiwan. Increased interest expense of $0.5 million from the prior year quarter reflects our increased average debt level in Q3 FY21. The increase of $0.5 million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income (expense), net </w:t>
      </w:r>
      <w:r>
        <w:rPr>
          <w:rFonts w:ascii="Arial" w:cs="Arial" w:eastAsia="Arial" w:hAnsi="Arial"/>
          <w:sz w:val="18"/>
          <w:szCs w:val="18"/>
          <w:color w:val="auto"/>
        </w:rPr>
        <w:t>is primarily due to the receipt of a $0.4 million subsidy in China.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Other income and expense, net changed favorably from net other income of $0.6 million in YTD FY20 to net other income of $3.6 million in YTD FY21. The $1.9 million positive impact of foreign currency movements was primarily caused by favorable movements against the U.S. dollar and the Japanese yen in China, which were partially offset by unfavorable movements against the U.S. dollar in Korea and Taiwan. Interest expense decreased, on a year-to-date basis by $1.0 million, as result of subsidies we received on our debt in China, which we recognize at the time of their receipt.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Q3 FY21</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Q2 FY21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Q3 FY20</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FY21</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FY20</w:t>
            </w:r>
          </w:p>
        </w:tc>
        <w:tc>
          <w:tcPr>
            <w:tcW w:w="16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17.8</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w w:val="90"/>
              </w:rPr>
              <w:t>35.9%</w:t>
            </w:r>
          </w:p>
        </w:tc>
      </w:tr>
    </w:tbl>
    <w:p>
      <w:pPr>
        <w:spacing w:after="0" w:line="200" w:lineRule="exact"/>
        <w:rPr>
          <w:sz w:val="20"/>
          <w:szCs w:val="20"/>
          <w:color w:val="auto"/>
        </w:rPr>
      </w:pPr>
    </w:p>
    <w:p>
      <w:pPr>
        <w:spacing w:after="0" w:line="257" w:lineRule="exact"/>
        <w:rPr>
          <w:sz w:val="20"/>
          <w:szCs w:val="20"/>
          <w:color w:val="auto"/>
        </w:rPr>
      </w:pPr>
    </w:p>
    <w:p>
      <w:pPr>
        <w:ind w:right="460" w:firstLine="648"/>
        <w:spacing w:after="0" w:line="258"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w:t>
      </w:r>
    </w:p>
    <w:p>
      <w:pPr>
        <w:spacing w:after="0" w:line="1" w:lineRule="exact"/>
        <w:rPr>
          <w:sz w:val="20"/>
          <w:szCs w:val="20"/>
          <w:color w:val="auto"/>
        </w:rPr>
      </w:pPr>
    </w:p>
    <w:p>
      <w:pPr>
        <w:ind w:right="820" w:firstLine="648"/>
        <w:spacing w:after="0" w:line="260" w:lineRule="auto"/>
        <w:rPr>
          <w:sz w:val="20"/>
          <w:szCs w:val="20"/>
          <w:color w:val="auto"/>
        </w:rPr>
      </w:pPr>
      <w:r>
        <w:rPr>
          <w:rFonts w:ascii="Arial" w:cs="Arial" w:eastAsia="Arial" w:hAnsi="Arial"/>
          <w:sz w:val="18"/>
          <w:szCs w:val="18"/>
          <w:color w:val="auto"/>
        </w:rPr>
        <w:t>The effective income tax rate increase in Q3 FY21, compared with Q2 FY21, is primarily due to changes in the period-to-period mix of jurisdictional earnings.</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effective income tax rate decrease in Q3 FY21, compared with Q3 FY20, is primarily due to the benefits of investment credits in certain non-U.S. jurisdictions in Q3 FY21, as well as changes in the jurisdictional mix of earnings.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effective income tax rate decreased in YTD FY21, compared with YTD FY20, primarily due to the establishment of a valuation allowance for a loss carryforward in a non-U.S. jurisdiction in YTD-FY20, as well as changes in the jurisdictional mix of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income attributable to noncontrolling interests was $7.3 million in Q3 FY21, compared with $5.8 million in Q2 FY21, and was primarily the result of increased net income at our Taiwan-based IC facility, which partially offset decreased net income at our China-based IC facility. Net income attributable to noncontrolling interests increased $5.2 million in Q3 FY21 from Q3 FY20, and $10.1 million, on a year-to-date basis, as a result of increased net income at both our Taiwan-based and China-based IC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Cash and cash equivalents totaled $283.2 million and $278.7 million as of August 1, 2021 and October 31, 2020 respectively. As of the most recent balance sheet date, total cash and cash equivalents included $217.2 million held by foreign subsidiaries.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currently have approximately $22.9 million of borrowing capacity to support local operations. See Item 1. Condensed Consolidated Financial Statements - Notes to Condensed Consolidated Financial statements - Note 6 for additional information.</w:t>
      </w:r>
    </w:p>
    <w:p>
      <w:pPr>
        <w:spacing w:after="0" w:line="22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continually evaluate alternatives for efficiently funding our capital expenditures and ongoing operations. These reviews may result in our engagement in a variety of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cash we generate from operations, our existing liquidity, and (potentially) our borrowing capacity, we will continue to invest in organic growth for our business, with our investments targeted to align with our customers’ technology road maps, and stand ready to invest in mergers, acquisitions, or strategic partnerships should the right opportunity present itself.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estimate capital expenditures for Q4 FY21 will be approximately $28 million; these investments will be targeted towards high-end and mainstream point tools that will increase our operating capacity and efficiency, and enable us to support our customers’ near-term demands. As of August 1, 2021, we had outstanding capital commitments of approximately $56.9 million and recognized liabilities related to capital equipment purchases of approximately $9.2 million. Although payment timing could vary, primarily as a result of the timing of tool installation and testing, we currently estimate that we will fund $54 million of our total $66 million committed and recognized obligations for capital expenditures over the next twelve months.</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August 1, 2021, our current share repurchase program had approximately $46.8 million remaining under its authorization. Depending on market conditions, we may utilize some or the entire remaining approved amount to reacquire additional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August 1,</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August 2,</w:t>
            </w: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Net cash provided by operating activities reflects net income adjusted for certain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share-based compensation, and the effects of changes in operating assets and liabilities. The increase in net cash provided by operating activities for the nine months ended August 1, 2021, compared with the nine months ended August 2, 2020, was primarily due to increased net income and net cash-positive changes in working capital in Asia.</w:t>
      </w:r>
    </w:p>
    <w:p>
      <w:pPr>
        <w:spacing w:after="0" w:line="21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Net cash flows used for investing activities primarily consists of purchases of property, plant and equipment.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August 1, 2021, purchases of property, plant and equipment were $92.3 million, compared with $36.7 million for the nine months ended August 2, 2020, as we increased our tool purchases in the current year, primarily in response to market demands in Asia.</w:t>
      </w:r>
    </w:p>
    <w:p>
      <w:pPr>
        <w:spacing w:after="0" w:line="21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Net cash flows used in financing activities primarily consist of share repurchases, proceeds from and repayments of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from noncontrolling interests. The increase in net cash used in financing activities during the nine months ended August 2, 2021, compared with the same period ended August 2, 2020, was primarily driven by an $18.9 million increase in share repurchases, a $17.6 million decrease in contributions from noncontrolling interests, and a $7.4 million increase in debt repayments. Increased borrowings of $15.2 million partially offset the aforementioned cash-negative impacts.</w:t>
      </w:r>
    </w:p>
    <w:p>
      <w:pPr>
        <w:spacing w:after="0" w:line="21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January 2018, Photronics, through its wholly owned Singapore subsidiary,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 edge and advanced generation semiconductors. Under the joint venture’s operating agreement, DNP is afforded, under certain circumstances, the right to put its interest in PDMCX to Photronics. These circumstances include disputes regarding the strategic direction of PDMCX that may arise after the initial two-year term of the operating agreement that cannot be resolved between the two parties. As of the date of issuance of this report, DNP had not indicated its intention to exercise this right.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August 1, 2021, Photronics and DNP each had net investments in PDMCX of $60.9 million.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When evaluating our views on our outlook, please consider them in the context of our short backlog (which typically does not exceed three weeks), and the significant effect that a variance in high-end orders can have on our results. In addition, government actions to address health concerns, change trade policies, or repatriate manufacturing may also affect our results. Overall, we are encouraged by increased capital spending by both semiconductor and panel makers, as their current investments are a leading indicator of increased demand for photomasks. We believe that the recent favorable trends in IC driving an increase in design activity, including the recovery in high-end logic demand, and continued strength in mainstream demand will continue through the fourth quarter and possibly beyond. In FPD, we expect to see growth from recent capacity expansions, which benefitted us for only a portion of Q3 FY21. We believe this increased capacity will support increased mobile demand, as more smartphones, tablets, and laptops adopt high-value AMOLED technology. We are also encouraged by the emergence of next-generation premium TV technologies (such as Samsung Display Co. LTD’s QD-OLED, and LG Display Co. LTD’s WOLED) which may provide growth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16 – Recent Accounting Pronouncements” for recent accounting pronouncements that may impact our financial reporting.</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1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primary net foreign currency exposures as of August 1, 2021, included the South Korean won, the Japanese yen, the New Taiwan dollar, the Chinese renminbi, the Singapore dollar, the British pound sterling, and the euro. As of that date, a 10% adverse movement in the value of currencies different from the functional currencies of our subsidiaries would have resulted in a net unrealized pre-tax loss of $36.0 million, which represents an increase of $1.5 million and $4.1 million from our exposures at May 2, 2021 and October 31, 2020, respectively. Our most significant exposures at August 1, 2021, related to the Chinese renminbi, the South Korean won, and the New Taiwan Dollar to the U.S. dollar, which were, respectively, $12.9 million, $12.3 million, and $7.5 million at that date. We do not believe that a 10% change in the exchange rates of non-US dollar currencies, other than the aforementioned currencies and the Japanese yen, would have had a material effect on our August 1, 2021,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August 1, 2021 condensed consolidated financial statements.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August 1, 2021.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Based on an evaluation of our disclosure controls and procedures as of August 1, 2021, our chief executive officer and chief financial officer concluded that, as of such date, our disclosure controls and procedures were not effective due to a material weakness in our internal control over financial reporting as discussed below.</w:t>
      </w:r>
    </w:p>
    <w:p>
      <w:pPr>
        <w:spacing w:after="0" w:line="20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Based on our prior assessment as of October 31, 2020, management concluded that our internal control over financial reporting was not effective due to a material weakness relating to the accuracy and completeness of information used in monitoring compliance with covenants stipulated by the Company’s debt agreements. This material weakness has not been remediated as of August 1, 2021.</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Notwithstanding this material weakness, our management, including our chief executive officer and chief financial officer, has concluded that our financial statements included in this Form 10-Q present fairly, in all material respects, our financial position, results of operations, and cash flows for the periods presented in accordance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2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management is committed to maintaining a strong internal control environment and implementing measures designed to help ensure that the material weakness is remediated as soon as possible. Management is in the process of designing and implementing a remediation plan to address the material weakness referred to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Except for changes made in connection with our implementation of the remediation efforts mentioned above, there have been no other changes in our internal control over financial reporting during the fiscal quarter ended August 1, 2021, that have materially affected, or are reasonably likely to materially affect, our internal control over financial reporting.</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Note 15 within Part I, Item 1 of this report for information on legal proceedings involving the Company.</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1.7 million shares repurchased under this program during fiscal 2020, were retired in October 2020. The following table presents information on our common stock repurchase activity for the third fiscal quarter of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Shares That</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May</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r>
      <w:tr>
        <w:trPr>
          <w:trHeight w:val="241"/>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r>
      <w:tr>
        <w:trPr>
          <w:trHeight w:val="655"/>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2021 – May 30, 2021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May 31, 2021 – June 27, 2021</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13.43</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5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520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Incorporated by Reference</w:t>
            </w:r>
          </w:p>
        </w:tc>
        <w:tc>
          <w:tcPr>
            <w:tcW w:w="700" w:type="dxa"/>
            <w:vAlign w:val="bottom"/>
            <w:tcBorders>
              <w:bottom w:val="single" w:sz="8" w:color="auto"/>
            </w:tcBorders>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File</w:t>
            </w:r>
          </w:p>
        </w:tc>
        <w:tc>
          <w:tcPr>
            <w:tcW w:w="10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41"/>
        </w:trPr>
        <w:tc>
          <w:tcPr>
            <w:tcW w:w="1060" w:type="dxa"/>
            <w:vAlign w:val="bottom"/>
            <w:gridSpan w:val="3"/>
          </w:tcPr>
          <w:p>
            <w:pPr>
              <w:ind w:left="2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0" w:type="dxa"/>
            <w:vAlign w:val="bottom"/>
            <w:gridSpan w:val="2"/>
          </w:tcPr>
          <w:p>
            <w:pPr>
              <w:ind w:left="1800"/>
              <w:spacing w:after="0"/>
              <w:rPr>
                <w:sz w:val="20"/>
                <w:szCs w:val="20"/>
                <w:color w:val="auto"/>
              </w:rPr>
            </w:pPr>
            <w:r>
              <w:rPr>
                <w:rFonts w:ascii="Arial" w:cs="Arial" w:eastAsia="Arial" w:hAnsi="Arial"/>
                <w:sz w:val="18"/>
                <w:szCs w:val="18"/>
                <w:b w:val="1"/>
                <w:bCs w:val="1"/>
                <w:color w:val="auto"/>
              </w:rPr>
              <w:t>Description</w:t>
            </w:r>
          </w:p>
        </w:tc>
        <w:tc>
          <w:tcPr>
            <w:tcW w:w="680" w:type="dxa"/>
            <w:vAlign w:val="bottom"/>
          </w:tcPr>
          <w:p>
            <w:pPr>
              <w:ind w:left="160"/>
              <w:spacing w:after="0"/>
              <w:rPr>
                <w:sz w:val="20"/>
                <w:szCs w:val="20"/>
                <w:color w:val="auto"/>
              </w:rPr>
            </w:pPr>
            <w:r>
              <w:rPr>
                <w:rFonts w:ascii="Arial" w:cs="Arial" w:eastAsia="Arial" w:hAnsi="Arial"/>
                <w:sz w:val="18"/>
                <w:szCs w:val="18"/>
                <w:b w:val="1"/>
                <w:bCs w:val="1"/>
                <w:color w:val="auto"/>
              </w:rPr>
              <w:t>Form</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8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16"/>
        </w:trPr>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auto"/>
                <w:w w:val="99"/>
              </w:rPr>
              <w:t>Certification of Chief Executive Officer pursuant to Rule 13a-</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80" w:type="dxa"/>
            <w:vAlign w:val="bottom"/>
            <w:tcBorders>
              <w:top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8"/>
              </w:rPr>
              <w:t>14(a)/15d-14(a) of the Exchange Act, as adopted pursuant to</w:t>
            </w:r>
          </w:p>
        </w:tc>
        <w:tc>
          <w:tcPr>
            <w:tcW w:w="6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Chief Financial Officer pursuant to Rule 13a-</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80" w:type="dxa"/>
            <w:vAlign w:val="bottom"/>
            <w:tcBorders>
              <w:top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8"/>
              </w:rPr>
              <w:t>14(a)/15d-14(a) of the Exchange Act, as adopted pursuant to</w:t>
            </w:r>
          </w:p>
        </w:tc>
        <w:tc>
          <w:tcPr>
            <w:tcW w:w="6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auto"/>
                <w:w w:val="99"/>
              </w:rPr>
              <w:t>Certification of Chief Executive Officer pursuant to 18 U.S.C.</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80" w:type="dxa"/>
            <w:vAlign w:val="bottom"/>
            <w:tcBorders>
              <w:top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Section 1350, as adopted pursuant to Section 906 of the</w:t>
            </w:r>
          </w:p>
        </w:tc>
        <w:tc>
          <w:tcPr>
            <w:tcW w:w="6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Sarbanes-Oxley Act of 2002.</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Chief Financial Officer pursuant to 18 U.S.C.</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80" w:type="dxa"/>
            <w:vAlign w:val="bottom"/>
            <w:tcBorders>
              <w:top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Section 1350, as adopted pursuant to Section 906 of the</w:t>
            </w:r>
          </w:p>
        </w:tc>
        <w:tc>
          <w:tcPr>
            <w:tcW w:w="6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Sarbanes-Oxley Act of 2002.</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17"/>
                <w:szCs w:val="17"/>
                <w:color w:val="auto"/>
              </w:rPr>
            </w:pPr>
          </w:p>
        </w:tc>
        <w:tc>
          <w:tcPr>
            <w:tcW w:w="508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w w:val="97"/>
              </w:rPr>
              <w:t>Inline XBRL Instance Document (the instance document does</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8"/>
              </w:rPr>
              <w:t>not appear in the Interactive Data File because its XBRL tags</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are embedded within the Inline XBRL document)</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20" w:type="dxa"/>
            <w:vAlign w:val="bottom"/>
            <w:shd w:val="clear" w:color="auto" w:fill="CCEEFF"/>
          </w:tcPr>
          <w:p>
            <w:pPr>
              <w:spacing w:after="0"/>
              <w:rPr>
                <w:sz w:val="18"/>
                <w:szCs w:val="18"/>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120" w:type="dxa"/>
            <w:vAlign w:val="bottom"/>
            <w:shd w:val="clear" w:color="auto" w:fill="CCEEFF"/>
          </w:tcPr>
          <w:p>
            <w:pPr>
              <w:spacing w:after="0"/>
              <w:rPr>
                <w:sz w:val="17"/>
                <w:szCs w:val="17"/>
                <w:color w:val="auto"/>
              </w:rPr>
            </w:pPr>
          </w:p>
        </w:tc>
        <w:tc>
          <w:tcPr>
            <w:tcW w:w="508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Inline XBRL Taxonomy Extension Calculation Linkbase</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Document</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120" w:type="dxa"/>
            <w:vAlign w:val="bottom"/>
            <w:shd w:val="clear" w:color="auto" w:fill="CCEEFF"/>
          </w:tcPr>
          <w:p>
            <w:pPr>
              <w:spacing w:after="0"/>
              <w:rPr>
                <w:sz w:val="17"/>
                <w:szCs w:val="17"/>
                <w:color w:val="auto"/>
              </w:rPr>
            </w:pPr>
          </w:p>
        </w:tc>
        <w:tc>
          <w:tcPr>
            <w:tcW w:w="508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Inline XBRL Taxonomy Extension Definition Linkbase</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Document</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8"/>
                <w:szCs w:val="18"/>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Inline XBRL Taxonomy Extension Label Linkbase Document</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120" w:type="dxa"/>
            <w:vAlign w:val="bottom"/>
            <w:shd w:val="clear" w:color="auto" w:fill="CCEEFF"/>
          </w:tcPr>
          <w:p>
            <w:pPr>
              <w:spacing w:after="0"/>
              <w:rPr>
                <w:sz w:val="17"/>
                <w:szCs w:val="17"/>
                <w:color w:val="auto"/>
              </w:rPr>
            </w:pPr>
          </w:p>
        </w:tc>
        <w:tc>
          <w:tcPr>
            <w:tcW w:w="508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Inline XBRL Taxonomy Extension Presentation Linkbase</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Document</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8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Cover Page Interactive Data File (formatted as inline XBRL</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and contained in Exhibit 101)</w:t>
            </w:r>
          </w:p>
        </w:tc>
        <w:tc>
          <w:tcPr>
            <w:tcW w:w="6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3"/>
          </w:tcPr>
          <w:p>
            <w:pPr>
              <w:jc w:val="right"/>
              <w:ind w:right="170"/>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P. JORDAN</w:t>
            </w:r>
          </w:p>
        </w:tc>
        <w:tc>
          <w:tcPr>
            <w:tcW w:w="1240" w:type="dxa"/>
            <w:vAlign w:val="bottom"/>
          </w:tcPr>
          <w:p>
            <w:pPr>
              <w:ind w:left="56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RIVERA</w:t>
            </w:r>
          </w:p>
        </w:tc>
      </w:tr>
      <w:tr>
        <w:trPr>
          <w:trHeight w:val="202"/>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Pr>
          <w:p>
            <w:pPr>
              <w:jc w:val="center"/>
              <w:spacing w:after="0" w:line="201" w:lineRule="exact"/>
              <w:rPr>
                <w:sz w:val="20"/>
                <w:szCs w:val="20"/>
                <w:color w:val="auto"/>
              </w:rPr>
            </w:pPr>
            <w:r>
              <w:rPr>
                <w:rFonts w:ascii="Arial" w:cs="Arial" w:eastAsia="Arial" w:hAnsi="Arial"/>
                <w:sz w:val="18"/>
                <w:szCs w:val="18"/>
                <w:color w:val="auto"/>
                <w:w w:val="91"/>
              </w:rPr>
              <w:t>JOHN P. JORDAN</w:t>
            </w:r>
          </w:p>
        </w:tc>
        <w:tc>
          <w:tcPr>
            <w:tcW w:w="1240" w:type="dxa"/>
            <w:vAlign w:val="bottom"/>
          </w:tcPr>
          <w:p>
            <w:pPr>
              <w:spacing w:after="0"/>
              <w:rPr>
                <w:sz w:val="17"/>
                <w:szCs w:val="17"/>
                <w:color w:val="auto"/>
              </w:rPr>
            </w:pPr>
          </w:p>
        </w:tc>
        <w:tc>
          <w:tcPr>
            <w:tcW w:w="4380" w:type="dxa"/>
            <w:vAlign w:val="bottom"/>
          </w:tcPr>
          <w:p>
            <w:pPr>
              <w:jc w:val="center"/>
              <w:spacing w:after="0" w:line="201" w:lineRule="exact"/>
              <w:rPr>
                <w:sz w:val="20"/>
                <w:szCs w:val="20"/>
                <w:color w:val="auto"/>
              </w:rPr>
            </w:pPr>
            <w:r>
              <w:rPr>
                <w:rFonts w:ascii="Arial" w:cs="Arial" w:eastAsia="Arial" w:hAnsi="Arial"/>
                <w:sz w:val="18"/>
                <w:szCs w:val="18"/>
                <w:color w:val="auto"/>
                <w:w w:val="99"/>
              </w:rPr>
              <w:t>ERIC RIVERA</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c>
          <w:tcPr>
            <w:tcW w:w="124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Vice President,</w:t>
            </w:r>
          </w:p>
        </w:tc>
      </w:tr>
      <w:tr>
        <w:trPr>
          <w:trHeight w:val="216"/>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24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24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September 10, 2021</w:t>
            </w:r>
          </w:p>
        </w:tc>
        <w:tc>
          <w:tcPr>
            <w:tcW w:w="1240" w:type="dxa"/>
            <w:vAlign w:val="bottom"/>
          </w:tcPr>
          <w:p>
            <w:pPr>
              <w:ind w:left="560"/>
              <w:spacing w:after="0"/>
              <w:rPr>
                <w:sz w:val="20"/>
                <w:szCs w:val="20"/>
                <w:color w:val="auto"/>
              </w:rPr>
            </w:pPr>
            <w:r>
              <w:rPr>
                <w:rFonts w:ascii="Arial" w:cs="Arial" w:eastAsia="Arial" w:hAnsi="Arial"/>
                <w:sz w:val="18"/>
                <w:szCs w:val="18"/>
                <w:color w:val="auto"/>
              </w:rPr>
              <w:t>Date:</w:t>
            </w:r>
          </w:p>
        </w:tc>
        <w:tc>
          <w:tcPr>
            <w:tcW w:w="4380" w:type="dxa"/>
            <w:vAlign w:val="bottom"/>
          </w:tcPr>
          <w:p>
            <w:pPr>
              <w:ind w:left="40"/>
              <w:spacing w:after="0"/>
              <w:rPr>
                <w:sz w:val="20"/>
                <w:szCs w:val="20"/>
                <w:color w:val="auto"/>
              </w:rPr>
            </w:pPr>
            <w:r>
              <w:rPr>
                <w:rFonts w:ascii="Arial" w:cs="Arial" w:eastAsia="Arial" w:hAnsi="Arial"/>
                <w:sz w:val="18"/>
                <w:szCs w:val="18"/>
                <w:color w:val="auto"/>
              </w:rPr>
              <w:t>September 10,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560"/>
          </w:cols>
          <w:pgMar w:left="320" w:top="121" w:right="101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Peter S. Kirlin, certify that:</w:t>
      </w:r>
    </w:p>
    <w:p>
      <w:pPr>
        <w:spacing w:after="0" w:line="24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540" w:hanging="486"/>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John P. Jordan, certify that:</w:t>
      </w:r>
    </w:p>
    <w:p>
      <w:pPr>
        <w:spacing w:after="0" w:line="24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540" w:hanging="486"/>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Peter S. Kirlin, Chief Executive Officer of Photronics, Inc. (the “Company”), certify, to my knowledge, pursuant to Section 906 of the Sarbanes-Oxley Act of 2002, 18 U.S.C. Section 1350, that:</w:t>
      </w:r>
    </w:p>
    <w:p>
      <w:pPr>
        <w:spacing w:after="0" w:line="209" w:lineRule="exact"/>
        <w:rPr>
          <w:sz w:val="20"/>
          <w:szCs w:val="20"/>
          <w:color w:val="auto"/>
        </w:rPr>
      </w:pPr>
    </w:p>
    <w:p>
      <w:pPr>
        <w:ind w:left="500" w:right="24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August 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John P. Jordan, Chief Financial Officer of Photronics, Inc. (the “Company”), certify, to my knowledge, pursuant to Section 906 of the Sarbanes-Oxley Act of 2002, 18 U.S.C. Section 1350, that:</w:t>
      </w:r>
    </w:p>
    <w:p>
      <w:pPr>
        <w:spacing w:after="0" w:line="209" w:lineRule="exact"/>
        <w:rPr>
          <w:sz w:val="20"/>
          <w:szCs w:val="20"/>
          <w:color w:val="auto"/>
        </w:rPr>
      </w:pPr>
    </w:p>
    <w:p>
      <w:pPr>
        <w:ind w:left="500" w:right="18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August 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2021-09-10T14:21:09Z</dcterms:created>
  <dcterms:modified xsi:type="dcterms:W3CDTF">2021-09-10T14:21:09Z</dcterms:modified>
</cp:coreProperties>
</file>